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EFAC8" w14:textId="77777777" w:rsidR="00DB23F4" w:rsidRPr="005B7CA1" w:rsidRDefault="005A0EE3" w:rsidP="00B307CB">
      <w:pPr>
        <w:jc w:val="center"/>
        <w:rPr>
          <w:rFonts w:cs="Times New Roman"/>
          <w:b/>
          <w:sz w:val="28"/>
          <w:szCs w:val="24"/>
        </w:rPr>
      </w:pPr>
      <w:r w:rsidRPr="005B7CA1">
        <w:rPr>
          <w:rFonts w:cs="Times New Roman"/>
          <w:b/>
          <w:sz w:val="28"/>
          <w:szCs w:val="24"/>
        </w:rPr>
        <w:t>Supplementary Material</w:t>
      </w:r>
      <w:r w:rsidR="00EA47EC" w:rsidRPr="005B7CA1">
        <w:rPr>
          <w:rFonts w:cs="Times New Roman"/>
          <w:b/>
          <w:sz w:val="28"/>
          <w:szCs w:val="24"/>
        </w:rPr>
        <w:t xml:space="preserve"> </w:t>
      </w:r>
    </w:p>
    <w:p w14:paraId="2DB7ABC4" w14:textId="0AC083F0" w:rsidR="005A0EE3" w:rsidRPr="00BF210F" w:rsidRDefault="005A0EE3" w:rsidP="00B875B3">
      <w:pPr>
        <w:rPr>
          <w:rFonts w:cs="Times New Roman"/>
        </w:rPr>
      </w:pPr>
    </w:p>
    <w:p w14:paraId="7A454143" w14:textId="60DFB1AD" w:rsidR="00CC7A0A" w:rsidRPr="00BF210F" w:rsidRDefault="00B307CB" w:rsidP="005B7CA1">
      <w:pPr>
        <w:rPr>
          <w:rFonts w:cs="Times New Roman"/>
          <w:lang w:val="en-US"/>
        </w:rPr>
      </w:pPr>
      <w:r w:rsidRPr="005B7CA1">
        <w:rPr>
          <w:rFonts w:cs="Times New Roman"/>
        </w:rPr>
        <w:t xml:space="preserve">Title: </w:t>
      </w:r>
      <w:r w:rsidR="005B7CA1" w:rsidRPr="005B7CA1">
        <w:rPr>
          <w:rFonts w:cs="Times New Roman"/>
          <w:b/>
          <w:lang w:val="en-US"/>
        </w:rPr>
        <w:t>Impact of HIV infection on</w:t>
      </w:r>
      <w:r w:rsidR="00017649">
        <w:rPr>
          <w:rFonts w:cs="Times New Roman"/>
          <w:b/>
          <w:lang w:val="en-US"/>
        </w:rPr>
        <w:t xml:space="preserve"> baseline</w:t>
      </w:r>
      <w:r w:rsidR="005B7CA1" w:rsidRPr="005B7CA1">
        <w:rPr>
          <w:rFonts w:cs="Times New Roman"/>
          <w:b/>
          <w:lang w:val="en-US"/>
        </w:rPr>
        <w:t xml:space="preserve"> characteristics and survival of women with breast cancer: </w:t>
      </w:r>
      <w:r w:rsidR="00017649">
        <w:rPr>
          <w:rFonts w:cs="Times New Roman"/>
          <w:b/>
          <w:lang w:val="en-US"/>
        </w:rPr>
        <w:t xml:space="preserve">a </w:t>
      </w:r>
      <w:r w:rsidR="005B7CA1" w:rsidRPr="005B7CA1">
        <w:rPr>
          <w:rFonts w:cs="Times New Roman"/>
          <w:b/>
          <w:lang w:val="en-US"/>
        </w:rPr>
        <w:t>systematic review and meta-analysis</w:t>
      </w:r>
    </w:p>
    <w:p w14:paraId="00E2A0A1" w14:textId="77777777" w:rsidR="005B7CA1" w:rsidRDefault="005B7CA1" w:rsidP="00B875B3">
      <w:pPr>
        <w:rPr>
          <w:rFonts w:cs="Times New Roman"/>
          <w:sz w:val="20"/>
          <w:szCs w:val="20"/>
          <w:lang w:val="en-US"/>
        </w:rPr>
      </w:pPr>
    </w:p>
    <w:p w14:paraId="57FC85AC" w14:textId="77777777" w:rsidR="005B7CA1" w:rsidRPr="00BF210F" w:rsidRDefault="005B7CA1" w:rsidP="00B875B3">
      <w:pPr>
        <w:rPr>
          <w:rFonts w:cs="Times New Roman"/>
          <w:sz w:val="20"/>
          <w:szCs w:val="20"/>
          <w:lang w:val="en-US"/>
        </w:rPr>
      </w:pPr>
    </w:p>
    <w:p w14:paraId="522CE25A" w14:textId="5D482217" w:rsidR="002B5F35" w:rsidRPr="00BF210F" w:rsidRDefault="00BF210F" w:rsidP="00D66A20">
      <w:pPr>
        <w:rPr>
          <w:rFonts w:cs="Times New Roman"/>
          <w:b/>
          <w:sz w:val="24"/>
          <w:szCs w:val="24"/>
          <w:lang w:val="en-US"/>
        </w:rPr>
      </w:pPr>
      <w:r w:rsidRPr="00BF210F">
        <w:rPr>
          <w:rFonts w:cs="Times New Roman"/>
          <w:b/>
          <w:sz w:val="24"/>
          <w:szCs w:val="24"/>
          <w:lang w:val="en-US"/>
        </w:rPr>
        <w:t xml:space="preserve">Supplementary </w:t>
      </w:r>
      <w:r w:rsidR="002B5F35" w:rsidRPr="00BF210F">
        <w:rPr>
          <w:rFonts w:cs="Times New Roman"/>
          <w:b/>
          <w:sz w:val="24"/>
          <w:szCs w:val="24"/>
          <w:lang w:val="en-US"/>
        </w:rPr>
        <w:t>Methods</w:t>
      </w:r>
    </w:p>
    <w:p w14:paraId="712DE8A0" w14:textId="77777777" w:rsidR="002B5F35" w:rsidRPr="00BF210F" w:rsidRDefault="002B5F35" w:rsidP="00D66A20">
      <w:pPr>
        <w:rPr>
          <w:rFonts w:cs="Times New Roman"/>
          <w:b/>
          <w:sz w:val="24"/>
          <w:szCs w:val="24"/>
          <w:lang w:val="en-US"/>
        </w:rPr>
      </w:pPr>
    </w:p>
    <w:p w14:paraId="10C80DEB" w14:textId="6574F020" w:rsidR="002F17CD" w:rsidRPr="00BF210F" w:rsidRDefault="002F17CD" w:rsidP="00D66A20">
      <w:pPr>
        <w:rPr>
          <w:rFonts w:cs="Times New Roman"/>
          <w:b/>
          <w:sz w:val="24"/>
          <w:szCs w:val="24"/>
          <w:lang w:val="en-US"/>
        </w:rPr>
      </w:pPr>
      <w:r w:rsidRPr="00BF210F">
        <w:rPr>
          <w:rFonts w:cs="Times New Roman"/>
          <w:b/>
          <w:sz w:val="24"/>
          <w:szCs w:val="24"/>
          <w:lang w:val="en-US"/>
        </w:rPr>
        <w:t>Search strategy</w:t>
      </w:r>
    </w:p>
    <w:p w14:paraId="65CAB06F" w14:textId="77777777" w:rsidR="002F17CD" w:rsidRPr="00BF210F" w:rsidRDefault="002F17CD" w:rsidP="00D66A20">
      <w:pPr>
        <w:rPr>
          <w:rFonts w:cs="Times New Roman"/>
          <w:sz w:val="20"/>
          <w:szCs w:val="20"/>
          <w:lang w:val="en-US"/>
        </w:rPr>
      </w:pPr>
    </w:p>
    <w:p w14:paraId="2BDF77C7" w14:textId="7D156211" w:rsidR="00896EA9" w:rsidRPr="00BF210F" w:rsidRDefault="00070F98" w:rsidP="00D66A20">
      <w:pPr>
        <w:rPr>
          <w:rFonts w:cs="Times New Roman"/>
          <w:sz w:val="20"/>
          <w:szCs w:val="20"/>
          <w:lang w:val="en-US"/>
        </w:rPr>
      </w:pPr>
      <w:r w:rsidRPr="00BF210F">
        <w:rPr>
          <w:rFonts w:cs="Times New Roman"/>
          <w:sz w:val="20"/>
          <w:szCs w:val="20"/>
          <w:lang w:val="en-US"/>
        </w:rPr>
        <w:t>Searches covering the periods from inception of each database to</w:t>
      </w:r>
      <w:r w:rsidR="00896EA9" w:rsidRPr="00BF210F">
        <w:rPr>
          <w:rFonts w:cs="Times New Roman"/>
          <w:sz w:val="20"/>
          <w:szCs w:val="20"/>
          <w:lang w:val="en-US"/>
        </w:rPr>
        <w:t xml:space="preserve"> 1 January 2020</w:t>
      </w:r>
    </w:p>
    <w:p w14:paraId="3702E4E3" w14:textId="77777777" w:rsidR="00896EA9" w:rsidRPr="00BF210F" w:rsidRDefault="00896EA9" w:rsidP="00D66A20">
      <w:pPr>
        <w:rPr>
          <w:rFonts w:cs="Times New Roman"/>
          <w:sz w:val="20"/>
          <w:szCs w:val="20"/>
          <w:lang w:val="en-US"/>
        </w:rPr>
      </w:pPr>
    </w:p>
    <w:p w14:paraId="051398E8" w14:textId="77777777" w:rsidR="002F17CD" w:rsidRPr="00BF210F" w:rsidRDefault="00896EA9" w:rsidP="00D66A20">
      <w:pPr>
        <w:ind w:firstLine="720"/>
        <w:rPr>
          <w:rFonts w:cs="Times New Roman"/>
          <w:sz w:val="20"/>
          <w:szCs w:val="20"/>
          <w:lang w:val="en-US"/>
        </w:rPr>
      </w:pPr>
      <w:r w:rsidRPr="00BF210F">
        <w:rPr>
          <w:rFonts w:cs="Times New Roman"/>
          <w:sz w:val="20"/>
          <w:szCs w:val="20"/>
          <w:lang w:val="en-US"/>
        </w:rPr>
        <w:t xml:space="preserve">1. </w:t>
      </w:r>
      <w:r w:rsidR="002F17CD" w:rsidRPr="00BF210F">
        <w:rPr>
          <w:rFonts w:cs="Times New Roman"/>
          <w:b/>
          <w:sz w:val="20"/>
          <w:szCs w:val="20"/>
          <w:lang w:val="en-US"/>
        </w:rPr>
        <w:t>MEDLINE</w:t>
      </w:r>
    </w:p>
    <w:p w14:paraId="5BDDB7D9" w14:textId="77777777" w:rsidR="002F17CD" w:rsidRPr="00BF210F" w:rsidRDefault="002F17CD" w:rsidP="00D66A20">
      <w:pPr>
        <w:rPr>
          <w:rFonts w:cs="Times New Roman"/>
          <w:sz w:val="20"/>
          <w:szCs w:val="20"/>
        </w:rPr>
      </w:pPr>
      <w:r w:rsidRPr="00BF210F">
        <w:rPr>
          <w:rFonts w:cs="Times New Roman"/>
          <w:sz w:val="20"/>
          <w:szCs w:val="20"/>
        </w:rPr>
        <w:t>("breast cancer" OR "breast neoplasm" OR “breast tumor” OR “breast tumors” OR “breast tumour” OR “breast tumours” OR "Breast Neoplasms"[MeSH] OR “breast”) AND (“HIV” OR “Human Immunodeficiency Virus” OR “Immunodeficiency Virus, Human” OR “AIDS” OR “Acquired Immune Deficiency Syndrome Virus” OR “Acquired Immune Deficiency Syndrome”) NOT (animals [mh] NOT humans [mh])</w:t>
      </w:r>
    </w:p>
    <w:p w14:paraId="63E2E92E" w14:textId="77777777" w:rsidR="002F17CD" w:rsidRPr="00BF210F" w:rsidRDefault="002F17CD" w:rsidP="00D66A20">
      <w:pPr>
        <w:rPr>
          <w:rFonts w:cs="Times New Roman"/>
          <w:sz w:val="20"/>
          <w:szCs w:val="20"/>
          <w:lang w:val="en-US"/>
        </w:rPr>
      </w:pPr>
    </w:p>
    <w:p w14:paraId="13187264" w14:textId="77777777" w:rsidR="002F17CD" w:rsidRPr="00BF210F" w:rsidRDefault="00896EA9" w:rsidP="00D66A20">
      <w:pPr>
        <w:ind w:firstLine="720"/>
        <w:rPr>
          <w:rFonts w:cs="Times New Roman"/>
          <w:sz w:val="20"/>
          <w:szCs w:val="20"/>
          <w:lang w:val="en-US"/>
        </w:rPr>
      </w:pPr>
      <w:r w:rsidRPr="00BF210F">
        <w:rPr>
          <w:rFonts w:cs="Times New Roman"/>
          <w:b/>
          <w:sz w:val="20"/>
          <w:szCs w:val="20"/>
        </w:rPr>
        <w:t xml:space="preserve">2. </w:t>
      </w:r>
      <w:r w:rsidR="002F17CD" w:rsidRPr="00BF210F">
        <w:rPr>
          <w:rFonts w:cs="Times New Roman"/>
          <w:b/>
          <w:sz w:val="20"/>
          <w:szCs w:val="20"/>
        </w:rPr>
        <w:t>Scopus</w:t>
      </w:r>
    </w:p>
    <w:p w14:paraId="2BE9104A" w14:textId="77777777" w:rsidR="002F17CD" w:rsidRPr="00BF210F" w:rsidRDefault="002F17CD" w:rsidP="00D66A20">
      <w:pPr>
        <w:rPr>
          <w:rFonts w:cs="Times New Roman"/>
          <w:sz w:val="20"/>
          <w:szCs w:val="20"/>
        </w:rPr>
      </w:pPr>
      <w:r w:rsidRPr="00BF210F">
        <w:rPr>
          <w:rFonts w:cs="Times New Roman"/>
          <w:sz w:val="20"/>
          <w:szCs w:val="20"/>
        </w:rPr>
        <w:t xml:space="preserve">( TITLE-ABS-KEY ( "breast cancer"  OR  "breast neoplasm"  OR  "breast tumor"  OR  "breast tumors"  OR  "breast tumour"  OR  "breast tumours" </w:t>
      </w:r>
      <w:r w:rsidR="00947ECF" w:rsidRPr="00BF210F">
        <w:rPr>
          <w:rFonts w:cs="Times New Roman"/>
          <w:sz w:val="20"/>
          <w:szCs w:val="20"/>
        </w:rPr>
        <w:t>OR "breast"</w:t>
      </w:r>
      <w:r w:rsidRPr="00BF210F">
        <w:rPr>
          <w:rFonts w:cs="Times New Roman"/>
          <w:sz w:val="20"/>
          <w:szCs w:val="20"/>
        </w:rPr>
        <w:t xml:space="preserve">)  AND  TITLE-ABS-KEY ( "HIV"  OR  "Human Immunodeficiency Virus"  OR  "Immunodeficiency Virus, Human"  OR  "AIDS"  OR  "Acquired Immune Deficiency Syndrome Virus"  OR  "Acquired Immune Deficiency Syndrome" ) )  AND  PUBYEAR  &lt;  </w:t>
      </w:r>
      <w:r w:rsidR="00947ECF" w:rsidRPr="00BF210F">
        <w:rPr>
          <w:rFonts w:cs="Times New Roman"/>
          <w:sz w:val="20"/>
          <w:szCs w:val="20"/>
        </w:rPr>
        <w:t>2020</w:t>
      </w:r>
    </w:p>
    <w:p w14:paraId="2722B5EF" w14:textId="77777777" w:rsidR="002F17CD" w:rsidRPr="00BF210F" w:rsidRDefault="002F17CD" w:rsidP="00D66A20">
      <w:pPr>
        <w:rPr>
          <w:rFonts w:cs="Times New Roman"/>
          <w:sz w:val="20"/>
          <w:szCs w:val="20"/>
          <w:lang w:val="en-US"/>
        </w:rPr>
      </w:pPr>
    </w:p>
    <w:p w14:paraId="79AA5D80" w14:textId="77777777" w:rsidR="002F17CD" w:rsidRPr="00BF210F" w:rsidRDefault="00896EA9" w:rsidP="00D66A20">
      <w:pPr>
        <w:ind w:firstLine="720"/>
        <w:rPr>
          <w:rFonts w:cs="Times New Roman"/>
          <w:sz w:val="20"/>
          <w:szCs w:val="20"/>
          <w:lang w:val="en-US"/>
        </w:rPr>
      </w:pPr>
      <w:r w:rsidRPr="00BF210F">
        <w:rPr>
          <w:rFonts w:cs="Times New Roman"/>
          <w:b/>
          <w:sz w:val="20"/>
          <w:szCs w:val="20"/>
          <w:lang w:val="en-US"/>
        </w:rPr>
        <w:t xml:space="preserve">3. </w:t>
      </w:r>
      <w:r w:rsidR="002F17CD" w:rsidRPr="00BF210F">
        <w:rPr>
          <w:rFonts w:cs="Times New Roman"/>
          <w:b/>
          <w:sz w:val="20"/>
          <w:szCs w:val="20"/>
        </w:rPr>
        <w:t>ISI Web of Knowledge</w:t>
      </w:r>
    </w:p>
    <w:p w14:paraId="17D1E2E0" w14:textId="77777777" w:rsidR="002F17CD" w:rsidRPr="00BF210F" w:rsidRDefault="002F17CD" w:rsidP="00D66A20">
      <w:pPr>
        <w:rPr>
          <w:rFonts w:cs="Times New Roman"/>
          <w:sz w:val="20"/>
          <w:szCs w:val="20"/>
          <w:lang w:val="en-US"/>
        </w:rPr>
      </w:pPr>
      <w:r w:rsidRPr="00BF210F">
        <w:rPr>
          <w:rFonts w:cs="Times New Roman"/>
          <w:sz w:val="20"/>
          <w:szCs w:val="20"/>
          <w:lang w:val="en-US"/>
        </w:rPr>
        <w:t>ALL=( "breast cancer"  OR  "breast neoplasm"  OR  "breast tumor"  OR  "breast tumors"  OR  "breast tumour"  OR  "breast tumours"</w:t>
      </w:r>
      <w:r w:rsidR="00947ECF" w:rsidRPr="00BF210F">
        <w:rPr>
          <w:rFonts w:cs="Times New Roman"/>
          <w:sz w:val="20"/>
          <w:szCs w:val="20"/>
          <w:lang w:val="en-US"/>
        </w:rPr>
        <w:t xml:space="preserve"> OR “breast”</w:t>
      </w:r>
      <w:r w:rsidRPr="00BF210F">
        <w:rPr>
          <w:rFonts w:cs="Times New Roman"/>
          <w:sz w:val="20"/>
          <w:szCs w:val="20"/>
          <w:lang w:val="en-US"/>
        </w:rPr>
        <w:t xml:space="preserve">)  AND  ALL=( "HIV"  OR  "Human Immunodeficiency Virus"  OR  "Immunodeficiency Virus, Human"  OR  "AIDS"  OR  "Acquired Immune Deficiency Syndrome Virus"  OR  "Acquired Immune Deficiency Syndrome" )   </w:t>
      </w:r>
    </w:p>
    <w:p w14:paraId="69F96A16" w14:textId="77777777" w:rsidR="002F17CD" w:rsidRPr="00BF210F" w:rsidRDefault="002F17CD" w:rsidP="00D66A20">
      <w:pPr>
        <w:rPr>
          <w:rFonts w:cs="Times New Roman"/>
          <w:sz w:val="20"/>
          <w:szCs w:val="20"/>
          <w:lang w:val="en-US"/>
        </w:rPr>
      </w:pPr>
    </w:p>
    <w:p w14:paraId="2067CF78" w14:textId="77777777" w:rsidR="002F17CD" w:rsidRPr="00BF210F" w:rsidRDefault="00896EA9" w:rsidP="00D66A20">
      <w:pPr>
        <w:ind w:firstLine="720"/>
        <w:rPr>
          <w:rFonts w:cs="Times New Roman"/>
          <w:sz w:val="20"/>
          <w:szCs w:val="20"/>
          <w:lang w:val="en-US"/>
        </w:rPr>
      </w:pPr>
      <w:r w:rsidRPr="00BF210F">
        <w:rPr>
          <w:rFonts w:cs="Times New Roman"/>
          <w:sz w:val="20"/>
          <w:szCs w:val="20"/>
          <w:lang w:val="en-US"/>
        </w:rPr>
        <w:t xml:space="preserve">4. </w:t>
      </w:r>
      <w:r w:rsidR="002F17CD" w:rsidRPr="00BF210F">
        <w:rPr>
          <w:rFonts w:cs="Times New Roman"/>
          <w:sz w:val="20"/>
          <w:szCs w:val="20"/>
          <w:lang w:val="en-US"/>
        </w:rPr>
        <w:t xml:space="preserve"> </w:t>
      </w:r>
      <w:r w:rsidR="002F17CD" w:rsidRPr="00BF210F">
        <w:rPr>
          <w:rFonts w:cs="Times New Roman"/>
          <w:b/>
          <w:sz w:val="20"/>
          <w:szCs w:val="20"/>
        </w:rPr>
        <w:t>LILACS</w:t>
      </w:r>
    </w:p>
    <w:p w14:paraId="498F03A3" w14:textId="77777777" w:rsidR="002F17CD" w:rsidRPr="00BF210F" w:rsidRDefault="002F17CD" w:rsidP="00D66A20">
      <w:pPr>
        <w:rPr>
          <w:rFonts w:cs="Times New Roman"/>
          <w:sz w:val="20"/>
          <w:szCs w:val="20"/>
          <w:lang w:val="en-US"/>
        </w:rPr>
      </w:pPr>
      <w:r w:rsidRPr="00BF210F">
        <w:rPr>
          <w:rFonts w:cs="Times New Roman"/>
          <w:sz w:val="20"/>
          <w:szCs w:val="20"/>
          <w:lang w:val="en-US"/>
        </w:rPr>
        <w:t>Breast AND HIV</w:t>
      </w:r>
    </w:p>
    <w:p w14:paraId="0E8B6447" w14:textId="77777777" w:rsidR="002F17CD" w:rsidRPr="00BF210F" w:rsidRDefault="002F17CD" w:rsidP="00D66A20">
      <w:pPr>
        <w:rPr>
          <w:rFonts w:cs="Times New Roman"/>
          <w:sz w:val="20"/>
          <w:szCs w:val="20"/>
          <w:lang w:val="en-US"/>
        </w:rPr>
      </w:pPr>
    </w:p>
    <w:p w14:paraId="1492A607" w14:textId="302715A3" w:rsidR="002F17CD" w:rsidRPr="00BF210F" w:rsidRDefault="00896EA9" w:rsidP="00D66A20">
      <w:pPr>
        <w:ind w:firstLine="720"/>
        <w:rPr>
          <w:rFonts w:cs="Times New Roman"/>
          <w:sz w:val="20"/>
          <w:szCs w:val="20"/>
          <w:lang w:val="en-US"/>
        </w:rPr>
      </w:pPr>
      <w:r w:rsidRPr="00BF210F">
        <w:rPr>
          <w:rFonts w:cs="Times New Roman"/>
          <w:sz w:val="20"/>
          <w:szCs w:val="20"/>
          <w:lang w:val="en-US"/>
        </w:rPr>
        <w:t>5.</w:t>
      </w:r>
      <w:r w:rsidR="002F17CD" w:rsidRPr="00BF210F">
        <w:rPr>
          <w:rFonts w:cs="Times New Roman"/>
          <w:sz w:val="20"/>
          <w:szCs w:val="20"/>
          <w:lang w:val="en-US"/>
        </w:rPr>
        <w:t xml:space="preserve"> </w:t>
      </w:r>
      <w:r w:rsidR="002F17CD" w:rsidRPr="00BF210F">
        <w:rPr>
          <w:rFonts w:cs="Times New Roman"/>
          <w:b/>
          <w:sz w:val="20"/>
          <w:szCs w:val="20"/>
          <w:lang w:val="en-US"/>
        </w:rPr>
        <w:t>Sc</w:t>
      </w:r>
      <w:r w:rsidR="00D40576" w:rsidRPr="00BF210F">
        <w:rPr>
          <w:rFonts w:cs="Times New Roman"/>
          <w:b/>
          <w:sz w:val="20"/>
          <w:szCs w:val="20"/>
          <w:lang w:val="en-US"/>
        </w:rPr>
        <w:t>iELO</w:t>
      </w:r>
    </w:p>
    <w:p w14:paraId="58F810CA" w14:textId="77777777" w:rsidR="002F17CD" w:rsidRPr="00BF210F" w:rsidRDefault="002F17CD" w:rsidP="00D66A20">
      <w:pPr>
        <w:rPr>
          <w:rFonts w:cs="Times New Roman"/>
          <w:sz w:val="20"/>
          <w:szCs w:val="20"/>
          <w:lang w:val="en-US"/>
        </w:rPr>
      </w:pPr>
      <w:r w:rsidRPr="00BF210F">
        <w:rPr>
          <w:rFonts w:cs="Times New Roman"/>
          <w:sz w:val="20"/>
          <w:szCs w:val="20"/>
          <w:lang w:val="en-US"/>
        </w:rPr>
        <w:t>Breast AND HIV</w:t>
      </w:r>
    </w:p>
    <w:p w14:paraId="3FA902B4" w14:textId="77777777" w:rsidR="008A0464" w:rsidRPr="00BF210F" w:rsidRDefault="008A0464" w:rsidP="00D66A20">
      <w:pPr>
        <w:rPr>
          <w:rFonts w:cs="Times New Roman"/>
          <w:sz w:val="20"/>
          <w:szCs w:val="20"/>
          <w:lang w:val="en-US"/>
        </w:rPr>
      </w:pPr>
    </w:p>
    <w:p w14:paraId="51D98DC1" w14:textId="77777777" w:rsidR="008A0464" w:rsidRPr="00BF210F" w:rsidRDefault="008A0464" w:rsidP="00D66A20">
      <w:pPr>
        <w:rPr>
          <w:rFonts w:cs="Times New Roman"/>
          <w:sz w:val="20"/>
          <w:szCs w:val="20"/>
          <w:lang w:val="en-US"/>
        </w:rPr>
      </w:pPr>
    </w:p>
    <w:p w14:paraId="22200134" w14:textId="38601751" w:rsidR="008A0464" w:rsidRPr="00BF210F" w:rsidRDefault="008A0464" w:rsidP="00D66A20">
      <w:pPr>
        <w:rPr>
          <w:rFonts w:cs="Times New Roman"/>
          <w:sz w:val="20"/>
          <w:szCs w:val="20"/>
          <w:lang w:val="en-US"/>
        </w:rPr>
      </w:pPr>
      <w:r w:rsidRPr="00BF210F">
        <w:rPr>
          <w:rFonts w:cs="Times New Roman"/>
          <w:sz w:val="20"/>
          <w:szCs w:val="20"/>
          <w:lang w:val="en-US"/>
        </w:rPr>
        <w:t>Manual search of abstracts from major conferences, taking place from 2016</w:t>
      </w:r>
      <w:r w:rsidR="004559C5" w:rsidRPr="00BF210F">
        <w:rPr>
          <w:rFonts w:cs="Times New Roman"/>
          <w:sz w:val="20"/>
          <w:szCs w:val="20"/>
          <w:lang w:val="en-US"/>
        </w:rPr>
        <w:t xml:space="preserve"> to </w:t>
      </w:r>
      <w:r w:rsidRPr="00BF210F">
        <w:rPr>
          <w:rFonts w:cs="Times New Roman"/>
          <w:sz w:val="20"/>
          <w:szCs w:val="20"/>
          <w:lang w:val="en-US"/>
        </w:rPr>
        <w:t>January 2020:</w:t>
      </w:r>
    </w:p>
    <w:p w14:paraId="40DAE46F" w14:textId="77777777" w:rsidR="008A0464" w:rsidRPr="00BF210F" w:rsidRDefault="008A0464" w:rsidP="008A0464">
      <w:pPr>
        <w:pStyle w:val="ListParagraph"/>
        <w:numPr>
          <w:ilvl w:val="0"/>
          <w:numId w:val="5"/>
        </w:numPr>
        <w:rPr>
          <w:rFonts w:cs="Times New Roman"/>
          <w:sz w:val="20"/>
          <w:szCs w:val="20"/>
          <w:lang w:val="en-US"/>
        </w:rPr>
      </w:pPr>
      <w:r w:rsidRPr="00BF210F">
        <w:rPr>
          <w:rFonts w:cs="Times New Roman"/>
          <w:sz w:val="20"/>
          <w:szCs w:val="20"/>
          <w:lang w:val="en-US"/>
        </w:rPr>
        <w:t>American Society of Clinical Oncology Annual Meeting</w:t>
      </w:r>
    </w:p>
    <w:p w14:paraId="287A472C" w14:textId="77777777" w:rsidR="008A0464" w:rsidRPr="00BF210F" w:rsidRDefault="008A0464" w:rsidP="008A0464">
      <w:pPr>
        <w:pStyle w:val="ListParagraph"/>
        <w:numPr>
          <w:ilvl w:val="0"/>
          <w:numId w:val="5"/>
        </w:numPr>
        <w:rPr>
          <w:rFonts w:cs="Times New Roman"/>
          <w:sz w:val="20"/>
          <w:szCs w:val="20"/>
          <w:lang w:val="en-US"/>
        </w:rPr>
      </w:pPr>
      <w:r w:rsidRPr="00BF210F">
        <w:rPr>
          <w:rFonts w:cs="Times New Roman"/>
          <w:sz w:val="20"/>
          <w:szCs w:val="20"/>
          <w:lang w:val="en-US"/>
        </w:rPr>
        <w:t>AORTIC's International Conference on Cancer in Africa</w:t>
      </w:r>
    </w:p>
    <w:p w14:paraId="76093C72" w14:textId="77777777" w:rsidR="008A0464" w:rsidRPr="00BF210F" w:rsidRDefault="008A0464" w:rsidP="008A0464">
      <w:pPr>
        <w:pStyle w:val="ListParagraph"/>
        <w:numPr>
          <w:ilvl w:val="0"/>
          <w:numId w:val="5"/>
        </w:numPr>
        <w:rPr>
          <w:rFonts w:cs="Times New Roman"/>
          <w:sz w:val="20"/>
          <w:szCs w:val="20"/>
          <w:lang w:val="en-US"/>
        </w:rPr>
      </w:pPr>
      <w:r w:rsidRPr="00BF210F">
        <w:rPr>
          <w:rFonts w:cs="Times New Roman"/>
          <w:sz w:val="20"/>
          <w:szCs w:val="20"/>
          <w:lang w:val="en-US"/>
        </w:rPr>
        <w:t>Conference on Retroviruses and Opportunistic Infections</w:t>
      </w:r>
    </w:p>
    <w:p w14:paraId="35A84A59" w14:textId="77777777" w:rsidR="00A32E68" w:rsidRPr="00BF210F" w:rsidRDefault="00A32E68" w:rsidP="00A32E68">
      <w:pPr>
        <w:pStyle w:val="ListParagraph"/>
        <w:numPr>
          <w:ilvl w:val="0"/>
          <w:numId w:val="5"/>
        </w:numPr>
        <w:rPr>
          <w:rFonts w:cs="Times New Roman"/>
          <w:sz w:val="20"/>
          <w:szCs w:val="20"/>
          <w:lang w:val="en-US"/>
        </w:rPr>
      </w:pPr>
      <w:r w:rsidRPr="00BF210F">
        <w:rPr>
          <w:rFonts w:cs="Times New Roman"/>
          <w:sz w:val="20"/>
          <w:szCs w:val="20"/>
          <w:lang w:val="en-US"/>
        </w:rPr>
        <w:t>ESMO Breast Cancer Congress</w:t>
      </w:r>
    </w:p>
    <w:p w14:paraId="4BB306FD" w14:textId="77777777" w:rsidR="007D1FA3" w:rsidRPr="00BF210F" w:rsidRDefault="007D1FA3" w:rsidP="007D1FA3">
      <w:pPr>
        <w:pStyle w:val="ListParagraph"/>
        <w:numPr>
          <w:ilvl w:val="0"/>
          <w:numId w:val="5"/>
        </w:numPr>
        <w:rPr>
          <w:rFonts w:cs="Times New Roman"/>
          <w:sz w:val="20"/>
          <w:szCs w:val="20"/>
          <w:lang w:val="en-US"/>
        </w:rPr>
      </w:pPr>
      <w:r w:rsidRPr="00BF210F">
        <w:rPr>
          <w:rFonts w:cs="Times New Roman"/>
          <w:sz w:val="20"/>
          <w:szCs w:val="20"/>
          <w:lang w:val="en-US"/>
        </w:rPr>
        <w:t>European Society for Medical Oncology (ESMO) Congress</w:t>
      </w:r>
    </w:p>
    <w:p w14:paraId="514E9294" w14:textId="77777777" w:rsidR="008A0464" w:rsidRPr="00BF210F" w:rsidRDefault="008A0464" w:rsidP="008A0464">
      <w:pPr>
        <w:pStyle w:val="ListParagraph"/>
        <w:numPr>
          <w:ilvl w:val="0"/>
          <w:numId w:val="5"/>
        </w:numPr>
        <w:rPr>
          <w:rFonts w:cs="Arial"/>
          <w:sz w:val="20"/>
          <w:szCs w:val="20"/>
          <w:lang w:val="en-US"/>
        </w:rPr>
      </w:pPr>
      <w:r w:rsidRPr="00BF210F">
        <w:rPr>
          <w:rFonts w:cs="Times New Roman"/>
          <w:sz w:val="20"/>
          <w:szCs w:val="20"/>
          <w:lang w:val="en-US"/>
        </w:rPr>
        <w:t>San Antonio Breast Cancer Symposium</w:t>
      </w:r>
      <w:r w:rsidRPr="00BF210F">
        <w:rPr>
          <w:rFonts w:cs="Arial"/>
          <w:sz w:val="20"/>
          <w:szCs w:val="20"/>
          <w:lang w:val="en-US"/>
        </w:rPr>
        <w:br w:type="page"/>
      </w:r>
    </w:p>
    <w:p w14:paraId="4E5A1101" w14:textId="77777777" w:rsidR="002F17CD" w:rsidRPr="00BF210F" w:rsidRDefault="002F17CD" w:rsidP="00D66A20">
      <w:pPr>
        <w:rPr>
          <w:rFonts w:cs="Arial"/>
          <w:lang w:val="en-US"/>
        </w:rPr>
        <w:sectPr w:rsidR="002F17CD" w:rsidRPr="00BF210F" w:rsidSect="00D837F4">
          <w:footerReference w:type="default" r:id="rId7"/>
          <w:pgSz w:w="11906" w:h="16838"/>
          <w:pgMar w:top="1134" w:right="1134" w:bottom="1134" w:left="1134" w:header="454" w:footer="454" w:gutter="0"/>
          <w:cols w:space="708"/>
          <w:docGrid w:linePitch="360"/>
        </w:sectPr>
      </w:pPr>
    </w:p>
    <w:p w14:paraId="704B3A03" w14:textId="1621C65D" w:rsidR="006C76AB" w:rsidRPr="00BF210F" w:rsidRDefault="00BF210F" w:rsidP="00D66A20">
      <w:pPr>
        <w:rPr>
          <w:rFonts w:cs="Arial"/>
          <w:b/>
          <w:sz w:val="24"/>
          <w:szCs w:val="24"/>
          <w:lang w:val="en-US"/>
        </w:rPr>
      </w:pPr>
      <w:r>
        <w:rPr>
          <w:rFonts w:cs="Arial"/>
          <w:b/>
          <w:sz w:val="24"/>
          <w:szCs w:val="24"/>
          <w:lang w:val="en-US"/>
        </w:rPr>
        <w:lastRenderedPageBreak/>
        <w:t xml:space="preserve">Supplementary </w:t>
      </w:r>
      <w:r w:rsidR="00D66A20" w:rsidRPr="00BF210F">
        <w:rPr>
          <w:rFonts w:cs="Arial"/>
          <w:b/>
          <w:sz w:val="24"/>
          <w:szCs w:val="24"/>
          <w:lang w:val="en-US"/>
        </w:rPr>
        <w:t>Table 1</w:t>
      </w:r>
      <w:r w:rsidR="0062595D" w:rsidRPr="00BF210F">
        <w:rPr>
          <w:rFonts w:cs="Arial"/>
          <w:b/>
          <w:sz w:val="24"/>
          <w:szCs w:val="24"/>
          <w:lang w:val="en-US"/>
        </w:rPr>
        <w:t xml:space="preserve"> –</w:t>
      </w:r>
      <w:r w:rsidR="006C76AB" w:rsidRPr="00BF210F">
        <w:rPr>
          <w:rFonts w:cs="Arial"/>
          <w:b/>
          <w:sz w:val="24"/>
          <w:szCs w:val="24"/>
          <w:lang w:val="en-US"/>
        </w:rPr>
        <w:t xml:space="preserve"> Quality assessment of studies included.</w:t>
      </w:r>
    </w:p>
    <w:p w14:paraId="10FD7F73" w14:textId="77777777" w:rsidR="00D837F4" w:rsidRPr="00BF210F" w:rsidRDefault="00D837F4" w:rsidP="00D66A20">
      <w:pPr>
        <w:rPr>
          <w:rFonts w:cs="Arial"/>
          <w:b/>
          <w:lang w:val="en-US"/>
        </w:rPr>
      </w:pPr>
    </w:p>
    <w:tbl>
      <w:tblPr>
        <w:tblStyle w:val="TableGrid"/>
        <w:tblW w:w="15197" w:type="dxa"/>
        <w:tblInd w:w="-318" w:type="dxa"/>
        <w:tblLayout w:type="fixed"/>
        <w:tblLook w:val="04A0" w:firstRow="1" w:lastRow="0" w:firstColumn="1" w:lastColumn="0" w:noHBand="0" w:noVBand="1"/>
      </w:tblPr>
      <w:tblGrid>
        <w:gridCol w:w="1419"/>
        <w:gridCol w:w="1417"/>
        <w:gridCol w:w="851"/>
        <w:gridCol w:w="850"/>
        <w:gridCol w:w="2552"/>
        <w:gridCol w:w="2003"/>
        <w:gridCol w:w="2004"/>
        <w:gridCol w:w="2004"/>
        <w:gridCol w:w="2097"/>
      </w:tblGrid>
      <w:tr w:rsidR="00D837F4" w:rsidRPr="004142EA" w14:paraId="6DE3D598" w14:textId="77777777" w:rsidTr="00664E5A">
        <w:trPr>
          <w:cantSplit/>
          <w:tblHeader/>
        </w:trPr>
        <w:tc>
          <w:tcPr>
            <w:tcW w:w="1419" w:type="dxa"/>
          </w:tcPr>
          <w:p w14:paraId="680F2A14" w14:textId="77777777" w:rsidR="00D837F4" w:rsidRPr="004142EA" w:rsidRDefault="00D837F4" w:rsidP="00D66A20">
            <w:pPr>
              <w:jc w:val="center"/>
              <w:rPr>
                <w:rFonts w:cs="Arial"/>
                <w:b/>
                <w:sz w:val="16"/>
                <w:szCs w:val="20"/>
                <w:lang w:val="en-US"/>
              </w:rPr>
            </w:pPr>
            <w:r w:rsidRPr="004142EA">
              <w:rPr>
                <w:rFonts w:cs="Arial"/>
                <w:b/>
                <w:sz w:val="16"/>
                <w:szCs w:val="20"/>
                <w:lang w:val="en-US"/>
              </w:rPr>
              <w:t>First author, year</w:t>
            </w:r>
          </w:p>
        </w:tc>
        <w:tc>
          <w:tcPr>
            <w:tcW w:w="1417" w:type="dxa"/>
          </w:tcPr>
          <w:p w14:paraId="28CE3029" w14:textId="77777777" w:rsidR="00D837F4" w:rsidRPr="004142EA" w:rsidRDefault="00D837F4" w:rsidP="00D66A20">
            <w:pPr>
              <w:jc w:val="center"/>
              <w:rPr>
                <w:rFonts w:cs="Arial"/>
                <w:b/>
                <w:sz w:val="16"/>
                <w:szCs w:val="20"/>
              </w:rPr>
            </w:pPr>
            <w:r w:rsidRPr="004142EA">
              <w:rPr>
                <w:rFonts w:cs="Arial"/>
                <w:b/>
                <w:sz w:val="16"/>
                <w:szCs w:val="20"/>
              </w:rPr>
              <w:t>Study design</w:t>
            </w:r>
          </w:p>
        </w:tc>
        <w:tc>
          <w:tcPr>
            <w:tcW w:w="851" w:type="dxa"/>
          </w:tcPr>
          <w:p w14:paraId="091A6825" w14:textId="77777777" w:rsidR="00D837F4" w:rsidRPr="004142EA" w:rsidRDefault="00D837F4" w:rsidP="00D66A20">
            <w:pPr>
              <w:jc w:val="center"/>
              <w:rPr>
                <w:rFonts w:cs="Arial"/>
                <w:b/>
                <w:sz w:val="16"/>
                <w:szCs w:val="20"/>
                <w:lang w:val="en-US"/>
              </w:rPr>
            </w:pPr>
            <w:r w:rsidRPr="004142EA">
              <w:rPr>
                <w:rFonts w:cs="Arial"/>
                <w:b/>
                <w:sz w:val="16"/>
                <w:szCs w:val="20"/>
                <w:lang w:val="en-US"/>
              </w:rPr>
              <w:t>Pros-pective?</w:t>
            </w:r>
          </w:p>
        </w:tc>
        <w:tc>
          <w:tcPr>
            <w:tcW w:w="850" w:type="dxa"/>
          </w:tcPr>
          <w:p w14:paraId="5519FF59" w14:textId="77777777" w:rsidR="00D837F4" w:rsidRPr="004142EA" w:rsidRDefault="00D837F4" w:rsidP="00D66A20">
            <w:pPr>
              <w:jc w:val="center"/>
              <w:rPr>
                <w:rFonts w:cs="Arial"/>
                <w:b/>
                <w:sz w:val="16"/>
                <w:szCs w:val="20"/>
                <w:lang w:val="en-US"/>
              </w:rPr>
            </w:pPr>
            <w:r w:rsidRPr="004142EA">
              <w:rPr>
                <w:rFonts w:cs="Arial"/>
                <w:b/>
                <w:sz w:val="16"/>
                <w:szCs w:val="20"/>
                <w:lang w:val="en-US"/>
              </w:rPr>
              <w:t>BC only?</w:t>
            </w:r>
          </w:p>
        </w:tc>
        <w:tc>
          <w:tcPr>
            <w:tcW w:w="2552" w:type="dxa"/>
          </w:tcPr>
          <w:p w14:paraId="6165E41A" w14:textId="77777777" w:rsidR="00D837F4" w:rsidRPr="004142EA" w:rsidRDefault="00D837F4" w:rsidP="00D66A20">
            <w:pPr>
              <w:jc w:val="center"/>
              <w:rPr>
                <w:rFonts w:cs="Arial"/>
                <w:b/>
                <w:sz w:val="16"/>
                <w:szCs w:val="20"/>
                <w:lang w:val="en-US"/>
              </w:rPr>
            </w:pPr>
            <w:r w:rsidRPr="004142EA">
              <w:rPr>
                <w:rFonts w:cs="Arial"/>
                <w:b/>
                <w:sz w:val="16"/>
                <w:szCs w:val="20"/>
                <w:lang w:val="en-US"/>
              </w:rPr>
              <w:t>Patient selection</w:t>
            </w:r>
          </w:p>
        </w:tc>
        <w:tc>
          <w:tcPr>
            <w:tcW w:w="2003" w:type="dxa"/>
          </w:tcPr>
          <w:p w14:paraId="1CECB36E" w14:textId="77777777" w:rsidR="00D837F4" w:rsidRPr="004142EA" w:rsidRDefault="00D837F4" w:rsidP="00D66A20">
            <w:pPr>
              <w:jc w:val="center"/>
              <w:rPr>
                <w:rFonts w:cs="Arial"/>
                <w:b/>
                <w:sz w:val="16"/>
                <w:szCs w:val="20"/>
                <w:lang w:val="en-US"/>
              </w:rPr>
            </w:pPr>
            <w:r w:rsidRPr="004142EA">
              <w:rPr>
                <w:rFonts w:cs="Arial"/>
                <w:b/>
                <w:sz w:val="16"/>
                <w:szCs w:val="20"/>
                <w:lang w:val="en-US"/>
              </w:rPr>
              <w:t>Stage definition according to TNM classification</w:t>
            </w:r>
          </w:p>
        </w:tc>
        <w:tc>
          <w:tcPr>
            <w:tcW w:w="2004" w:type="dxa"/>
          </w:tcPr>
          <w:p w14:paraId="3FAC51B6" w14:textId="77777777" w:rsidR="00D837F4" w:rsidRPr="004142EA" w:rsidRDefault="00D837F4" w:rsidP="00D66A20">
            <w:pPr>
              <w:jc w:val="center"/>
              <w:rPr>
                <w:rFonts w:cs="Arial"/>
                <w:b/>
                <w:sz w:val="16"/>
                <w:szCs w:val="20"/>
                <w:lang w:val="en-US"/>
              </w:rPr>
            </w:pPr>
            <w:r w:rsidRPr="004142EA">
              <w:rPr>
                <w:rFonts w:cs="Arial"/>
                <w:b/>
                <w:sz w:val="16"/>
                <w:szCs w:val="20"/>
                <w:lang w:val="en-US"/>
              </w:rPr>
              <w:t xml:space="preserve">Definition of ER and HER2 status </w:t>
            </w:r>
          </w:p>
        </w:tc>
        <w:tc>
          <w:tcPr>
            <w:tcW w:w="2004" w:type="dxa"/>
          </w:tcPr>
          <w:p w14:paraId="50C78949" w14:textId="77777777" w:rsidR="00D837F4" w:rsidRPr="004142EA" w:rsidRDefault="00D837F4" w:rsidP="00D66A20">
            <w:pPr>
              <w:jc w:val="center"/>
              <w:rPr>
                <w:rFonts w:cs="Arial"/>
                <w:b/>
                <w:sz w:val="16"/>
                <w:szCs w:val="20"/>
                <w:lang w:val="en-US"/>
              </w:rPr>
            </w:pPr>
            <w:r w:rsidRPr="004142EA">
              <w:rPr>
                <w:rFonts w:cs="Arial"/>
                <w:b/>
                <w:sz w:val="16"/>
                <w:szCs w:val="20"/>
                <w:lang w:val="en-US"/>
              </w:rPr>
              <w:t>Survival analysis: median FU and loss to FU</w:t>
            </w:r>
          </w:p>
        </w:tc>
        <w:tc>
          <w:tcPr>
            <w:tcW w:w="2097" w:type="dxa"/>
          </w:tcPr>
          <w:p w14:paraId="11EA8B04" w14:textId="77777777" w:rsidR="00D837F4" w:rsidRPr="004142EA" w:rsidRDefault="00D837F4" w:rsidP="00D66A20">
            <w:pPr>
              <w:jc w:val="center"/>
              <w:rPr>
                <w:rFonts w:cs="Arial"/>
                <w:b/>
                <w:sz w:val="16"/>
                <w:szCs w:val="20"/>
                <w:lang w:val="en-US"/>
              </w:rPr>
            </w:pPr>
            <w:r w:rsidRPr="004142EA">
              <w:rPr>
                <w:rFonts w:cs="Arial"/>
                <w:b/>
                <w:sz w:val="16"/>
                <w:szCs w:val="20"/>
                <w:lang w:val="en-US"/>
              </w:rPr>
              <w:t>Survival analysis: Adjustment for confounding</w:t>
            </w:r>
          </w:p>
        </w:tc>
      </w:tr>
      <w:tr w:rsidR="00D837F4" w:rsidRPr="004142EA" w14:paraId="2269F486" w14:textId="77777777" w:rsidTr="00664E5A">
        <w:trPr>
          <w:cantSplit/>
        </w:trPr>
        <w:tc>
          <w:tcPr>
            <w:tcW w:w="1419" w:type="dxa"/>
          </w:tcPr>
          <w:p w14:paraId="58860A73" w14:textId="38AA2655" w:rsidR="00D837F4" w:rsidRPr="004142EA" w:rsidRDefault="00D837F4" w:rsidP="00D66A20">
            <w:pPr>
              <w:rPr>
                <w:rFonts w:cs="Arial"/>
                <w:sz w:val="16"/>
                <w:szCs w:val="20"/>
                <w:lang w:val="en-US"/>
              </w:rPr>
            </w:pPr>
            <w:r w:rsidRPr="004142EA">
              <w:rPr>
                <w:rFonts w:cs="Arial"/>
                <w:sz w:val="16"/>
                <w:szCs w:val="20"/>
                <w:lang w:val="en-US"/>
              </w:rPr>
              <w:t>Biggar et al (2005)</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bxVuk1Ec","properties":{"formattedCitation":"[1]","plainCitation":"[1]","noteIndex":0},"citationItems":[{"id":3402,"uris":["http://zotero.org/users/4481446/items/I486A2IC"],"uri":["http://zotero.org/users/4481446/items/I486A2IC"],"itemData":{"id":3402,"type":"article-journal","abstract":"Summary:The survival of persons with AIDS (PWA) has recently improved because of better antiretroviral therapies. Similarly, the prognosis of cancer has also improved. To determine if survival in PWA with cancer has also improved, we compared cancer survival in adults with and without AIDS using dat","container-title":"Jaids Journal of Acquired Immune Deficiency Syndromes","DOI":"10.1097/01.qai.0000164033.02947.e3","ISSN":"1525-4135","issue":"3","language":"ENGLISH","note":"PMID: 15980688","page":"293-299","source":"insights.ovid.com","title":"Survival After Cancer Diagnosis in Persons With AIDS","volume":"39","author":[{"family":"Biggar","given":"Robert"},{"family":"Engels","given":"Eric"},{"family":"Ly","given":"Sonny"},{"family":"Kahn","given":"Amy"},{"family":"Schymura","given":"Maria"},{"family":"Sackoff","given":"Judith"},{"family":"Virgo","given":"Phillip"},{"family":"Pfeiffer","given":"Ruth"}],"issued":{"date-parts":[["2005",7,1]]}}}],"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[1]</w:t>
            </w:r>
            <w:r w:rsidRPr="004142EA">
              <w:rPr>
                <w:rFonts w:cs="Arial"/>
                <w:sz w:val="16"/>
                <w:szCs w:val="20"/>
                <w:lang w:val="en-US"/>
              </w:rPr>
              <w:fldChar w:fldCharType="end"/>
            </w:r>
          </w:p>
        </w:tc>
        <w:tc>
          <w:tcPr>
            <w:tcW w:w="1417" w:type="dxa"/>
          </w:tcPr>
          <w:p w14:paraId="294BBCB7" w14:textId="77777777" w:rsidR="00D837F4" w:rsidRPr="004142EA" w:rsidRDefault="00D837F4" w:rsidP="00D66A20">
            <w:pPr>
              <w:rPr>
                <w:rFonts w:cs="Arial"/>
                <w:sz w:val="16"/>
                <w:szCs w:val="20"/>
              </w:rPr>
            </w:pPr>
            <w:r w:rsidRPr="004142EA">
              <w:rPr>
                <w:rFonts w:cs="Arial"/>
                <w:sz w:val="16"/>
                <w:szCs w:val="20"/>
              </w:rPr>
              <w:t>Linkage study</w:t>
            </w:r>
          </w:p>
        </w:tc>
        <w:tc>
          <w:tcPr>
            <w:tcW w:w="851" w:type="dxa"/>
          </w:tcPr>
          <w:p w14:paraId="59937146" w14:textId="77777777" w:rsidR="00D837F4" w:rsidRPr="004142EA" w:rsidRDefault="00D837F4" w:rsidP="00D66A20">
            <w:pPr>
              <w:jc w:val="center"/>
              <w:rPr>
                <w:rFonts w:cs="Arial"/>
                <w:sz w:val="16"/>
                <w:szCs w:val="20"/>
              </w:rPr>
            </w:pPr>
            <w:r w:rsidRPr="004142EA">
              <w:rPr>
                <w:rFonts w:cs="Arial"/>
                <w:sz w:val="16"/>
                <w:szCs w:val="20"/>
              </w:rPr>
              <w:t>No</w:t>
            </w:r>
          </w:p>
        </w:tc>
        <w:tc>
          <w:tcPr>
            <w:tcW w:w="850" w:type="dxa"/>
          </w:tcPr>
          <w:p w14:paraId="086D7E7F" w14:textId="77777777" w:rsidR="00D837F4" w:rsidRPr="004142EA" w:rsidRDefault="00D837F4" w:rsidP="00D66A20">
            <w:pPr>
              <w:jc w:val="center"/>
              <w:rPr>
                <w:rFonts w:cs="Arial"/>
                <w:sz w:val="16"/>
                <w:szCs w:val="20"/>
              </w:rPr>
            </w:pPr>
            <w:r w:rsidRPr="004142EA">
              <w:rPr>
                <w:rFonts w:cs="Arial"/>
                <w:sz w:val="16"/>
                <w:szCs w:val="20"/>
              </w:rPr>
              <w:t>No</w:t>
            </w:r>
          </w:p>
        </w:tc>
        <w:tc>
          <w:tcPr>
            <w:tcW w:w="2552" w:type="dxa"/>
          </w:tcPr>
          <w:p w14:paraId="6B9A8F79" w14:textId="77777777" w:rsidR="00D837F4" w:rsidRPr="004142EA" w:rsidRDefault="00D837F4" w:rsidP="00D66A20">
            <w:pPr>
              <w:autoSpaceDE w:val="0"/>
              <w:autoSpaceDN w:val="0"/>
              <w:adjustRightInd w:val="0"/>
              <w:rPr>
                <w:rFonts w:cs="Arial"/>
                <w:sz w:val="16"/>
                <w:szCs w:val="20"/>
                <w:lang w:val="en-US"/>
              </w:rPr>
            </w:pPr>
            <w:r w:rsidRPr="004142EA">
              <w:rPr>
                <w:rFonts w:cs="Arial"/>
                <w:sz w:val="16"/>
                <w:szCs w:val="20"/>
              </w:rPr>
              <w:t xml:space="preserve">Population-based study: linked data about persons from the statewide New York State Cancer Registry to persons registered in the New York City HIV/AIDS Registry to obtain information about the AIDS status of the cancer cases. </w:t>
            </w:r>
            <w:r w:rsidRPr="004142EA">
              <w:rPr>
                <w:rFonts w:cs="Arial"/>
                <w:b/>
                <w:sz w:val="16"/>
                <w:szCs w:val="20"/>
                <w:lang w:val="en-US"/>
              </w:rPr>
              <w:t>Low risk</w:t>
            </w:r>
          </w:p>
        </w:tc>
        <w:tc>
          <w:tcPr>
            <w:tcW w:w="2003" w:type="dxa"/>
            <w:shd w:val="clear" w:color="auto" w:fill="D9D9D9" w:themeFill="background1" w:themeFillShade="D9"/>
          </w:tcPr>
          <w:p w14:paraId="237EFDC9" w14:textId="77777777" w:rsidR="00D837F4" w:rsidRPr="004142EA" w:rsidRDefault="00D837F4" w:rsidP="00D66A20">
            <w:pPr>
              <w:rPr>
                <w:rFonts w:cs="Arial"/>
                <w:sz w:val="16"/>
                <w:szCs w:val="20"/>
                <w:lang w:val="en-US"/>
              </w:rPr>
            </w:pPr>
            <w:r w:rsidRPr="004142EA">
              <w:rPr>
                <w:rFonts w:cs="Arial"/>
                <w:sz w:val="16"/>
                <w:szCs w:val="20"/>
                <w:lang w:val="en-US"/>
              </w:rPr>
              <w:t>NA</w:t>
            </w:r>
          </w:p>
        </w:tc>
        <w:tc>
          <w:tcPr>
            <w:tcW w:w="2004" w:type="dxa"/>
            <w:shd w:val="clear" w:color="auto" w:fill="D9D9D9" w:themeFill="background1" w:themeFillShade="D9"/>
          </w:tcPr>
          <w:p w14:paraId="59DABFFD" w14:textId="77777777" w:rsidR="00D837F4" w:rsidRPr="004142EA" w:rsidRDefault="00D837F4" w:rsidP="00D66A20">
            <w:pPr>
              <w:rPr>
                <w:rFonts w:cs="Arial"/>
                <w:sz w:val="16"/>
                <w:szCs w:val="20"/>
                <w:lang w:val="en-US"/>
              </w:rPr>
            </w:pPr>
            <w:r w:rsidRPr="004142EA">
              <w:rPr>
                <w:rFonts w:cs="Arial"/>
                <w:sz w:val="16"/>
                <w:szCs w:val="20"/>
                <w:lang w:val="en-US"/>
              </w:rPr>
              <w:t>NA</w:t>
            </w:r>
          </w:p>
        </w:tc>
        <w:tc>
          <w:tcPr>
            <w:tcW w:w="2004" w:type="dxa"/>
          </w:tcPr>
          <w:p w14:paraId="16405808" w14:textId="4136AE73" w:rsidR="00D837F4" w:rsidRPr="004142EA" w:rsidRDefault="00D837F4" w:rsidP="00230C5D">
            <w:pPr>
              <w:rPr>
                <w:rFonts w:cs="Arial"/>
                <w:sz w:val="16"/>
                <w:szCs w:val="20"/>
                <w:lang w:val="en-US"/>
              </w:rPr>
            </w:pPr>
            <w:r w:rsidRPr="004142EA">
              <w:rPr>
                <w:rFonts w:cs="Arial"/>
                <w:sz w:val="16"/>
                <w:szCs w:val="20"/>
                <w:lang w:val="en-US"/>
              </w:rPr>
              <w:t>FU was limited to 24 months after cancer diagnoses. Death</w:t>
            </w:r>
            <w:r w:rsidR="00230C5D">
              <w:rPr>
                <w:rFonts w:cs="Arial"/>
                <w:sz w:val="16"/>
                <w:szCs w:val="20"/>
                <w:lang w:val="en-US"/>
              </w:rPr>
              <w:t xml:space="preserve"> </w:t>
            </w:r>
            <w:r w:rsidRPr="004142EA">
              <w:rPr>
                <w:rFonts w:cs="Arial"/>
                <w:sz w:val="16"/>
                <w:szCs w:val="20"/>
                <w:lang w:val="en-US"/>
              </w:rPr>
              <w:t xml:space="preserve">information was considered to be more than 95% complete by the New York State Cancer Registry. </w:t>
            </w:r>
            <w:r w:rsidRPr="004142EA">
              <w:rPr>
                <w:rFonts w:cs="Arial"/>
                <w:b/>
                <w:sz w:val="16"/>
                <w:szCs w:val="20"/>
                <w:lang w:val="en-US"/>
              </w:rPr>
              <w:t>Low-medium risk.</w:t>
            </w:r>
          </w:p>
        </w:tc>
        <w:tc>
          <w:tcPr>
            <w:tcW w:w="2097" w:type="dxa"/>
          </w:tcPr>
          <w:p w14:paraId="3D7DE93F" w14:textId="77777777" w:rsidR="00D837F4" w:rsidRPr="004142EA" w:rsidRDefault="00D837F4" w:rsidP="00D66A20">
            <w:pPr>
              <w:rPr>
                <w:rFonts w:cs="Arial"/>
                <w:sz w:val="16"/>
                <w:szCs w:val="20"/>
                <w:lang w:val="en-US"/>
              </w:rPr>
            </w:pPr>
            <w:r w:rsidRPr="004142EA">
              <w:rPr>
                <w:rFonts w:cs="Arial"/>
                <w:sz w:val="16"/>
                <w:szCs w:val="20"/>
                <w:lang w:val="en-US"/>
              </w:rPr>
              <w:t xml:space="preserve">Yes: for sex, race, age, year of cancer diagnosis. </w:t>
            </w:r>
            <w:r w:rsidRPr="004142EA">
              <w:rPr>
                <w:rFonts w:cs="Arial"/>
                <w:b/>
                <w:sz w:val="16"/>
                <w:szCs w:val="20"/>
                <w:lang w:val="en-US"/>
              </w:rPr>
              <w:t>Low-medium risk</w:t>
            </w:r>
          </w:p>
        </w:tc>
      </w:tr>
      <w:tr w:rsidR="00D837F4" w:rsidRPr="004142EA" w14:paraId="192BB314" w14:textId="77777777" w:rsidTr="00664E5A">
        <w:trPr>
          <w:cantSplit/>
        </w:trPr>
        <w:tc>
          <w:tcPr>
            <w:tcW w:w="1419" w:type="dxa"/>
          </w:tcPr>
          <w:p w14:paraId="55D67BF7" w14:textId="728D5B6D" w:rsidR="00D837F4" w:rsidRPr="004142EA" w:rsidRDefault="00D837F4" w:rsidP="00D66A20">
            <w:pPr>
              <w:rPr>
                <w:rFonts w:cs="Arial"/>
                <w:sz w:val="16"/>
                <w:szCs w:val="20"/>
                <w:lang w:val="en-US"/>
              </w:rPr>
            </w:pPr>
            <w:r w:rsidRPr="004142EA">
              <w:rPr>
                <w:rFonts w:cs="Arial"/>
                <w:sz w:val="16"/>
                <w:szCs w:val="20"/>
                <w:lang w:val="en-US"/>
              </w:rPr>
              <w:t>Sseggwanyi et al (2011)</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hkuqJSpu","properties":{"formattedCitation":"[2]","plainCitation":"[2]","noteIndex":0},"citationItems":[{"id":3405,"uris":["http://zotero.org/users/4481446/items/EKUMNTUM"],"uri":["http://zotero.org/users/4481446/items/EKUMNTUM"],"itemData":{"id":3405,"type":"article-journal","abstract":"Introduction: There is uncertainty as to the exact interaction between HIV and Breast Cancer. Available studies are inconclusive about any relation whether causal or protective and the number of patients in these studies small.Objective: To determine the prevalence of HIV among confirmed incidentbreast cancer cases and to describe the associated clinico-pathologicalfeatures.Design: Analytical cross sectional studyMethods: Over a period of 6 months consecutively eligible patients wererecruited from the Mulago Hospital breast clinic. Breast lesions were biopsied and blood withdrawn for HIV sero-survey. Collected data wasdouble entered into Epidata version v 3.1.1, exported to STATA 10.0 foranalysis.Results: Sixty two breast cancer patients consented to participate in thestudy and of these, 22(35.48%) were positive for HIV compared to HIVprevalence in the general population of 6-7%. All the participants werefemale. The mean age of HIV negative subjects was 45 years (range:21-80 years) and for HIV positive subjects was 32.4 years (range 18-52years). There was a signifi cant association between HIV status and age,BMI and CD4 Counts as well as for histological grade and stage (P&lt; 0.024).Conclusion: The prevalence of HIV among the studied breast cancer group was signifi cantly higher than that in the general population. HIV was associated with poor prognostic factors. A high index of suspicion of the co-existence of these two diseases in a context of high HIV prevalence is warranted. Future studies should explore for a causal association.","container-title":"Annals of African Surgery","ISSN":"2523-0816","issue":"0","language":"en","source":"www.ajol.info","title":"Prevalence of HIV/AIDS among Breast Cancer Patients and the associated Clinico-pathological features","URL":"https://www.ajol.info/index.php/aas/article/view/73526","volume":"8","author":[{"family":"Sseggwanyi","given":"J."},{"family":"Galukande","given":"M."},{"family":"Fualal","given":"J."},{"family":"Jombwe","given":"J."}],"accessed":{"date-parts":[["2019",8,28]]},"issued":{"date-parts":[["2011",1,1]]}}}],"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[2]</w:t>
            </w:r>
            <w:r w:rsidRPr="004142EA">
              <w:rPr>
                <w:rFonts w:cs="Arial"/>
                <w:sz w:val="16"/>
                <w:szCs w:val="20"/>
                <w:lang w:val="en-US"/>
              </w:rPr>
              <w:fldChar w:fldCharType="end"/>
            </w:r>
          </w:p>
        </w:tc>
        <w:tc>
          <w:tcPr>
            <w:tcW w:w="1417" w:type="dxa"/>
          </w:tcPr>
          <w:p w14:paraId="205E90EB" w14:textId="77777777" w:rsidR="00D837F4" w:rsidRPr="004142EA" w:rsidRDefault="00D837F4" w:rsidP="00D66A20">
            <w:pPr>
              <w:rPr>
                <w:rFonts w:cs="Arial"/>
                <w:sz w:val="16"/>
                <w:szCs w:val="20"/>
              </w:rPr>
            </w:pPr>
            <w:r w:rsidRPr="004142EA">
              <w:rPr>
                <w:rFonts w:cs="Arial"/>
                <w:sz w:val="16"/>
                <w:szCs w:val="20"/>
              </w:rPr>
              <w:t>Case series (single-center)</w:t>
            </w:r>
          </w:p>
        </w:tc>
        <w:tc>
          <w:tcPr>
            <w:tcW w:w="851" w:type="dxa"/>
          </w:tcPr>
          <w:p w14:paraId="66EA4735" w14:textId="77777777" w:rsidR="00D837F4" w:rsidRPr="004142EA" w:rsidRDefault="00D837F4" w:rsidP="00D66A20">
            <w:pPr>
              <w:jc w:val="center"/>
              <w:rPr>
                <w:rFonts w:cs="Arial"/>
                <w:sz w:val="16"/>
                <w:szCs w:val="20"/>
              </w:rPr>
            </w:pPr>
            <w:r w:rsidRPr="004142EA">
              <w:rPr>
                <w:rFonts w:cs="Arial"/>
                <w:sz w:val="16"/>
                <w:szCs w:val="20"/>
              </w:rPr>
              <w:t>Yes</w:t>
            </w:r>
          </w:p>
        </w:tc>
        <w:tc>
          <w:tcPr>
            <w:tcW w:w="850" w:type="dxa"/>
          </w:tcPr>
          <w:p w14:paraId="44BAB32A"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23C49B4C" w14:textId="6AF3B79B" w:rsidR="00D837F4" w:rsidRPr="004142EA" w:rsidRDefault="00D837F4" w:rsidP="00DB6E75">
            <w:pPr>
              <w:rPr>
                <w:rFonts w:cs="Arial"/>
                <w:sz w:val="16"/>
                <w:szCs w:val="20"/>
                <w:lang w:val="en-US"/>
              </w:rPr>
            </w:pPr>
            <w:r w:rsidRPr="004142EA">
              <w:rPr>
                <w:rFonts w:cs="Arial"/>
                <w:sz w:val="16"/>
                <w:szCs w:val="20"/>
                <w:lang w:val="en-US"/>
              </w:rPr>
              <w:t xml:space="preserve">One teaching hospital from Uganda. Only patients with known HIV status included. </w:t>
            </w:r>
            <w:r w:rsidRPr="004142EA">
              <w:rPr>
                <w:rFonts w:cs="Arial"/>
                <w:b/>
                <w:sz w:val="16"/>
                <w:szCs w:val="20"/>
                <w:lang w:val="en-US"/>
              </w:rPr>
              <w:t>L</w:t>
            </w:r>
            <w:r w:rsidR="00DB6E75" w:rsidRPr="004142EA">
              <w:rPr>
                <w:rFonts w:cs="Arial"/>
                <w:b/>
                <w:sz w:val="16"/>
                <w:szCs w:val="20"/>
                <w:lang w:val="en-US"/>
              </w:rPr>
              <w:t xml:space="preserve">ow </w:t>
            </w:r>
            <w:r w:rsidRPr="004142EA">
              <w:rPr>
                <w:rFonts w:cs="Arial"/>
                <w:b/>
                <w:sz w:val="16"/>
                <w:szCs w:val="20"/>
                <w:lang w:val="en-US"/>
              </w:rPr>
              <w:t>risk</w:t>
            </w:r>
          </w:p>
        </w:tc>
        <w:tc>
          <w:tcPr>
            <w:tcW w:w="2003" w:type="dxa"/>
          </w:tcPr>
          <w:p w14:paraId="488678BE" w14:textId="5A085445" w:rsidR="00D837F4" w:rsidRPr="004142EA" w:rsidRDefault="00D837F4" w:rsidP="00D66A20">
            <w:pPr>
              <w:rPr>
                <w:rFonts w:cs="Arial"/>
                <w:sz w:val="16"/>
                <w:szCs w:val="20"/>
                <w:lang w:val="en-US"/>
              </w:rPr>
            </w:pPr>
            <w:r w:rsidRPr="004142EA">
              <w:rPr>
                <w:rFonts w:cs="Arial"/>
                <w:sz w:val="16"/>
                <w:szCs w:val="20"/>
                <w:lang w:val="en-US"/>
              </w:rPr>
              <w:t xml:space="preserve">Authors collected staging information from medical records, and classified patients according to </w:t>
            </w:r>
            <w:r w:rsidR="00F76AEE">
              <w:rPr>
                <w:rFonts w:cs="Arial"/>
                <w:sz w:val="16"/>
                <w:szCs w:val="20"/>
                <w:lang w:val="en-US"/>
              </w:rPr>
              <w:t xml:space="preserve">the </w:t>
            </w:r>
            <w:r w:rsidRPr="004142EA">
              <w:rPr>
                <w:rFonts w:cs="Arial"/>
                <w:sz w:val="16"/>
                <w:szCs w:val="20"/>
                <w:lang w:val="en-US"/>
              </w:rPr>
              <w:t>TNM staging</w:t>
            </w:r>
            <w:r w:rsidR="00F76AEE">
              <w:rPr>
                <w:rFonts w:cs="Arial"/>
                <w:sz w:val="16"/>
                <w:szCs w:val="20"/>
                <w:lang w:val="en-US"/>
              </w:rPr>
              <w:t xml:space="preserve"> system</w:t>
            </w:r>
            <w:r w:rsidRPr="004142EA">
              <w:rPr>
                <w:rFonts w:cs="Arial"/>
                <w:sz w:val="16"/>
                <w:szCs w:val="20"/>
                <w:lang w:val="en-US"/>
              </w:rPr>
              <w:t xml:space="preserve">. </w:t>
            </w:r>
          </w:p>
          <w:p w14:paraId="69D2EB76"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4" w:type="dxa"/>
            <w:shd w:val="clear" w:color="auto" w:fill="D9D9D9" w:themeFill="background1" w:themeFillShade="D9"/>
          </w:tcPr>
          <w:p w14:paraId="5B9FF0EC" w14:textId="77777777" w:rsidR="00D837F4" w:rsidRPr="004142EA" w:rsidRDefault="00D837F4" w:rsidP="00D66A20">
            <w:pPr>
              <w:rPr>
                <w:rFonts w:cs="Arial"/>
                <w:sz w:val="16"/>
                <w:szCs w:val="20"/>
                <w:lang w:val="en-US"/>
              </w:rPr>
            </w:pPr>
            <w:r w:rsidRPr="004142EA">
              <w:rPr>
                <w:rFonts w:cs="Arial"/>
                <w:sz w:val="16"/>
                <w:szCs w:val="20"/>
                <w:lang w:val="en-US"/>
              </w:rPr>
              <w:t>NA</w:t>
            </w:r>
          </w:p>
        </w:tc>
        <w:tc>
          <w:tcPr>
            <w:tcW w:w="2004" w:type="dxa"/>
            <w:shd w:val="clear" w:color="auto" w:fill="D9D9D9" w:themeFill="background1" w:themeFillShade="D9"/>
          </w:tcPr>
          <w:p w14:paraId="21EA6C85" w14:textId="77777777" w:rsidR="00D837F4" w:rsidRPr="004142EA" w:rsidRDefault="00D837F4" w:rsidP="00D66A20">
            <w:pPr>
              <w:rPr>
                <w:rFonts w:cs="Arial"/>
                <w:sz w:val="16"/>
                <w:szCs w:val="20"/>
                <w:lang w:val="en-US"/>
              </w:rPr>
            </w:pPr>
            <w:r w:rsidRPr="004142EA">
              <w:rPr>
                <w:rFonts w:cs="Arial"/>
                <w:sz w:val="16"/>
                <w:szCs w:val="20"/>
                <w:lang w:val="en-US"/>
              </w:rPr>
              <w:t>NA</w:t>
            </w:r>
          </w:p>
        </w:tc>
        <w:tc>
          <w:tcPr>
            <w:tcW w:w="2097" w:type="dxa"/>
            <w:shd w:val="clear" w:color="auto" w:fill="D9D9D9" w:themeFill="background1" w:themeFillShade="D9"/>
          </w:tcPr>
          <w:p w14:paraId="3951FB8A" w14:textId="77777777" w:rsidR="00D837F4" w:rsidRPr="004142EA" w:rsidRDefault="00D837F4" w:rsidP="00D66A20">
            <w:pPr>
              <w:rPr>
                <w:rFonts w:cs="Arial"/>
                <w:sz w:val="16"/>
                <w:szCs w:val="20"/>
                <w:lang w:val="en-US"/>
              </w:rPr>
            </w:pPr>
            <w:r w:rsidRPr="004142EA">
              <w:rPr>
                <w:rFonts w:cs="Arial"/>
                <w:sz w:val="16"/>
                <w:szCs w:val="20"/>
                <w:lang w:val="en-US"/>
              </w:rPr>
              <w:t>NA</w:t>
            </w:r>
          </w:p>
        </w:tc>
      </w:tr>
      <w:tr w:rsidR="00D837F4" w:rsidRPr="004142EA" w14:paraId="59821255" w14:textId="77777777" w:rsidTr="00664E5A">
        <w:trPr>
          <w:cantSplit/>
        </w:trPr>
        <w:tc>
          <w:tcPr>
            <w:tcW w:w="1419" w:type="dxa"/>
          </w:tcPr>
          <w:p w14:paraId="3C81C6DB" w14:textId="33F9488E" w:rsidR="00D837F4" w:rsidRPr="004142EA" w:rsidRDefault="00D837F4" w:rsidP="00D66A20">
            <w:pPr>
              <w:rPr>
                <w:rFonts w:cs="Arial"/>
                <w:sz w:val="16"/>
                <w:szCs w:val="20"/>
                <w:lang w:val="en-US"/>
              </w:rPr>
            </w:pPr>
            <w:r w:rsidRPr="004142EA">
              <w:rPr>
                <w:rFonts w:cs="Arial"/>
                <w:sz w:val="16"/>
                <w:szCs w:val="20"/>
                <w:lang w:val="en-US"/>
              </w:rPr>
              <w:t>Coghill et al (2013)</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nedmUXcP","properties":{"formattedCitation":"[3]","plainCitation":"[3]","noteIndex":0},"citationItems":[{"id":2144,"uris":["http://zotero.org/users/4481446/items/QS3PYMUJ"],"uri":["http://zotero.org/users/4481446/items/QS3PYMUJ"],"itemData":{"id":2144,"type":"article-journal","abstract":"Objective\nHIV infection is associated with cancer risk. This relationship has resulted in a growing cancer burden, especially in resource-limited countries where HIV is highly prevalent. Little is known, however, about how HIV affects cancer survival in these settings. We therefore investigated the role of HIV in cancer survival in Uganda.\n\nDesign\nRetrospective cohort (N = 802).\n\nMethods\nEligible cancer patients were residents of Kyadondo County, at least 18 years of age at cancer diagnosis, and diagnosed between 2003 and 2010 with one of the following: breast cancer, cervical cancer, non-Hodgkin’s lymphoma, Hodgkin’s lymphoma, or esophageal cancer. Patients were classified as HIV-infected at cancer diagnosis based on a documented positive HIV antibody test, medical history indicating HIV infection, or an HIV clinic referral letter. The primary outcome, vital status at 1 year following cancer diagnosis, was abstracted from the medical record or determined through linkage to the national hospice database. The risk of death during the year after cancer diagnosis was compared between cancer patients with and without evidence of HIV infection using Cox proportional hazards regression.\n\nResults\nHIV-infected cancer patients in Uganda experienced a more than two-fold increased risk of death during the year following cancer diagnosis compared to HIV-uninfected cancer patients [hazard ratio 2.28; 95% confidence interval (CI) 1.61–3.23]. This association between HIV and 1-year cancer survival was observed for both cancers with (hazard ratio 1.56; 95% CI 1.04–2.34) and without (hazard ratio 2.68; 95% CI 1.20–5.99) an infectious cause.\n\nConclusion\nThis study demonstrates the role of HIV in cancer survival for both cancers with and without an infectious cause in a resource-limited, HIV-endemic setting.","container-title":"AIDS (London, England)","DOI":"10.1097/01.aids.0000433236.55937.cb","ISSN":"0269-9370","issue":"18","journalAbbreviation":"AIDS","note":"PMID: 23921614\nPMCID: PMC4319357","page":"2933-2942","source":"PubMed Central","title":"Contribution of HIV infection to mortality among cancer patients in Uganda","volume":"27","author":[{"family":"Coghill","given":"Anna E."},{"family":"Newcomb","given":"Polly A."},{"family":"Madeleine","given":"Margaret M."},{"family":"Richardson","given":"Barbra A."},{"family":"Mutyaba","given":"Innocent"},{"family":"Okuku","given":"Fred"},{"family":"Phipps","given":"Warren"},{"family":"Wabinga","given":"Henry"},{"family":"Orem","given":"Jackson"},{"family":"Casper","given":"Corey"}],"issued":{"date-parts":[["2013",11,28]]}}}],"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[3]</w:t>
            </w:r>
            <w:r w:rsidRPr="004142EA">
              <w:rPr>
                <w:rFonts w:cs="Arial"/>
                <w:sz w:val="16"/>
                <w:szCs w:val="20"/>
                <w:lang w:val="en-US"/>
              </w:rPr>
              <w:fldChar w:fldCharType="end"/>
            </w:r>
          </w:p>
        </w:tc>
        <w:tc>
          <w:tcPr>
            <w:tcW w:w="1417" w:type="dxa"/>
          </w:tcPr>
          <w:p w14:paraId="59B68910" w14:textId="77777777" w:rsidR="00D837F4" w:rsidRPr="004142EA" w:rsidRDefault="00D837F4" w:rsidP="00D66A20">
            <w:pPr>
              <w:rPr>
                <w:rFonts w:cs="Arial"/>
                <w:sz w:val="16"/>
                <w:szCs w:val="20"/>
              </w:rPr>
            </w:pPr>
            <w:r w:rsidRPr="004142EA">
              <w:rPr>
                <w:rFonts w:cs="Arial"/>
                <w:sz w:val="16"/>
                <w:szCs w:val="20"/>
              </w:rPr>
              <w:t>Cancer registry</w:t>
            </w:r>
          </w:p>
        </w:tc>
        <w:tc>
          <w:tcPr>
            <w:tcW w:w="851" w:type="dxa"/>
          </w:tcPr>
          <w:p w14:paraId="4AB50BEB" w14:textId="77777777" w:rsidR="00D837F4" w:rsidRPr="004142EA" w:rsidRDefault="00D837F4" w:rsidP="00D66A20">
            <w:pPr>
              <w:jc w:val="center"/>
              <w:rPr>
                <w:rFonts w:cs="Arial"/>
                <w:sz w:val="16"/>
                <w:szCs w:val="20"/>
              </w:rPr>
            </w:pPr>
            <w:r w:rsidRPr="004142EA">
              <w:rPr>
                <w:rFonts w:cs="Arial"/>
                <w:sz w:val="16"/>
                <w:szCs w:val="20"/>
              </w:rPr>
              <w:t>No</w:t>
            </w:r>
          </w:p>
        </w:tc>
        <w:tc>
          <w:tcPr>
            <w:tcW w:w="850" w:type="dxa"/>
          </w:tcPr>
          <w:p w14:paraId="1E971FCC" w14:textId="77777777" w:rsidR="00D837F4" w:rsidRPr="004142EA" w:rsidRDefault="00D837F4" w:rsidP="00D66A20">
            <w:pPr>
              <w:jc w:val="center"/>
              <w:rPr>
                <w:rFonts w:cs="Arial"/>
                <w:sz w:val="16"/>
                <w:szCs w:val="20"/>
              </w:rPr>
            </w:pPr>
            <w:r w:rsidRPr="004142EA">
              <w:rPr>
                <w:rFonts w:cs="Arial"/>
                <w:sz w:val="16"/>
                <w:szCs w:val="20"/>
              </w:rPr>
              <w:t>No</w:t>
            </w:r>
          </w:p>
        </w:tc>
        <w:tc>
          <w:tcPr>
            <w:tcW w:w="2552" w:type="dxa"/>
          </w:tcPr>
          <w:p w14:paraId="26AB9E64" w14:textId="3A426711" w:rsidR="00D837F4" w:rsidRPr="004142EA" w:rsidRDefault="00D837F4" w:rsidP="00D66A20">
            <w:pPr>
              <w:rPr>
                <w:rFonts w:cs="Arial"/>
                <w:sz w:val="16"/>
                <w:szCs w:val="20"/>
                <w:lang w:val="en-US"/>
              </w:rPr>
            </w:pPr>
            <w:r w:rsidRPr="004142EA">
              <w:rPr>
                <w:rFonts w:cs="Arial"/>
                <w:sz w:val="16"/>
                <w:szCs w:val="20"/>
                <w:lang w:val="en-US"/>
              </w:rPr>
              <w:t xml:space="preserve">Data retrieved from a cancer registry in Uganda. HIV status was retrospectively collected and both patients with known and unknown status were included – patients with unknown HIV status were considered as “HIV negative” (and the country in which the study was conducted has a prevalence of HIV infection &gt;5.0%).  </w:t>
            </w:r>
          </w:p>
          <w:p w14:paraId="20E82E88" w14:textId="77777777" w:rsidR="00D837F4" w:rsidRPr="004142EA" w:rsidRDefault="00D837F4" w:rsidP="00D66A20">
            <w:pPr>
              <w:rPr>
                <w:rFonts w:cs="Arial"/>
                <w:sz w:val="16"/>
                <w:szCs w:val="20"/>
                <w:lang w:val="en-US"/>
              </w:rPr>
            </w:pPr>
            <w:r w:rsidRPr="004142EA">
              <w:rPr>
                <w:rFonts w:cs="Arial"/>
                <w:b/>
                <w:sz w:val="16"/>
                <w:szCs w:val="20"/>
                <w:lang w:val="en-US"/>
              </w:rPr>
              <w:t>Medium risk</w:t>
            </w:r>
          </w:p>
        </w:tc>
        <w:tc>
          <w:tcPr>
            <w:tcW w:w="2003" w:type="dxa"/>
            <w:shd w:val="clear" w:color="auto" w:fill="FFFFFF" w:themeFill="background1"/>
          </w:tcPr>
          <w:p w14:paraId="064DE6D6" w14:textId="1E44966C" w:rsidR="00D837F4" w:rsidRPr="004142EA" w:rsidRDefault="00D837F4" w:rsidP="00D66A20">
            <w:pPr>
              <w:rPr>
                <w:rFonts w:cs="Arial"/>
                <w:sz w:val="16"/>
                <w:szCs w:val="20"/>
                <w:lang w:val="en-US"/>
              </w:rPr>
            </w:pPr>
            <w:r w:rsidRPr="004142EA">
              <w:rPr>
                <w:rFonts w:cs="Arial"/>
                <w:sz w:val="16"/>
                <w:szCs w:val="20"/>
                <w:lang w:val="en-US"/>
              </w:rPr>
              <w:t>Authors collected staging information from medical records, and classified patients into 2 groups, whenever they had this data available: lower stage (I – II) and advanced stage (III – IV) according to</w:t>
            </w:r>
            <w:r w:rsidR="00F76AEE">
              <w:rPr>
                <w:rFonts w:cs="Arial"/>
                <w:sz w:val="16"/>
                <w:szCs w:val="20"/>
                <w:lang w:val="en-US"/>
              </w:rPr>
              <w:t xml:space="preserve"> the</w:t>
            </w:r>
            <w:r w:rsidRPr="004142EA">
              <w:rPr>
                <w:rFonts w:cs="Arial"/>
                <w:sz w:val="16"/>
                <w:szCs w:val="20"/>
                <w:lang w:val="en-US"/>
              </w:rPr>
              <w:t xml:space="preserve"> TNM</w:t>
            </w:r>
            <w:r w:rsidR="00F76AEE">
              <w:rPr>
                <w:rFonts w:cs="Arial"/>
                <w:sz w:val="16"/>
                <w:szCs w:val="20"/>
                <w:lang w:val="en-US"/>
              </w:rPr>
              <w:t xml:space="preserve"> staging system</w:t>
            </w:r>
            <w:r w:rsidRPr="004142EA">
              <w:rPr>
                <w:rFonts w:cs="Arial"/>
                <w:sz w:val="16"/>
                <w:szCs w:val="20"/>
                <w:lang w:val="en-US"/>
              </w:rPr>
              <w:t xml:space="preserve">. </w:t>
            </w:r>
          </w:p>
          <w:p w14:paraId="759D4188"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4" w:type="dxa"/>
            <w:shd w:val="clear" w:color="auto" w:fill="D9D9D9" w:themeFill="background1" w:themeFillShade="D9"/>
          </w:tcPr>
          <w:p w14:paraId="2CE7FB8A" w14:textId="77777777" w:rsidR="00D837F4" w:rsidRPr="004142EA" w:rsidRDefault="00D837F4" w:rsidP="00D66A20">
            <w:pPr>
              <w:rPr>
                <w:rFonts w:cs="Arial"/>
                <w:sz w:val="16"/>
                <w:szCs w:val="20"/>
                <w:lang w:val="en-US"/>
              </w:rPr>
            </w:pPr>
            <w:r w:rsidRPr="004142EA">
              <w:rPr>
                <w:rFonts w:cs="Arial"/>
                <w:sz w:val="16"/>
                <w:szCs w:val="20"/>
                <w:lang w:val="en-US"/>
              </w:rPr>
              <w:t>NA</w:t>
            </w:r>
          </w:p>
        </w:tc>
        <w:tc>
          <w:tcPr>
            <w:tcW w:w="2004" w:type="dxa"/>
          </w:tcPr>
          <w:p w14:paraId="5AA99DCB" w14:textId="203986C9" w:rsidR="00D837F4" w:rsidRPr="004142EA" w:rsidRDefault="00D837F4" w:rsidP="00D66A20">
            <w:pPr>
              <w:rPr>
                <w:rFonts w:cs="Arial"/>
                <w:sz w:val="16"/>
                <w:szCs w:val="20"/>
                <w:lang w:val="en-US"/>
              </w:rPr>
            </w:pPr>
            <w:r w:rsidRPr="004142EA">
              <w:rPr>
                <w:rFonts w:cs="Arial"/>
                <w:sz w:val="16"/>
                <w:szCs w:val="20"/>
                <w:lang w:val="en-US"/>
              </w:rPr>
              <w:t>Median FU was not provided</w:t>
            </w:r>
            <w:r w:rsidR="00EE2C05" w:rsidRPr="004142EA">
              <w:rPr>
                <w:rFonts w:cs="Arial"/>
                <w:sz w:val="16"/>
                <w:szCs w:val="20"/>
                <w:lang w:val="en-US"/>
              </w:rPr>
              <w:t>; 40% of patients overall were lost follow-up.</w:t>
            </w:r>
            <w:r w:rsidRPr="004142EA">
              <w:rPr>
                <w:rFonts w:cs="Arial"/>
                <w:sz w:val="16"/>
                <w:szCs w:val="20"/>
                <w:lang w:val="en-US"/>
              </w:rPr>
              <w:t xml:space="preserve"> </w:t>
            </w:r>
          </w:p>
          <w:p w14:paraId="38176B95" w14:textId="3306ED80" w:rsidR="00D837F4" w:rsidRPr="004142EA" w:rsidRDefault="00EE2C05" w:rsidP="00EE2C05">
            <w:pPr>
              <w:rPr>
                <w:rFonts w:cs="Arial"/>
                <w:sz w:val="16"/>
                <w:szCs w:val="20"/>
                <w:lang w:val="en-US"/>
              </w:rPr>
            </w:pPr>
            <w:r w:rsidRPr="004142EA">
              <w:rPr>
                <w:rFonts w:cs="Arial"/>
                <w:b/>
                <w:sz w:val="16"/>
                <w:szCs w:val="20"/>
                <w:lang w:val="en-US"/>
              </w:rPr>
              <w:t>H</w:t>
            </w:r>
            <w:r w:rsidR="00A14B7A" w:rsidRPr="004142EA">
              <w:rPr>
                <w:rFonts w:cs="Arial"/>
                <w:b/>
                <w:sz w:val="16"/>
                <w:szCs w:val="20"/>
                <w:lang w:val="en-US"/>
              </w:rPr>
              <w:t>igh</w:t>
            </w:r>
            <w:r w:rsidR="00D837F4" w:rsidRPr="004142EA">
              <w:rPr>
                <w:rFonts w:cs="Arial"/>
                <w:b/>
                <w:sz w:val="16"/>
                <w:szCs w:val="20"/>
                <w:lang w:val="en-US"/>
              </w:rPr>
              <w:t xml:space="preserve"> risk</w:t>
            </w:r>
            <w:r w:rsidR="00D837F4" w:rsidRPr="004142EA">
              <w:rPr>
                <w:rFonts w:cs="Arial"/>
                <w:sz w:val="16"/>
                <w:szCs w:val="20"/>
                <w:lang w:val="en-US"/>
              </w:rPr>
              <w:t xml:space="preserve">  </w:t>
            </w:r>
          </w:p>
        </w:tc>
        <w:tc>
          <w:tcPr>
            <w:tcW w:w="2097" w:type="dxa"/>
          </w:tcPr>
          <w:p w14:paraId="7587101D" w14:textId="77777777" w:rsidR="00D837F4" w:rsidRPr="004142EA" w:rsidRDefault="00D837F4" w:rsidP="00D66A20">
            <w:pPr>
              <w:rPr>
                <w:rFonts w:cs="Arial"/>
                <w:sz w:val="16"/>
                <w:szCs w:val="20"/>
                <w:lang w:val="en-US"/>
              </w:rPr>
            </w:pPr>
            <w:r w:rsidRPr="004142EA">
              <w:rPr>
                <w:rFonts w:cs="Arial"/>
                <w:sz w:val="16"/>
                <w:szCs w:val="20"/>
                <w:lang w:val="en-US"/>
              </w:rPr>
              <w:t xml:space="preserve">Yes: for age, year of cancer diagnosis, stage. </w:t>
            </w:r>
            <w:r w:rsidRPr="004142EA">
              <w:rPr>
                <w:rFonts w:cs="Arial"/>
                <w:b/>
                <w:sz w:val="16"/>
                <w:szCs w:val="20"/>
                <w:lang w:val="en-US"/>
              </w:rPr>
              <w:t>Low risk</w:t>
            </w:r>
          </w:p>
        </w:tc>
      </w:tr>
      <w:tr w:rsidR="00D837F4" w:rsidRPr="004142EA" w14:paraId="339D35E0" w14:textId="77777777" w:rsidTr="00664E5A">
        <w:trPr>
          <w:cantSplit/>
        </w:trPr>
        <w:tc>
          <w:tcPr>
            <w:tcW w:w="1419" w:type="dxa"/>
          </w:tcPr>
          <w:p w14:paraId="6E0632FF" w14:textId="7D612EE6" w:rsidR="00D837F4" w:rsidRPr="004142EA" w:rsidRDefault="00D837F4" w:rsidP="00D66A20">
            <w:pPr>
              <w:rPr>
                <w:rFonts w:cs="Arial"/>
                <w:sz w:val="16"/>
                <w:szCs w:val="20"/>
                <w:lang w:val="en-US"/>
              </w:rPr>
            </w:pPr>
            <w:r w:rsidRPr="004142EA">
              <w:rPr>
                <w:rFonts w:cs="Arial"/>
                <w:sz w:val="16"/>
                <w:szCs w:val="20"/>
                <w:lang w:val="en-US"/>
              </w:rPr>
              <w:t>Cubasch et al (2013)</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SOOH7g5I","properties":{"formattedCitation":"[4]","plainCitation":"[4]","noteIndex":0},"citationItems":[{"id":446,"uris":["http://zotero.org/users/4481446/items/HL586IJE"],"uri":["http://zotero.org/users/4481446/items/HL586IJE"],"itemData":{"id":446,"type":"article-journal","abstract":"In the low-income HIV-endemic regions of sub-Saharan Africa, malignancies related to HIV have long been recognized as a major public health problem. However, epithelial malignancies associated with older age, such as breast cancer, are also rising dramatically in those regions. We compared consecutive HIV-positive and -negative black women diagnosed with breast cancer at a large public hospital in Soweto, South Africa, on age, year of diagnosis, stage, grade, and receptor status, and grouped HIV-positive patients by CD4 cell counts. We computed prevalence ratios of the associations of HIV status and CD4 category with stage, grade, receptor status, and among the HIV-positive patients, receipt of ART, controlling for age and year of diagnosis. Of 1,092 patients, 765 were tested for HIV; 151 (19.7 %) tested positive, a prevalence similar to that in the source population. Although, HIV-positive patients were younger than HIV-negative patients (p &lt; 0.001), HIV status was not associated with the tumor characteristics. Thirty-seven women (25.9 %) had CD4 cell counts &lt;200 cells/μl. Patients in that severely immunocompromised group were older than those in the other groups (p = 0.01). This study is the first to analyze the association of HIV with breast cancer in a large sample. Based on similar HIV prevalence in our sample and the population of the hospital's catchment area, clinicians serving HIV-endemic communities should promote routine HIV testing of younger breast cancer patients and immediate treatment of those who test positive, prior to the initiation of chemotherapy. Research is needed on treatment and outcomes given HIV and low CD4 cell count.","container-title":"Breast Cancer Research and Treatment","DOI":"10.1007/s10549-013-2606-y","ISSN":"1573-7217","issue":"1","journalAbbreviation":"Breast Cancer Res. Treat.","language":"eng","note":"PMID: 23801159\nPMCID: PMC3706733","page":"177-186","source":"PubMed","title":"Breast cancer characteristics and HIV among 1,092 women in Soweto, South Africa","volume":"140","author":[{"family":"Cubasch","given":"Herbert"},{"family":"Joffe","given":"Maureen"},{"family":"Hanisch","given":"Rachel"},{"family":"Schuz","given":"Joachim"},{"family":"Neugut","given":"Alfred I."},{"family":"Karstaedt","given":"Alan"},{"family":"Broeze","given":"Nadine"},{"family":"Berg","given":"Eunice","non-dropping-particle":"van den"},{"family":"McCormack","given":"Valerie"},{"family":"Jacobson","given":"Judith S."}],"issued":{"date-parts":[["2013",7]]}}}],"schema":"https://github.com/citation-style-language/schema/raw/master/csl-citation.json"}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[4]</w:t>
            </w:r>
            <w:r w:rsidRPr="004142EA">
              <w:rPr>
                <w:rFonts w:cs="Arial"/>
                <w:sz w:val="16"/>
                <w:szCs w:val="20"/>
                <w:lang w:val="en-US"/>
              </w:rPr>
              <w:fldChar w:fldCharType="end"/>
            </w:r>
          </w:p>
        </w:tc>
        <w:tc>
          <w:tcPr>
            <w:tcW w:w="1417" w:type="dxa"/>
            <w:vMerge w:val="restart"/>
          </w:tcPr>
          <w:p w14:paraId="7EDF64F5" w14:textId="77777777" w:rsidR="00D837F4" w:rsidRPr="004142EA" w:rsidRDefault="00D837F4" w:rsidP="00D66A20">
            <w:pPr>
              <w:rPr>
                <w:rFonts w:cs="Arial"/>
                <w:sz w:val="16"/>
                <w:szCs w:val="20"/>
              </w:rPr>
            </w:pPr>
            <w:r w:rsidRPr="004142EA">
              <w:rPr>
                <w:rFonts w:cs="Arial"/>
                <w:sz w:val="16"/>
                <w:szCs w:val="20"/>
              </w:rPr>
              <w:t>Case series (single-center)</w:t>
            </w:r>
          </w:p>
          <w:p w14:paraId="5B3102D0" w14:textId="77777777" w:rsidR="00D837F4" w:rsidRPr="004142EA" w:rsidRDefault="00D837F4" w:rsidP="00D66A20">
            <w:pPr>
              <w:rPr>
                <w:rFonts w:cs="Arial"/>
                <w:sz w:val="16"/>
                <w:szCs w:val="20"/>
              </w:rPr>
            </w:pPr>
          </w:p>
        </w:tc>
        <w:tc>
          <w:tcPr>
            <w:tcW w:w="851" w:type="dxa"/>
            <w:vMerge w:val="restart"/>
          </w:tcPr>
          <w:p w14:paraId="0245D07D" w14:textId="77777777" w:rsidR="00D837F4" w:rsidRPr="004142EA" w:rsidRDefault="00D837F4" w:rsidP="00D66A20">
            <w:pPr>
              <w:jc w:val="center"/>
              <w:rPr>
                <w:rFonts w:cs="Arial"/>
                <w:sz w:val="16"/>
                <w:szCs w:val="20"/>
              </w:rPr>
            </w:pPr>
            <w:r w:rsidRPr="004142EA">
              <w:rPr>
                <w:rFonts w:cs="Arial"/>
                <w:sz w:val="16"/>
                <w:szCs w:val="20"/>
              </w:rPr>
              <w:t>No</w:t>
            </w:r>
          </w:p>
        </w:tc>
        <w:tc>
          <w:tcPr>
            <w:tcW w:w="850" w:type="dxa"/>
            <w:vMerge w:val="restart"/>
          </w:tcPr>
          <w:p w14:paraId="4B5C069A"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24762ED2" w14:textId="62D4E594" w:rsidR="00D837F4" w:rsidRPr="004142EA" w:rsidRDefault="00D837F4" w:rsidP="00D66A20">
            <w:pPr>
              <w:rPr>
                <w:rFonts w:cs="Arial"/>
                <w:sz w:val="16"/>
                <w:szCs w:val="20"/>
                <w:lang w:val="en-US"/>
              </w:rPr>
            </w:pPr>
            <w:r w:rsidRPr="004142EA">
              <w:rPr>
                <w:rFonts w:cs="Arial"/>
                <w:sz w:val="16"/>
                <w:szCs w:val="20"/>
                <w:lang w:val="en-US"/>
              </w:rPr>
              <w:t xml:space="preserve">Data retrieved from an electronic database of an academic hospital in South Africa. Known HIV status, with a 2-exam algorithm. </w:t>
            </w:r>
          </w:p>
          <w:p w14:paraId="64EEF5D8"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3" w:type="dxa"/>
          </w:tcPr>
          <w:p w14:paraId="3E5A4B37" w14:textId="01892089" w:rsidR="00D837F4" w:rsidRPr="004142EA" w:rsidRDefault="00D837F4" w:rsidP="00D66A20">
            <w:pPr>
              <w:rPr>
                <w:rFonts w:cs="Arial"/>
                <w:sz w:val="16"/>
                <w:szCs w:val="20"/>
                <w:lang w:val="en-US"/>
              </w:rPr>
            </w:pPr>
            <w:r w:rsidRPr="004142EA">
              <w:rPr>
                <w:rFonts w:cs="Arial"/>
                <w:sz w:val="16"/>
                <w:szCs w:val="20"/>
                <w:lang w:val="en-US"/>
              </w:rPr>
              <w:t xml:space="preserve">Authors reported data using the TNM </w:t>
            </w:r>
            <w:r w:rsidR="00F76AEE">
              <w:rPr>
                <w:rFonts w:cs="Arial"/>
                <w:sz w:val="16"/>
                <w:szCs w:val="20"/>
                <w:lang w:val="en-US"/>
              </w:rPr>
              <w:t>staging system</w:t>
            </w:r>
            <w:r w:rsidRPr="004142EA">
              <w:rPr>
                <w:rFonts w:cs="Arial"/>
                <w:sz w:val="16"/>
                <w:szCs w:val="20"/>
                <w:lang w:val="en-US"/>
              </w:rPr>
              <w:t xml:space="preserve">. </w:t>
            </w:r>
          </w:p>
          <w:p w14:paraId="29045E77"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4" w:type="dxa"/>
          </w:tcPr>
          <w:p w14:paraId="27A8BAC5" w14:textId="7E127778" w:rsidR="00D837F4" w:rsidRPr="004142EA" w:rsidRDefault="00D837F4" w:rsidP="00D66A20">
            <w:pPr>
              <w:rPr>
                <w:rFonts w:cs="Arial"/>
                <w:sz w:val="16"/>
                <w:szCs w:val="20"/>
                <w:lang w:val="en-US"/>
              </w:rPr>
            </w:pPr>
            <w:r w:rsidRPr="004142EA">
              <w:rPr>
                <w:rFonts w:cs="Arial"/>
                <w:sz w:val="16"/>
                <w:szCs w:val="20"/>
                <w:lang w:val="en-US"/>
              </w:rPr>
              <w:t xml:space="preserve">Authors collected ER and HER2 status information from medical records, and classified patients according to the following rules: ER &lt;1% was considered negative and HER2 0, 1+, and 2+ were considered negative. </w:t>
            </w:r>
          </w:p>
          <w:p w14:paraId="0F11F29C" w14:textId="77777777" w:rsidR="00D837F4" w:rsidRPr="004142EA" w:rsidRDefault="00D837F4" w:rsidP="00D66A20">
            <w:pPr>
              <w:rPr>
                <w:rFonts w:cs="Arial"/>
                <w:sz w:val="16"/>
                <w:szCs w:val="20"/>
                <w:lang w:val="en-US"/>
              </w:rPr>
            </w:pPr>
            <w:r w:rsidRPr="004142EA">
              <w:rPr>
                <w:rFonts w:cs="Arial"/>
                <w:b/>
                <w:sz w:val="16"/>
                <w:szCs w:val="20"/>
                <w:lang w:val="en-US"/>
              </w:rPr>
              <w:t>Medium risk</w:t>
            </w:r>
            <w:r w:rsidRPr="004142EA">
              <w:rPr>
                <w:rFonts w:cs="Arial"/>
                <w:sz w:val="16"/>
                <w:szCs w:val="20"/>
                <w:lang w:val="en-US"/>
              </w:rPr>
              <w:t xml:space="preserve">  </w:t>
            </w:r>
          </w:p>
        </w:tc>
        <w:tc>
          <w:tcPr>
            <w:tcW w:w="2004" w:type="dxa"/>
            <w:shd w:val="clear" w:color="auto" w:fill="D9D9D9" w:themeFill="background1" w:themeFillShade="D9"/>
          </w:tcPr>
          <w:p w14:paraId="3E94F262" w14:textId="77777777" w:rsidR="00D837F4" w:rsidRPr="004142EA" w:rsidRDefault="00D837F4" w:rsidP="00D66A20">
            <w:pPr>
              <w:rPr>
                <w:rFonts w:cs="Arial"/>
                <w:sz w:val="16"/>
                <w:szCs w:val="20"/>
                <w:lang w:val="en-US"/>
              </w:rPr>
            </w:pPr>
            <w:r w:rsidRPr="004142EA">
              <w:rPr>
                <w:rFonts w:cs="Arial"/>
                <w:sz w:val="16"/>
                <w:szCs w:val="20"/>
                <w:lang w:val="en-US"/>
              </w:rPr>
              <w:t>NA</w:t>
            </w:r>
          </w:p>
        </w:tc>
        <w:tc>
          <w:tcPr>
            <w:tcW w:w="2097" w:type="dxa"/>
            <w:shd w:val="clear" w:color="auto" w:fill="D9D9D9" w:themeFill="background1" w:themeFillShade="D9"/>
          </w:tcPr>
          <w:p w14:paraId="73237DC7" w14:textId="77777777" w:rsidR="00D837F4" w:rsidRPr="004142EA" w:rsidRDefault="00D837F4" w:rsidP="00D66A20">
            <w:pPr>
              <w:rPr>
                <w:rFonts w:cs="Arial"/>
                <w:sz w:val="16"/>
                <w:szCs w:val="20"/>
                <w:lang w:val="en-US"/>
              </w:rPr>
            </w:pPr>
            <w:r w:rsidRPr="004142EA">
              <w:rPr>
                <w:rFonts w:cs="Arial"/>
                <w:sz w:val="16"/>
                <w:szCs w:val="20"/>
                <w:lang w:val="en-US"/>
              </w:rPr>
              <w:t>NA</w:t>
            </w:r>
          </w:p>
        </w:tc>
      </w:tr>
      <w:tr w:rsidR="00D837F4" w:rsidRPr="004142EA" w14:paraId="4EBEC366" w14:textId="77777777" w:rsidTr="00664E5A">
        <w:trPr>
          <w:cantSplit/>
        </w:trPr>
        <w:tc>
          <w:tcPr>
            <w:tcW w:w="1419" w:type="dxa"/>
          </w:tcPr>
          <w:p w14:paraId="3128B282" w14:textId="14511A0E" w:rsidR="00D837F4" w:rsidRPr="004142EA" w:rsidRDefault="00D837F4" w:rsidP="00D66A20">
            <w:pPr>
              <w:rPr>
                <w:rFonts w:cs="Arial"/>
                <w:i/>
                <w:sz w:val="16"/>
                <w:szCs w:val="20"/>
                <w:lang w:val="en-US"/>
              </w:rPr>
            </w:pPr>
            <w:r w:rsidRPr="004142EA">
              <w:rPr>
                <w:rFonts w:cs="Arial"/>
                <w:sz w:val="16"/>
                <w:szCs w:val="20"/>
                <w:lang w:val="en-US"/>
              </w:rPr>
              <w:lastRenderedPageBreak/>
              <w:t>Cubasch et al (2018)</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j6dNa7ME","properties":{"formattedCitation":"[5]","plainCitation":"[5]","noteIndex":0},"citationItems":[{"id":1959,"uris":["http://zotero.org/users/4481446/items/WP8TH9PG"],"uri":["http://zotero.org/users/4481446/items/WP8TH9PG"],"itemData":{"id":1959,"type":"article-journal","abstract":"Background\nSouth Africa’s public healthcare system is better equipped to manage breast cancer than most other SSA countries, but survival rates are unknown.\nMethods\nA historical cohort of 602 women newly diagnosed with invasive breast carcinoma during 2009–2011 at Chris Hani Baragwanath Academic Hospital, Soweto, Johannesburg, was followed using health systems data to December 2014. ‘Overall survival’ time was defined from diagnosis to death or terminal illness. Cox regression was used to estimate hazard ratios (HR) associated with woman and tumour characteristics.\nResults\nDuring a median 2.1 years follow-up (IQR 0.5–3.8), 149 women died or were classified terminally ill; 287 were lost-to-follow-up. 3-year survival was 84% for early stage (I/II) and 56% for late stage (III/IV) tumours (late v early: HR 2.8 (95% confidence interval (CI): 1.9–4.1), however the 42% cumulative losses to follow-up over this period were greater for late stage, half of which occurred within 6 months of diagnosis. After mutual adjustment for stage, grade, age, receptor subtype and HIV status, lower survival was also associated with triple negative (HR 3.1 (95% CI: 1.9–5.0)) and HER2-enriched (2.5 (95% CI: 1.4–4.5)) compared to ER/PR+ HER2- tumours, but not with age or HIV-infection (1.4 (95% CI: 0.8, 2.3)).\nConclusion\nIn this South African cohort, breast cancer survival is suboptimal, but was better for early stage and hormone receptor-positive tumours. Efforts to reduce clinic losses in the immediate post-diagnosis period, in addition to early presentation and accelerated diagnosis and treatment, are needed to prevent breast cancer deaths, and survival improvements need to be monitored using prospective studies with active follow-up.","container-title":"Cancer Epidemiology","DOI":"10.1016/j.canep.2017.12.007","ISSN":"1877-7821","journalAbbreviation":"Cancer Epidemiology","page":"120-127","source":"ScienceDirect","title":"Breast cancer survival in Soweto, Johannesburg, South Africa: A receptor-defined cohort of women diagnosed from 2009 to 11","title-short":"Breast cancer survival in Soweto, Johannesburg, South Africa","volume":"52","author":[{"family":"Cubasch","given":"Herbert"},{"family":"Dickens","given":"Caroline"},{"family":"Joffe","given":"Maureen"},{"family":"Duarte","given":"Raquel"},{"family":"Murugan","given":"Nivashni"},{"family":"Tsai Chih","given":"Ming"},{"family":"Moodley","given":"Kiashanee"},{"family":"Sharma","given":"Vinay"},{"family":"Ayeni","given":"Oluwatosin"},{"family":"Jacobson","given":"Judith S."},{"family":"Neugut","given":"Alfred I"},{"family":"McCormack","given":"Valerie"},{"family":"Ruff","given":"Paul"}],"issued":{"date-parts":[["2018",2,1]]}}}],"schema":"https://github.com/citation-style-language/schema/raw/master/csl-citation.json"}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[5]</w:t>
            </w:r>
            <w:r w:rsidRPr="004142EA">
              <w:rPr>
                <w:rFonts w:cs="Arial"/>
                <w:sz w:val="16"/>
                <w:szCs w:val="20"/>
                <w:lang w:val="en-US"/>
              </w:rPr>
              <w:fldChar w:fldCharType="end"/>
            </w:r>
          </w:p>
        </w:tc>
        <w:tc>
          <w:tcPr>
            <w:tcW w:w="1417" w:type="dxa"/>
            <w:vMerge/>
          </w:tcPr>
          <w:p w14:paraId="015500CB" w14:textId="77777777" w:rsidR="00D837F4" w:rsidRPr="004142EA" w:rsidRDefault="00D837F4" w:rsidP="00D66A20">
            <w:pPr>
              <w:rPr>
                <w:rFonts w:cs="Arial"/>
                <w:sz w:val="16"/>
                <w:szCs w:val="20"/>
              </w:rPr>
            </w:pPr>
          </w:p>
        </w:tc>
        <w:tc>
          <w:tcPr>
            <w:tcW w:w="851" w:type="dxa"/>
            <w:vMerge/>
          </w:tcPr>
          <w:p w14:paraId="350C1DE0" w14:textId="77777777" w:rsidR="00D837F4" w:rsidRPr="004142EA" w:rsidRDefault="00D837F4" w:rsidP="00D66A20">
            <w:pPr>
              <w:jc w:val="center"/>
              <w:rPr>
                <w:rFonts w:cs="Arial"/>
                <w:sz w:val="16"/>
                <w:szCs w:val="20"/>
              </w:rPr>
            </w:pPr>
          </w:p>
        </w:tc>
        <w:tc>
          <w:tcPr>
            <w:tcW w:w="850" w:type="dxa"/>
            <w:vMerge/>
          </w:tcPr>
          <w:p w14:paraId="2CE2E1B6" w14:textId="77777777" w:rsidR="00D837F4" w:rsidRPr="004142EA" w:rsidRDefault="00D837F4" w:rsidP="00D66A20">
            <w:pPr>
              <w:jc w:val="center"/>
              <w:rPr>
                <w:rFonts w:cs="Arial"/>
                <w:sz w:val="16"/>
                <w:szCs w:val="20"/>
              </w:rPr>
            </w:pPr>
          </w:p>
        </w:tc>
        <w:tc>
          <w:tcPr>
            <w:tcW w:w="2552" w:type="dxa"/>
          </w:tcPr>
          <w:p w14:paraId="16F9BF1A" w14:textId="639E204F" w:rsidR="00D837F4" w:rsidRPr="004142EA" w:rsidRDefault="00D837F4" w:rsidP="00D66A20">
            <w:pPr>
              <w:rPr>
                <w:rFonts w:cs="Arial"/>
                <w:sz w:val="16"/>
                <w:szCs w:val="20"/>
                <w:lang w:val="en-US"/>
              </w:rPr>
            </w:pPr>
            <w:r w:rsidRPr="004142EA">
              <w:rPr>
                <w:rFonts w:cs="Arial"/>
                <w:sz w:val="16"/>
                <w:szCs w:val="20"/>
                <w:lang w:val="en-US"/>
              </w:rPr>
              <w:t>Data retrieved from an electronic database of an academic hospital in South Africa. Among included patients, 17% had unknown HIV status, but survival analysis was reported separately for “HIV-positive”, “HIV-negative” and “HIV-unknown”.</w:t>
            </w:r>
          </w:p>
          <w:p w14:paraId="0624F837"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3" w:type="dxa"/>
            <w:shd w:val="clear" w:color="auto" w:fill="auto"/>
          </w:tcPr>
          <w:p w14:paraId="535314CF" w14:textId="79B0608B" w:rsidR="00D837F4" w:rsidRPr="004142EA" w:rsidRDefault="00D837F4" w:rsidP="00D66A20">
            <w:pPr>
              <w:rPr>
                <w:rFonts w:cs="Arial"/>
                <w:sz w:val="16"/>
                <w:szCs w:val="20"/>
                <w:lang w:val="en-US"/>
              </w:rPr>
            </w:pPr>
            <w:r w:rsidRPr="004142EA">
              <w:rPr>
                <w:rFonts w:cs="Arial"/>
                <w:sz w:val="16"/>
                <w:szCs w:val="20"/>
                <w:lang w:val="en-US"/>
              </w:rPr>
              <w:t xml:space="preserve">Authors reported data using the TNM </w:t>
            </w:r>
            <w:r w:rsidR="00F76AEE">
              <w:rPr>
                <w:rFonts w:cs="Arial"/>
                <w:sz w:val="16"/>
                <w:szCs w:val="20"/>
                <w:lang w:val="en-US"/>
              </w:rPr>
              <w:t>staging system</w:t>
            </w:r>
            <w:r w:rsidRPr="004142EA">
              <w:rPr>
                <w:rFonts w:cs="Arial"/>
                <w:sz w:val="16"/>
                <w:szCs w:val="20"/>
                <w:lang w:val="en-US"/>
              </w:rPr>
              <w:t xml:space="preserve">. </w:t>
            </w:r>
          </w:p>
          <w:p w14:paraId="35521B95"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4" w:type="dxa"/>
            <w:shd w:val="clear" w:color="auto" w:fill="auto"/>
          </w:tcPr>
          <w:p w14:paraId="29F90523" w14:textId="3DE6A484" w:rsidR="00D837F4" w:rsidRPr="004142EA" w:rsidRDefault="00D837F4" w:rsidP="00D66A20">
            <w:pPr>
              <w:rPr>
                <w:rFonts w:cs="Arial"/>
                <w:sz w:val="16"/>
                <w:szCs w:val="20"/>
                <w:lang w:val="en-US"/>
              </w:rPr>
            </w:pPr>
            <w:r w:rsidRPr="004142EA">
              <w:rPr>
                <w:rFonts w:cs="Arial"/>
                <w:sz w:val="16"/>
                <w:szCs w:val="20"/>
                <w:lang w:val="en-US"/>
              </w:rPr>
              <w:t xml:space="preserve">Authors collected ER and HER2 status information from medical records, and classified patients according to the following rules: ER &lt;1% was considered negative and HER2 0, 1+, and 2+ were considered negative. </w:t>
            </w:r>
          </w:p>
          <w:p w14:paraId="5146D9AB" w14:textId="77777777" w:rsidR="00D837F4" w:rsidRPr="004142EA" w:rsidRDefault="00D837F4" w:rsidP="00D66A20">
            <w:pPr>
              <w:rPr>
                <w:rFonts w:cs="Arial"/>
                <w:sz w:val="16"/>
                <w:szCs w:val="20"/>
                <w:lang w:val="en-US"/>
              </w:rPr>
            </w:pPr>
            <w:r w:rsidRPr="004142EA">
              <w:rPr>
                <w:rFonts w:cs="Arial"/>
                <w:b/>
                <w:sz w:val="16"/>
                <w:szCs w:val="20"/>
                <w:lang w:val="en-US"/>
              </w:rPr>
              <w:t>Medium risk</w:t>
            </w:r>
          </w:p>
        </w:tc>
        <w:tc>
          <w:tcPr>
            <w:tcW w:w="2004" w:type="dxa"/>
          </w:tcPr>
          <w:p w14:paraId="261959AD" w14:textId="77777777" w:rsidR="00D837F4" w:rsidRPr="004142EA" w:rsidRDefault="00D837F4" w:rsidP="00D66A20">
            <w:pPr>
              <w:rPr>
                <w:rFonts w:cs="Arial"/>
                <w:sz w:val="16"/>
                <w:szCs w:val="20"/>
                <w:lang w:val="en-US"/>
              </w:rPr>
            </w:pPr>
            <w:r w:rsidRPr="004142EA">
              <w:rPr>
                <w:rFonts w:cs="Arial"/>
                <w:sz w:val="16"/>
                <w:szCs w:val="20"/>
                <w:lang w:val="en-US"/>
              </w:rPr>
              <w:t>Median follow-up reported; 48% of patients were lost follow-up.</w:t>
            </w:r>
          </w:p>
          <w:p w14:paraId="3592128C" w14:textId="5FE41C37" w:rsidR="00D837F4" w:rsidRPr="004142EA" w:rsidRDefault="00347453" w:rsidP="00D66A20">
            <w:pPr>
              <w:rPr>
                <w:rFonts w:cs="Arial"/>
                <w:sz w:val="16"/>
                <w:szCs w:val="20"/>
                <w:lang w:val="en-US"/>
              </w:rPr>
            </w:pPr>
            <w:r w:rsidRPr="004142EA">
              <w:rPr>
                <w:rFonts w:cs="Arial"/>
                <w:b/>
                <w:sz w:val="16"/>
                <w:szCs w:val="20"/>
                <w:lang w:val="en-US"/>
              </w:rPr>
              <w:t>High</w:t>
            </w:r>
            <w:r w:rsidR="00D837F4" w:rsidRPr="004142EA">
              <w:rPr>
                <w:rFonts w:cs="Arial"/>
                <w:b/>
                <w:sz w:val="16"/>
                <w:szCs w:val="20"/>
                <w:lang w:val="en-US"/>
              </w:rPr>
              <w:t xml:space="preserve"> risk</w:t>
            </w:r>
          </w:p>
        </w:tc>
        <w:tc>
          <w:tcPr>
            <w:tcW w:w="2097" w:type="dxa"/>
          </w:tcPr>
          <w:p w14:paraId="3FDE5063" w14:textId="77777777" w:rsidR="00D837F4" w:rsidRPr="004142EA" w:rsidRDefault="00D837F4" w:rsidP="00D66A20">
            <w:pPr>
              <w:rPr>
                <w:rFonts w:cs="Arial"/>
                <w:sz w:val="16"/>
                <w:szCs w:val="20"/>
                <w:lang w:val="en-US"/>
              </w:rPr>
            </w:pPr>
            <w:r w:rsidRPr="004142EA">
              <w:rPr>
                <w:rFonts w:cs="Arial"/>
                <w:sz w:val="16"/>
                <w:szCs w:val="20"/>
                <w:lang w:val="en-US"/>
              </w:rPr>
              <w:t xml:space="preserve">Yes: for age, stage, grade and BC subtype. </w:t>
            </w:r>
            <w:r w:rsidRPr="004142EA">
              <w:rPr>
                <w:rFonts w:cs="Arial"/>
                <w:b/>
                <w:sz w:val="16"/>
                <w:szCs w:val="20"/>
                <w:lang w:val="en-US"/>
              </w:rPr>
              <w:t>Low risk</w:t>
            </w:r>
          </w:p>
        </w:tc>
      </w:tr>
      <w:tr w:rsidR="00D837F4" w:rsidRPr="004142EA" w14:paraId="5EC89C34" w14:textId="77777777" w:rsidTr="00664E5A">
        <w:trPr>
          <w:cantSplit/>
        </w:trPr>
        <w:tc>
          <w:tcPr>
            <w:tcW w:w="1419" w:type="dxa"/>
          </w:tcPr>
          <w:p w14:paraId="075B0D4E" w14:textId="06613F2A" w:rsidR="00D837F4" w:rsidRPr="004142EA" w:rsidRDefault="00D837F4" w:rsidP="00D66A20">
            <w:pPr>
              <w:rPr>
                <w:rFonts w:cs="Arial"/>
                <w:sz w:val="16"/>
                <w:szCs w:val="20"/>
              </w:rPr>
            </w:pPr>
            <w:r w:rsidRPr="004142EA">
              <w:rPr>
                <w:rFonts w:cs="Arial"/>
                <w:sz w:val="16"/>
                <w:szCs w:val="20"/>
                <w:lang w:val="en-US"/>
              </w:rPr>
              <w:t>Shiels et al (2015)</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TyS9A8NZ","properties":{"formattedCitation":"[6]","plainCitation":"[6]","noteIndex":0},"citationItems":[{"id":2090,"uris":["http://zotero.org/users/4481446/items/2SMUPEJK"],"uri":["http://zotero.org/users/4481446/items/2SMUPEJK"],"itemData":{"id":2090,"type":"article-journal","abstract":"BACKGROUND: It is unknown whether immunosuppression results in more aggressive, advanced stage cancers. Because cancer stage is influenced both by tumor biology and medical surveillance, the authors assessed cancer stage in individuals infected with the human immunodeficiency virus (HIV) and solid organ transplant recipients, 2 immunosuppressed groups with differences in their health care use.\nMETHODS: The authors used data on all cases of 15 cancer types diagnosed during 1996 through 2010 in 2 studies that linked US cancer registries with HIV and transplant registries. Odds ratios (ORs) for advanced (vs local) disease were estimated comparing HIV and transplant populations with immunocompetent individuals in polytomous logistic regression models adjusted for age, sex, race, registry, and year.\nRESULTS: A total of 8411 of 4.5 million cancer cases occurred in HIV-infected individuals and 7322 of 6.4 million cancer cases occurred in transplant recipients. Compared with immunocompetent patients with cancer, those infected with HIV were more likely to be diagnosed with distant stage lung (OR, 1.13), female breast (OR, 1.99), and prostate (OR, 1.57) cancers, whereas transplant recipients had fewer distant stage lung (OR, 0.54), female breast (OR, 0.75), and prostate (OR, 0.72) cancers. Both immunosuppressed populations had a shift toward advanced stage melanoma (ORs of 1.97 for HIV-infected individuals and 1.82 for transplant recipients) and bladder cancer (ORs of 1.42 for HIV-infected individuals and 1.54 for transplant recipients).\nCONCLUSIONS: Bladder cancer and melanoma were more likely to be diagnosed at a nonlocal stage in both HIV-infected individuals and transplant recipients, suggesting a role for immunosuppression in their progression. In addition, we observed a shift for some common cancers toward later stages in HIV-infected individuals and toward earlier stages in transplant recipients, which is consistent with differential access to medical care or surveillance.","container-title":"Cancer","DOI":"10.1002/cncr.29324","ISSN":"1097-0142","issue":"12","journalAbbreviation":"Cancer","language":"eng","note":"PMID: 25739496\nPMCID: PMC4470321","page":"2063-2071","source":"PubMed","title":"Cancer stage at diagnosis in patients infected with the human immunodeficiency virus and transplant recipients","volume":"121","author":[{"family":"Shiels","given":"Meredith S."},{"family":"Copeland","given":"Glenn"},{"family":"Goodman","given":"Marc T."},{"family":"Harrell","given":"Janna"},{"family":"Lynch","given":"Charles F."},{"family":"Pawlish","given":"Karen"},{"family":"Pfeiffer","given":"Ruth M."},{"family":"Engels","given":"Eric A."}],"issued":{"date-parts":[["2015",6,15]]}}}],"schema":"https://github.com/citation-style-language/schema/raw/master/csl-citation.json"}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[6]</w:t>
            </w:r>
            <w:r w:rsidRPr="004142EA">
              <w:rPr>
                <w:rFonts w:cs="Arial"/>
                <w:sz w:val="16"/>
                <w:szCs w:val="20"/>
                <w:lang w:val="en-US"/>
              </w:rPr>
              <w:fldChar w:fldCharType="end"/>
            </w:r>
          </w:p>
        </w:tc>
        <w:tc>
          <w:tcPr>
            <w:tcW w:w="1417" w:type="dxa"/>
            <w:vMerge w:val="restart"/>
          </w:tcPr>
          <w:p w14:paraId="4B1A165E" w14:textId="77777777" w:rsidR="00D837F4" w:rsidRPr="004142EA" w:rsidRDefault="00D837F4" w:rsidP="00D66A20">
            <w:pPr>
              <w:rPr>
                <w:rFonts w:cs="Arial"/>
                <w:sz w:val="16"/>
                <w:szCs w:val="20"/>
              </w:rPr>
            </w:pPr>
            <w:r w:rsidRPr="004142EA">
              <w:rPr>
                <w:rFonts w:cs="Arial"/>
                <w:sz w:val="16"/>
                <w:szCs w:val="20"/>
              </w:rPr>
              <w:t>Linkage study (HACM study)</w:t>
            </w:r>
          </w:p>
          <w:p w14:paraId="42D8F45B" w14:textId="77777777" w:rsidR="00D837F4" w:rsidRPr="004142EA" w:rsidRDefault="00D837F4" w:rsidP="00D66A20">
            <w:pPr>
              <w:rPr>
                <w:rFonts w:cs="Arial"/>
                <w:sz w:val="16"/>
                <w:szCs w:val="20"/>
              </w:rPr>
            </w:pPr>
          </w:p>
        </w:tc>
        <w:tc>
          <w:tcPr>
            <w:tcW w:w="851" w:type="dxa"/>
            <w:vMerge w:val="restart"/>
          </w:tcPr>
          <w:p w14:paraId="18232998" w14:textId="77777777" w:rsidR="00D837F4" w:rsidRPr="004142EA" w:rsidRDefault="00D837F4" w:rsidP="00D66A20">
            <w:pPr>
              <w:jc w:val="center"/>
              <w:rPr>
                <w:rFonts w:cs="Arial"/>
                <w:sz w:val="16"/>
                <w:szCs w:val="20"/>
              </w:rPr>
            </w:pPr>
            <w:r w:rsidRPr="004142EA">
              <w:rPr>
                <w:rFonts w:cs="Arial"/>
                <w:sz w:val="16"/>
                <w:szCs w:val="20"/>
              </w:rPr>
              <w:t>No</w:t>
            </w:r>
          </w:p>
        </w:tc>
        <w:tc>
          <w:tcPr>
            <w:tcW w:w="850" w:type="dxa"/>
            <w:vMerge w:val="restart"/>
          </w:tcPr>
          <w:p w14:paraId="17FF5A3A" w14:textId="77777777" w:rsidR="00D837F4" w:rsidRPr="004142EA" w:rsidRDefault="00D837F4" w:rsidP="00D66A20">
            <w:pPr>
              <w:jc w:val="center"/>
              <w:rPr>
                <w:rFonts w:cs="Arial"/>
                <w:sz w:val="16"/>
                <w:szCs w:val="20"/>
              </w:rPr>
            </w:pPr>
            <w:r w:rsidRPr="004142EA">
              <w:rPr>
                <w:rFonts w:cs="Arial"/>
                <w:sz w:val="16"/>
                <w:szCs w:val="20"/>
              </w:rPr>
              <w:t>No</w:t>
            </w:r>
          </w:p>
        </w:tc>
        <w:tc>
          <w:tcPr>
            <w:tcW w:w="2552" w:type="dxa"/>
          </w:tcPr>
          <w:p w14:paraId="3A352AC7" w14:textId="3396764F" w:rsidR="00D837F4" w:rsidRPr="004142EA" w:rsidRDefault="00D837F4" w:rsidP="00D66A20">
            <w:pPr>
              <w:rPr>
                <w:rFonts w:cs="Arial"/>
                <w:sz w:val="16"/>
                <w:szCs w:val="20"/>
              </w:rPr>
            </w:pPr>
            <w:r w:rsidRPr="004142EA">
              <w:rPr>
                <w:rFonts w:cs="Arial"/>
                <w:sz w:val="16"/>
                <w:szCs w:val="20"/>
              </w:rPr>
              <w:t xml:space="preserve">Two national databases (US HIV and cancer registries) in the US, automatically matched by social security number. </w:t>
            </w:r>
          </w:p>
          <w:p w14:paraId="24B6E79D" w14:textId="77777777" w:rsidR="00D837F4" w:rsidRPr="004142EA" w:rsidRDefault="00D837F4" w:rsidP="00D66A20">
            <w:pPr>
              <w:rPr>
                <w:rFonts w:cs="Arial"/>
                <w:sz w:val="16"/>
                <w:szCs w:val="20"/>
              </w:rPr>
            </w:pPr>
            <w:r w:rsidRPr="004142EA">
              <w:rPr>
                <w:rFonts w:cs="Arial"/>
                <w:b/>
                <w:sz w:val="16"/>
                <w:szCs w:val="20"/>
                <w:lang w:val="en-US"/>
              </w:rPr>
              <w:t>Low risk</w:t>
            </w:r>
            <w:r w:rsidRPr="004142EA">
              <w:rPr>
                <w:rFonts w:cs="Arial"/>
                <w:sz w:val="16"/>
                <w:szCs w:val="20"/>
              </w:rPr>
              <w:t xml:space="preserve"> </w:t>
            </w:r>
          </w:p>
        </w:tc>
        <w:tc>
          <w:tcPr>
            <w:tcW w:w="2003" w:type="dxa"/>
            <w:shd w:val="clear" w:color="auto" w:fill="FFFFFF" w:themeFill="background1"/>
          </w:tcPr>
          <w:p w14:paraId="17E04B47" w14:textId="77777777" w:rsidR="00D837F4" w:rsidRPr="004142EA" w:rsidRDefault="00D837F4" w:rsidP="00D66A20">
            <w:pPr>
              <w:rPr>
                <w:rFonts w:cs="Arial"/>
                <w:sz w:val="16"/>
                <w:szCs w:val="20"/>
              </w:rPr>
            </w:pPr>
            <w:r w:rsidRPr="004142EA">
              <w:rPr>
                <w:rFonts w:cs="Arial"/>
                <w:sz w:val="16"/>
                <w:szCs w:val="20"/>
              </w:rPr>
              <w:t xml:space="preserve">SEER classification as local, regional, distant and unknown. </w:t>
            </w:r>
          </w:p>
          <w:p w14:paraId="12B4A316" w14:textId="77777777" w:rsidR="00D837F4" w:rsidRPr="004142EA" w:rsidRDefault="00D837F4" w:rsidP="00D66A20">
            <w:pPr>
              <w:rPr>
                <w:rFonts w:cs="Arial"/>
                <w:sz w:val="16"/>
                <w:szCs w:val="20"/>
              </w:rPr>
            </w:pPr>
            <w:r w:rsidRPr="004142EA">
              <w:rPr>
                <w:rFonts w:cs="Arial"/>
                <w:b/>
                <w:sz w:val="16"/>
                <w:szCs w:val="20"/>
                <w:lang w:val="en-US"/>
              </w:rPr>
              <w:t>Low risk</w:t>
            </w:r>
          </w:p>
        </w:tc>
        <w:tc>
          <w:tcPr>
            <w:tcW w:w="2004" w:type="dxa"/>
            <w:shd w:val="clear" w:color="auto" w:fill="D9D9D9" w:themeFill="background1" w:themeFillShade="D9"/>
          </w:tcPr>
          <w:p w14:paraId="36E130A0" w14:textId="77777777" w:rsidR="00D837F4" w:rsidRPr="004142EA" w:rsidRDefault="00D837F4" w:rsidP="00D66A20">
            <w:pPr>
              <w:rPr>
                <w:rFonts w:cs="Arial"/>
                <w:sz w:val="16"/>
                <w:szCs w:val="20"/>
              </w:rPr>
            </w:pPr>
            <w:r w:rsidRPr="004142EA">
              <w:rPr>
                <w:rFonts w:cs="Arial"/>
                <w:sz w:val="16"/>
                <w:szCs w:val="20"/>
              </w:rPr>
              <w:t>NA</w:t>
            </w:r>
          </w:p>
        </w:tc>
        <w:tc>
          <w:tcPr>
            <w:tcW w:w="2004" w:type="dxa"/>
            <w:shd w:val="clear" w:color="auto" w:fill="D9D9D9" w:themeFill="background1" w:themeFillShade="D9"/>
          </w:tcPr>
          <w:p w14:paraId="7813355A" w14:textId="77777777" w:rsidR="00D837F4" w:rsidRPr="004142EA" w:rsidRDefault="00D837F4" w:rsidP="00D66A20">
            <w:pPr>
              <w:rPr>
                <w:rFonts w:cs="Arial"/>
                <w:sz w:val="16"/>
                <w:szCs w:val="20"/>
              </w:rPr>
            </w:pPr>
            <w:r w:rsidRPr="004142EA">
              <w:rPr>
                <w:rFonts w:cs="Arial"/>
                <w:sz w:val="16"/>
                <w:szCs w:val="20"/>
              </w:rPr>
              <w:t>NA</w:t>
            </w:r>
          </w:p>
        </w:tc>
        <w:tc>
          <w:tcPr>
            <w:tcW w:w="2097" w:type="dxa"/>
            <w:shd w:val="clear" w:color="auto" w:fill="D9D9D9" w:themeFill="background1" w:themeFillShade="D9"/>
          </w:tcPr>
          <w:p w14:paraId="13F2A5A0" w14:textId="77777777" w:rsidR="00D837F4" w:rsidRPr="004142EA" w:rsidRDefault="00D837F4" w:rsidP="00D66A20">
            <w:pPr>
              <w:rPr>
                <w:rFonts w:cs="Arial"/>
                <w:sz w:val="16"/>
                <w:szCs w:val="20"/>
              </w:rPr>
            </w:pPr>
            <w:r w:rsidRPr="004142EA">
              <w:rPr>
                <w:rFonts w:cs="Arial"/>
                <w:sz w:val="16"/>
                <w:szCs w:val="20"/>
              </w:rPr>
              <w:t>NA</w:t>
            </w:r>
          </w:p>
        </w:tc>
      </w:tr>
      <w:tr w:rsidR="00D837F4" w:rsidRPr="004142EA" w14:paraId="4393BB55" w14:textId="77777777" w:rsidTr="00196042">
        <w:trPr>
          <w:cantSplit/>
        </w:trPr>
        <w:tc>
          <w:tcPr>
            <w:tcW w:w="1419" w:type="dxa"/>
          </w:tcPr>
          <w:p w14:paraId="511D4FC1" w14:textId="5BC0EAF3" w:rsidR="00D837F4" w:rsidRPr="004142EA" w:rsidRDefault="00D837F4" w:rsidP="00D66A20">
            <w:pPr>
              <w:rPr>
                <w:rFonts w:cs="Arial"/>
                <w:sz w:val="16"/>
                <w:szCs w:val="20"/>
                <w:lang w:val="en-US"/>
              </w:rPr>
            </w:pPr>
            <w:r w:rsidRPr="004142EA">
              <w:rPr>
                <w:rFonts w:cs="Arial"/>
                <w:sz w:val="16"/>
                <w:szCs w:val="20"/>
              </w:rPr>
              <w:t>Coghill et al (2015)</w:t>
            </w:r>
            <w:r w:rsidR="0064139E">
              <w:rPr>
                <w:rFonts w:cs="Arial"/>
                <w:sz w:val="16"/>
                <w:szCs w:val="20"/>
              </w:rPr>
              <w:t xml:space="preserve"> </w:t>
            </w:r>
            <w:r w:rsidRPr="004142EA">
              <w:rPr>
                <w:rFonts w:cs="Arial"/>
                <w:sz w:val="16"/>
                <w:szCs w:val="20"/>
                <w:lang w:val="en-US"/>
              </w:rPr>
              <w:fldChar w:fldCharType="begin"/>
            </w:r>
            <w:r w:rsidR="0064139E">
              <w:rPr>
                <w:rFonts w:cs="Arial"/>
                <w:sz w:val="16"/>
                <w:szCs w:val="20"/>
              </w:rPr>
              <w:instrText xml:space="preserve"> ADDIN ZOTERO_ITEM CSL_CITATION {"citationID":"CnXNgLWI","properties":{"formattedCitation":"[7]","plainCitation":"[7]","noteIndex":0},"citationItems":[{"id":2133,"uris":["http://zotero.org/users/4481446/items/FBNDVXCR"],"uri":["http://zotero.org/users/4481446/items/FBNDVXCR"],"itemData":{"id":2133,"type":"article-journal","abstract":"Purpose Despite advances in the treatment of HIV, HIV-infected people remain at increased risk for many cancers, and the number of non–AIDS-defining cancers is increasing with the aging of the HIV-infected population. No prior study has comprehensively evaluated the effect of HIV on cancer-specific mortality.  Patients and Methods We identified cases of 14 common cancers occurring from 1996 to 2010 in six US states participating in a linkage of cancer and HIV/AIDS registries. We used Cox regression to examine the association between patient HIV status and death resulting from the presenting cancer (ascertained from death certificates), adjusting for age, sex, race/ethnicity, year of cancer diagnosis, and cancer stage. We included 1,816,461 patients with cancer, 6,459 (0.36%) of whom were HIV infected.  Results Cancer-specific mortality was significantly elevated in HIV-infected compared with HIV-uninfected patients for many cancers: colorectum (adjusted hazard ratio [HR], 1.49; 95% CI, 1.21 to 1.84), pancreas (HR, 1.71; 95% CI, 1.35 to 2.18), larynx (HR, 1.62; 95% CI, 1.06 to 2.47), lung (HR, 1.28; 95% CI, 1.17 to 1.39), melanoma (HR, 1.72; 95% CI, 1.09 to 2.70), breast (HR, 2.61; 95% CI, 2.06 to 3.31), and prostate (HR, 1.57; 95% CI, 1.02 to 2.41). HIV was not associated with increased cancer-specific mortality for anal cancer, Hodgkin lymphoma, or diffuse large B-cell lymphoma. After further adjustment for cancer treatment, HIV remained associated with elevated cancer-specific mortality for common non–AIDS-defining cancers: colorectum (HR, 1.40; 95% CI, 1.09 to 1.80), lung (HR, 1.28; 95% CI, 1.14 to 1.44), melanoma (HR, 1.93; 95% CI, 1.14 to 3.27), and breast (HR, 2.64; 95% CI, 1.86 to 3.73).  Conclusion HIV-infected patients with cancer experienced higher cancer-specific mortality than HIV-uninfected patients, independent of cancer stage or receipt of cancer treatment. The elevation in cancer-specific mortality among HIV-infected patients may be attributable to unmeasured stage or treatment differences as well as a direct relationship between immunosuppression and tumor progression.","container-title":"Journal of Clinical Oncology","DOI":"10.1200/JCO.2014.59.5967","ISSN":"0732-183X","issue":"21","journalAbbreviation":"JCO","page":"2376-2383","source":"ascopubs.org (Atypon)","title":"Elevated Cancer-Specific Mortality Among HIV-Infected Patients in the United States","volume":"33","author":[{"family":"Coghill","given":"Anna E."},{"family":"Shiels","given":"Meredith S."},{"family":"Suneja","given":"Gita"},{"family":"Engels","given":"Eric A."}],"issued":{"date-parts":[["2015",6,15]]}}}],"schema":"https://github.com/citation-style-language/schema/raw/master/csl-citation.json"}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[7]</w:t>
            </w:r>
            <w:r w:rsidRPr="004142EA">
              <w:rPr>
                <w:rFonts w:cs="Arial"/>
                <w:sz w:val="16"/>
                <w:szCs w:val="20"/>
                <w:lang w:val="en-US"/>
              </w:rPr>
              <w:fldChar w:fldCharType="end"/>
            </w:r>
          </w:p>
        </w:tc>
        <w:tc>
          <w:tcPr>
            <w:tcW w:w="1417" w:type="dxa"/>
            <w:vMerge/>
          </w:tcPr>
          <w:p w14:paraId="6C898949" w14:textId="77777777" w:rsidR="00D837F4" w:rsidRPr="004142EA" w:rsidRDefault="00D837F4" w:rsidP="00D66A20">
            <w:pPr>
              <w:rPr>
                <w:rFonts w:cs="Arial"/>
                <w:sz w:val="16"/>
                <w:szCs w:val="20"/>
              </w:rPr>
            </w:pPr>
          </w:p>
        </w:tc>
        <w:tc>
          <w:tcPr>
            <w:tcW w:w="851" w:type="dxa"/>
            <w:vMerge/>
          </w:tcPr>
          <w:p w14:paraId="73649E1E" w14:textId="77777777" w:rsidR="00D837F4" w:rsidRPr="004142EA" w:rsidRDefault="00D837F4" w:rsidP="00D66A20">
            <w:pPr>
              <w:jc w:val="center"/>
              <w:rPr>
                <w:rFonts w:cs="Arial"/>
                <w:sz w:val="16"/>
                <w:szCs w:val="20"/>
              </w:rPr>
            </w:pPr>
          </w:p>
        </w:tc>
        <w:tc>
          <w:tcPr>
            <w:tcW w:w="850" w:type="dxa"/>
            <w:vMerge/>
          </w:tcPr>
          <w:p w14:paraId="7612D49D" w14:textId="77777777" w:rsidR="00D837F4" w:rsidRPr="004142EA" w:rsidRDefault="00D837F4" w:rsidP="00D66A20">
            <w:pPr>
              <w:jc w:val="center"/>
              <w:rPr>
                <w:rFonts w:cs="Arial"/>
                <w:sz w:val="16"/>
                <w:szCs w:val="20"/>
              </w:rPr>
            </w:pPr>
          </w:p>
        </w:tc>
        <w:tc>
          <w:tcPr>
            <w:tcW w:w="2552" w:type="dxa"/>
          </w:tcPr>
          <w:p w14:paraId="4B7384A5" w14:textId="679B3521" w:rsidR="00D837F4" w:rsidRPr="004142EA" w:rsidRDefault="00D837F4" w:rsidP="00D66A20">
            <w:pPr>
              <w:rPr>
                <w:rFonts w:cs="Arial"/>
                <w:sz w:val="16"/>
                <w:szCs w:val="20"/>
              </w:rPr>
            </w:pPr>
            <w:r w:rsidRPr="004142EA">
              <w:rPr>
                <w:rFonts w:cs="Arial"/>
                <w:sz w:val="16"/>
                <w:szCs w:val="20"/>
              </w:rPr>
              <w:t xml:space="preserve">Two national databases (US HIV and cancer registries) in the US automatically matched by social security number. </w:t>
            </w:r>
          </w:p>
          <w:p w14:paraId="29B4804A"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3" w:type="dxa"/>
            <w:shd w:val="clear" w:color="auto" w:fill="FFFFFF" w:themeFill="background1"/>
          </w:tcPr>
          <w:p w14:paraId="0CAA6244" w14:textId="77777777" w:rsidR="00D837F4" w:rsidRPr="004142EA" w:rsidRDefault="00D837F4" w:rsidP="00D66A20">
            <w:pPr>
              <w:rPr>
                <w:rFonts w:cs="Arial"/>
                <w:sz w:val="16"/>
                <w:szCs w:val="20"/>
              </w:rPr>
            </w:pPr>
            <w:r w:rsidRPr="004142EA">
              <w:rPr>
                <w:rFonts w:cs="Arial"/>
                <w:sz w:val="16"/>
                <w:szCs w:val="20"/>
              </w:rPr>
              <w:t>SEER classification as local, regional, distant and unknown.</w:t>
            </w:r>
          </w:p>
          <w:p w14:paraId="7F8873D6"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4" w:type="dxa"/>
            <w:shd w:val="clear" w:color="auto" w:fill="D9D9D9" w:themeFill="background1" w:themeFillShade="D9"/>
          </w:tcPr>
          <w:p w14:paraId="30D0CE3B" w14:textId="77777777" w:rsidR="00D837F4" w:rsidRPr="004142EA" w:rsidRDefault="00D837F4" w:rsidP="00D66A20">
            <w:pPr>
              <w:rPr>
                <w:rFonts w:cs="Arial"/>
                <w:sz w:val="16"/>
                <w:szCs w:val="20"/>
                <w:lang w:val="en-US"/>
              </w:rPr>
            </w:pPr>
            <w:r w:rsidRPr="004142EA">
              <w:rPr>
                <w:rFonts w:cs="Arial"/>
                <w:sz w:val="16"/>
                <w:szCs w:val="20"/>
                <w:lang w:val="en-US"/>
              </w:rPr>
              <w:t>NA</w:t>
            </w:r>
          </w:p>
        </w:tc>
        <w:tc>
          <w:tcPr>
            <w:tcW w:w="2004" w:type="dxa"/>
            <w:shd w:val="clear" w:color="auto" w:fill="D9D9D9" w:themeFill="background1" w:themeFillShade="D9"/>
          </w:tcPr>
          <w:p w14:paraId="55848014" w14:textId="42F74AA3" w:rsidR="00D837F4" w:rsidRPr="004142EA" w:rsidRDefault="00196042" w:rsidP="00D66A20">
            <w:pPr>
              <w:rPr>
                <w:rFonts w:cs="Arial"/>
                <w:sz w:val="16"/>
                <w:szCs w:val="20"/>
                <w:lang w:val="en-US"/>
              </w:rPr>
            </w:pPr>
            <w:r w:rsidRPr="004142EA">
              <w:rPr>
                <w:rFonts w:cs="Arial"/>
                <w:sz w:val="16"/>
                <w:szCs w:val="20"/>
                <w:lang w:val="en-US"/>
              </w:rPr>
              <w:t>NA</w:t>
            </w:r>
          </w:p>
        </w:tc>
        <w:tc>
          <w:tcPr>
            <w:tcW w:w="2097" w:type="dxa"/>
          </w:tcPr>
          <w:p w14:paraId="57326684" w14:textId="77777777" w:rsidR="00D837F4" w:rsidRPr="004142EA" w:rsidRDefault="00D837F4" w:rsidP="00D66A20">
            <w:pPr>
              <w:rPr>
                <w:rFonts w:cs="Arial"/>
                <w:sz w:val="16"/>
                <w:szCs w:val="20"/>
                <w:lang w:val="en-US"/>
              </w:rPr>
            </w:pPr>
            <w:r w:rsidRPr="004142EA">
              <w:rPr>
                <w:rFonts w:cs="Arial"/>
                <w:sz w:val="16"/>
                <w:szCs w:val="20"/>
                <w:lang w:val="en-US"/>
              </w:rPr>
              <w:t xml:space="preserve">Yes: for age, sex, stage, year of cancer diagnosis, race/ethnicity. </w:t>
            </w:r>
            <w:r w:rsidRPr="004142EA">
              <w:rPr>
                <w:rFonts w:cs="Arial"/>
                <w:b/>
                <w:sz w:val="16"/>
                <w:szCs w:val="20"/>
                <w:lang w:val="en-US"/>
              </w:rPr>
              <w:t>Low risk</w:t>
            </w:r>
          </w:p>
        </w:tc>
      </w:tr>
      <w:tr w:rsidR="00D837F4" w:rsidRPr="004142EA" w14:paraId="2F7BC9CD" w14:textId="77777777" w:rsidTr="00664E5A">
        <w:trPr>
          <w:cantSplit/>
        </w:trPr>
        <w:tc>
          <w:tcPr>
            <w:tcW w:w="1419" w:type="dxa"/>
          </w:tcPr>
          <w:p w14:paraId="15867C81" w14:textId="13024B11" w:rsidR="00D837F4" w:rsidRPr="004142EA" w:rsidRDefault="00D837F4" w:rsidP="00D66A20">
            <w:pPr>
              <w:rPr>
                <w:rFonts w:cs="Arial"/>
                <w:sz w:val="16"/>
                <w:szCs w:val="20"/>
                <w:lang w:val="en-US"/>
              </w:rPr>
            </w:pPr>
            <w:r w:rsidRPr="004142EA">
              <w:rPr>
                <w:rFonts w:cs="Arial"/>
                <w:sz w:val="16"/>
                <w:szCs w:val="20"/>
                <w:lang w:val="en-US"/>
              </w:rPr>
              <w:t>Traore et al (2015)</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VyQGqiVz","properties":{"formattedCitation":"[8]","plainCitation":"[8]","noteIndex":0},"citationItems":[{"id":2740,"uris":["http://zotero.org/users/4481446/items/YA4KSSZ6"],"uri":["http://zotero.org/users/4481446/items/YA4KSSZ6"],"itemData":{"id":2740,"type":"article-journal","container-title":"The Pan African medical journal","DOI":"10.11604/pamj.2015.21.261.7146","ISSN":"1937-8688","journalAbbreviation":"Pan Afr Med J","language":"fre","note":"PMID: 26523196 \nPMCID: PMC4607795","page":"261","title":"[HIV infection in patients with breast cancer in Guinea (West Africa)].","volume":"21","author":[{"family":"Traore","given":"Bangaly"},{"family":"Diane","given":"Solomana"},{"family":"Sow","given":"Mamadou Saliou"},{"family":"Keita","given":"Mamady"},{"family":"Conde","given":"Mamoudou"},{"family":"Traore","given":"Fode Amara"},{"family":"Kourouma","given":"Tidiane"}],"issued":{"date-parts":[["2015"]]}}}],"schema":"https://github.com/citation-style-language/schema/raw/master/csl-citation.json"}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[8]</w:t>
            </w:r>
            <w:r w:rsidRPr="004142EA">
              <w:rPr>
                <w:rFonts w:cs="Arial"/>
                <w:sz w:val="16"/>
                <w:szCs w:val="20"/>
                <w:lang w:val="en-US"/>
              </w:rPr>
              <w:fldChar w:fldCharType="end"/>
            </w:r>
          </w:p>
        </w:tc>
        <w:tc>
          <w:tcPr>
            <w:tcW w:w="1417" w:type="dxa"/>
          </w:tcPr>
          <w:p w14:paraId="6363256C" w14:textId="77777777" w:rsidR="00D837F4" w:rsidRPr="004142EA" w:rsidRDefault="00D837F4" w:rsidP="00D66A20">
            <w:pPr>
              <w:rPr>
                <w:rFonts w:cs="Arial"/>
                <w:sz w:val="16"/>
                <w:szCs w:val="20"/>
              </w:rPr>
            </w:pPr>
            <w:r w:rsidRPr="004142EA">
              <w:rPr>
                <w:rFonts w:cs="Arial"/>
                <w:sz w:val="16"/>
                <w:szCs w:val="20"/>
              </w:rPr>
              <w:t>Case series (single-center)</w:t>
            </w:r>
          </w:p>
        </w:tc>
        <w:tc>
          <w:tcPr>
            <w:tcW w:w="851" w:type="dxa"/>
          </w:tcPr>
          <w:p w14:paraId="6D9F81CA" w14:textId="77777777" w:rsidR="00D837F4" w:rsidRPr="004142EA" w:rsidRDefault="00D837F4" w:rsidP="00D66A20">
            <w:pPr>
              <w:jc w:val="center"/>
              <w:rPr>
                <w:rFonts w:cs="Arial"/>
                <w:sz w:val="16"/>
                <w:szCs w:val="20"/>
              </w:rPr>
            </w:pPr>
            <w:r w:rsidRPr="004142EA">
              <w:rPr>
                <w:rFonts w:cs="Arial"/>
                <w:sz w:val="16"/>
                <w:szCs w:val="20"/>
              </w:rPr>
              <w:t>No</w:t>
            </w:r>
          </w:p>
        </w:tc>
        <w:tc>
          <w:tcPr>
            <w:tcW w:w="850" w:type="dxa"/>
          </w:tcPr>
          <w:p w14:paraId="1B430F42"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76AD079A" w14:textId="4BA4BAD5" w:rsidR="00D837F4" w:rsidRPr="004142EA" w:rsidRDefault="00D837F4" w:rsidP="00D66A20">
            <w:pPr>
              <w:rPr>
                <w:rFonts w:cs="Arial"/>
                <w:sz w:val="16"/>
                <w:szCs w:val="20"/>
                <w:lang w:val="en-US"/>
              </w:rPr>
            </w:pPr>
            <w:r w:rsidRPr="004142EA">
              <w:rPr>
                <w:rFonts w:cs="Arial"/>
                <w:sz w:val="16"/>
                <w:szCs w:val="20"/>
                <w:lang w:val="en-US"/>
              </w:rPr>
              <w:t xml:space="preserve">Single-center study, selection based on medical records. Authors do not describe how HIV status was evaluated among “HIV-uninfected” patients.  </w:t>
            </w:r>
          </w:p>
          <w:p w14:paraId="67099ABA" w14:textId="403692C7" w:rsidR="00D837F4" w:rsidRPr="004142EA" w:rsidRDefault="00B76E3E" w:rsidP="00B76E3E">
            <w:pPr>
              <w:rPr>
                <w:rFonts w:cs="Arial"/>
                <w:sz w:val="16"/>
                <w:szCs w:val="20"/>
                <w:lang w:val="en-US"/>
              </w:rPr>
            </w:pPr>
            <w:r w:rsidRPr="004142EA">
              <w:rPr>
                <w:rFonts w:cs="Arial"/>
                <w:b/>
                <w:sz w:val="16"/>
                <w:szCs w:val="20"/>
                <w:lang w:val="en-US"/>
              </w:rPr>
              <w:t>M</w:t>
            </w:r>
            <w:r w:rsidR="00D837F4" w:rsidRPr="004142EA">
              <w:rPr>
                <w:rFonts w:cs="Arial"/>
                <w:b/>
                <w:sz w:val="16"/>
                <w:szCs w:val="20"/>
                <w:lang w:val="en-US"/>
              </w:rPr>
              <w:t>edium risk</w:t>
            </w:r>
          </w:p>
        </w:tc>
        <w:tc>
          <w:tcPr>
            <w:tcW w:w="2003" w:type="dxa"/>
          </w:tcPr>
          <w:p w14:paraId="476C234D" w14:textId="77777777" w:rsidR="00F76AEE" w:rsidRDefault="00D837F4" w:rsidP="00F76AEE">
            <w:pPr>
              <w:rPr>
                <w:rFonts w:cs="Arial"/>
                <w:sz w:val="16"/>
                <w:szCs w:val="20"/>
                <w:lang w:val="en-US"/>
              </w:rPr>
            </w:pPr>
            <w:r w:rsidRPr="004142EA">
              <w:rPr>
                <w:rFonts w:cs="Arial"/>
                <w:sz w:val="16"/>
                <w:szCs w:val="20"/>
                <w:lang w:val="en-US"/>
              </w:rPr>
              <w:t xml:space="preserve">Authors collected staging information from medical records, and classified patients into 2 groups: lower stage (I – II) and advanced stage (III – IV) according to </w:t>
            </w:r>
            <w:r w:rsidR="00F76AEE" w:rsidRPr="004142EA">
              <w:rPr>
                <w:rFonts w:cs="Arial"/>
                <w:sz w:val="16"/>
                <w:szCs w:val="20"/>
                <w:lang w:val="en-US"/>
              </w:rPr>
              <w:t>the TNM staging system</w:t>
            </w:r>
            <w:r w:rsidRPr="004142EA">
              <w:rPr>
                <w:rFonts w:cs="Arial"/>
                <w:sz w:val="16"/>
                <w:szCs w:val="20"/>
                <w:lang w:val="en-US"/>
              </w:rPr>
              <w:t>.</w:t>
            </w:r>
            <w:r w:rsidR="00F76AEE">
              <w:rPr>
                <w:rFonts w:cs="Arial"/>
                <w:sz w:val="16"/>
                <w:szCs w:val="20"/>
                <w:lang w:val="en-US"/>
              </w:rPr>
              <w:t xml:space="preserve"> </w:t>
            </w:r>
          </w:p>
          <w:p w14:paraId="68012829" w14:textId="48B44948" w:rsidR="00D837F4" w:rsidRPr="004142EA" w:rsidRDefault="00D837F4" w:rsidP="00F76AEE">
            <w:pPr>
              <w:rPr>
                <w:rFonts w:cs="Arial"/>
                <w:sz w:val="16"/>
                <w:szCs w:val="20"/>
                <w:lang w:val="en-US"/>
              </w:rPr>
            </w:pPr>
            <w:r w:rsidRPr="004142EA">
              <w:rPr>
                <w:rFonts w:cs="Arial"/>
                <w:b/>
                <w:sz w:val="16"/>
                <w:szCs w:val="20"/>
                <w:lang w:val="en-US"/>
              </w:rPr>
              <w:t>Low risk</w:t>
            </w:r>
          </w:p>
        </w:tc>
        <w:tc>
          <w:tcPr>
            <w:tcW w:w="2004" w:type="dxa"/>
            <w:shd w:val="clear" w:color="auto" w:fill="D9D9D9" w:themeFill="background1" w:themeFillShade="D9"/>
          </w:tcPr>
          <w:p w14:paraId="0F6E8B88" w14:textId="77777777" w:rsidR="00D837F4" w:rsidRPr="004142EA" w:rsidRDefault="00D837F4" w:rsidP="00D66A20">
            <w:pPr>
              <w:rPr>
                <w:rFonts w:cs="Arial"/>
                <w:sz w:val="16"/>
                <w:szCs w:val="20"/>
                <w:lang w:val="en-US"/>
              </w:rPr>
            </w:pPr>
            <w:r w:rsidRPr="004142EA">
              <w:rPr>
                <w:rFonts w:cs="Arial"/>
                <w:sz w:val="16"/>
                <w:szCs w:val="20"/>
                <w:lang w:val="en-US"/>
              </w:rPr>
              <w:t>NA</w:t>
            </w:r>
          </w:p>
          <w:p w14:paraId="1EEBA3B2" w14:textId="77777777" w:rsidR="00D837F4" w:rsidRPr="004142EA" w:rsidRDefault="00D837F4" w:rsidP="00D66A20">
            <w:pPr>
              <w:ind w:firstLine="720"/>
              <w:rPr>
                <w:rFonts w:cs="Arial"/>
                <w:sz w:val="16"/>
                <w:szCs w:val="20"/>
                <w:lang w:val="en-US"/>
              </w:rPr>
            </w:pPr>
          </w:p>
        </w:tc>
        <w:tc>
          <w:tcPr>
            <w:tcW w:w="2004" w:type="dxa"/>
            <w:shd w:val="clear" w:color="auto" w:fill="D9D9D9" w:themeFill="background1" w:themeFillShade="D9"/>
          </w:tcPr>
          <w:p w14:paraId="50F39B7C" w14:textId="77777777" w:rsidR="00D837F4" w:rsidRPr="004142EA" w:rsidRDefault="00D837F4" w:rsidP="00D66A20">
            <w:pPr>
              <w:rPr>
                <w:rFonts w:cs="Arial"/>
                <w:sz w:val="16"/>
                <w:szCs w:val="20"/>
              </w:rPr>
            </w:pPr>
            <w:r w:rsidRPr="004142EA">
              <w:rPr>
                <w:rFonts w:cs="Arial"/>
                <w:sz w:val="16"/>
                <w:szCs w:val="20"/>
                <w:lang w:val="en-US"/>
              </w:rPr>
              <w:t>NA</w:t>
            </w:r>
          </w:p>
        </w:tc>
        <w:tc>
          <w:tcPr>
            <w:tcW w:w="2097" w:type="dxa"/>
            <w:shd w:val="clear" w:color="auto" w:fill="D9D9D9" w:themeFill="background1" w:themeFillShade="D9"/>
          </w:tcPr>
          <w:p w14:paraId="2CA0CA40" w14:textId="77777777" w:rsidR="00D837F4" w:rsidRPr="004142EA" w:rsidRDefault="00D837F4" w:rsidP="00D66A20">
            <w:pPr>
              <w:rPr>
                <w:rFonts w:cs="Arial"/>
                <w:sz w:val="16"/>
                <w:szCs w:val="20"/>
              </w:rPr>
            </w:pPr>
            <w:r w:rsidRPr="004142EA">
              <w:rPr>
                <w:rFonts w:cs="Arial"/>
                <w:sz w:val="16"/>
                <w:szCs w:val="20"/>
                <w:lang w:val="en-US"/>
              </w:rPr>
              <w:t>NA</w:t>
            </w:r>
          </w:p>
        </w:tc>
      </w:tr>
      <w:tr w:rsidR="00D837F4" w:rsidRPr="004142EA" w14:paraId="4EBBD919" w14:textId="77777777" w:rsidTr="00664E5A">
        <w:trPr>
          <w:cantSplit/>
        </w:trPr>
        <w:tc>
          <w:tcPr>
            <w:tcW w:w="1419" w:type="dxa"/>
          </w:tcPr>
          <w:p w14:paraId="3AF97B10" w14:textId="5A067609" w:rsidR="00D837F4" w:rsidRPr="004142EA" w:rsidRDefault="00D837F4" w:rsidP="00D66A20">
            <w:pPr>
              <w:rPr>
                <w:rFonts w:cs="Arial"/>
                <w:sz w:val="16"/>
                <w:szCs w:val="20"/>
                <w:lang w:val="en-US"/>
              </w:rPr>
            </w:pPr>
            <w:r w:rsidRPr="004142EA">
              <w:rPr>
                <w:rFonts w:cs="Arial"/>
                <w:sz w:val="16"/>
                <w:szCs w:val="20"/>
                <w:lang w:val="en-US"/>
              </w:rPr>
              <w:t>Phakathi et al (2016)</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AxfO5c3k","properties":{"formattedCitation":"[9]","plainCitation":"[9]","noteIndex":0},"citationItems":[{"id":1962,"uris":["http://zotero.org/users/4481446/items/ERBTYXSC"],"uri":["http://zotero.org/users/4481446/items/ERBTYXSC"],"itemData":{"id":1962,"type":"article-journal","abstract":"Introduction\nBreast cancer is the most common cancer of women in the world. Twenty-five percent of people living with the human immunodeficiency virus (HIV) reside in South Africa. The coincidence of breast cancer and HIV infection is therefore common in South Africa. There is a perception that systemic and local surgical complications are more common in HIV-infected patients, and that these patients tolerate chemo- and radiotherapy poorly.\nAim\nThe aim of the study was to determine the effect of HIV infection on the management of breast cancer by comparing HIV-infected to -noninfected patients. The outcomes of surgery and adjuvant/neoadjuvant therapy were examined in these groups.\nMethod\nThe study was performed at the Steve Biko Academic Hospital, Pretoria, South Africa, during 2009–2014. Patients scheduled for surgery for breast cancer were recruited prospectively and their HIV status was determined. All patients were managed according to standard guidelines for breast cancer. Patients were followed up for 30 days and local and systemic surgical complications documented. Completion or non-completion of courses of chemo- and radiotherapy, and reasons for non-completion were documented. HIV-infected and -noninfected patients respectively were grouped, and compared statistically.\nResults\nOne hundred and sixty patients (31 HIV-infected) were included. The frequency of surgical complications did not differ significantly between HIV-noninfected and infected patients (p = 0.08), more occurring in the HIV-noninfected patients. The risk ratio of HIV infection for surgical complications was 0.20 and the odds ratio 0.23. The completion of courses of chemo- and radiotherapy did not differ between the HIV-infected and –noninfected patients. Twenty-five of 27 HIV-infected patients (93%) and 100 of 113 HIV-noninfected patients (94%) completed their courses of chemotherapy (p = 0.68). Twelve of 14 HIV-infected patients (86%) and 40 of 41 HIV-noninfected patients (98%) completed their courses of radiotherapy (p = 0.16).\nConclusion\nThese results suggest that HIV-infected patients with breast cancer do not experience more treatment-related complications and can be treated according to standard guidelines.","container-title":"International Journal of Surgery","DOI":"10.1016/j.ijsu.2016.08.520","ISSN":"1743-9191","journalAbbreviation":"International Journal of Surgery","page":"109-115","source":"ScienceDirect","title":"The effect of HIV infection on the surgical, chemo- and radiotherapy management of breast cancer. A prospective cohort study","volume":"34","author":[{"family":"Phakathi","given":"Boitumelo P."},{"family":"Basson","given":"Gerhard"},{"family":"Karusseit","given":"Victor O. L."},{"family":"Olorunju","given":"Steve A. S."},{"family":"Mokoena","given":"Taole"}],"issued":{"date-parts":[["2016",10,1]]}}}],"schema":"https://github.com/citation-style-language/schema/raw/master/csl-citation.json"}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[9]</w:t>
            </w:r>
            <w:r w:rsidRPr="004142EA">
              <w:rPr>
                <w:rFonts w:cs="Arial"/>
                <w:sz w:val="16"/>
                <w:szCs w:val="20"/>
                <w:lang w:val="en-US"/>
              </w:rPr>
              <w:fldChar w:fldCharType="end"/>
            </w:r>
          </w:p>
        </w:tc>
        <w:tc>
          <w:tcPr>
            <w:tcW w:w="1417" w:type="dxa"/>
          </w:tcPr>
          <w:p w14:paraId="0FF2FA7E" w14:textId="77777777" w:rsidR="00D837F4" w:rsidRPr="004142EA" w:rsidRDefault="00D837F4" w:rsidP="00D66A20">
            <w:pPr>
              <w:rPr>
                <w:rFonts w:cs="Arial"/>
                <w:sz w:val="16"/>
                <w:szCs w:val="20"/>
              </w:rPr>
            </w:pPr>
            <w:r w:rsidRPr="004142EA">
              <w:rPr>
                <w:rFonts w:cs="Arial"/>
                <w:sz w:val="16"/>
                <w:szCs w:val="20"/>
              </w:rPr>
              <w:t>Case series (single-center)</w:t>
            </w:r>
          </w:p>
        </w:tc>
        <w:tc>
          <w:tcPr>
            <w:tcW w:w="851" w:type="dxa"/>
          </w:tcPr>
          <w:p w14:paraId="778079E7" w14:textId="77777777" w:rsidR="00D837F4" w:rsidRPr="004142EA" w:rsidRDefault="00D837F4" w:rsidP="00D66A20">
            <w:pPr>
              <w:jc w:val="center"/>
              <w:rPr>
                <w:rFonts w:cs="Arial"/>
                <w:sz w:val="16"/>
                <w:szCs w:val="20"/>
              </w:rPr>
            </w:pPr>
            <w:r w:rsidRPr="004142EA">
              <w:rPr>
                <w:rFonts w:cs="Arial"/>
                <w:sz w:val="16"/>
                <w:szCs w:val="20"/>
              </w:rPr>
              <w:t>Yes</w:t>
            </w:r>
          </w:p>
        </w:tc>
        <w:tc>
          <w:tcPr>
            <w:tcW w:w="850" w:type="dxa"/>
          </w:tcPr>
          <w:p w14:paraId="16D193B9"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011CDCFA" w14:textId="607A7F72" w:rsidR="00D837F4" w:rsidRPr="004142EA" w:rsidRDefault="00D837F4" w:rsidP="00D66A20">
            <w:pPr>
              <w:rPr>
                <w:rFonts w:cs="Arial"/>
                <w:sz w:val="16"/>
                <w:szCs w:val="20"/>
                <w:lang w:val="en-US"/>
              </w:rPr>
            </w:pPr>
            <w:r w:rsidRPr="004142EA">
              <w:rPr>
                <w:rFonts w:cs="Arial"/>
                <w:sz w:val="16"/>
                <w:szCs w:val="20"/>
                <w:lang w:val="en-US"/>
              </w:rPr>
              <w:t>Prospective cohort of a state hospital in South Africa. Only patients with known HIV status were included in the analysis (representing 96% of patients included in the cohort).</w:t>
            </w:r>
          </w:p>
          <w:p w14:paraId="4B562236"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3" w:type="dxa"/>
          </w:tcPr>
          <w:p w14:paraId="426B3EB8" w14:textId="77777777" w:rsidR="00D837F4" w:rsidRPr="004142EA" w:rsidRDefault="00D837F4" w:rsidP="00D66A20">
            <w:pPr>
              <w:rPr>
                <w:rFonts w:cs="Arial"/>
                <w:sz w:val="16"/>
                <w:szCs w:val="20"/>
                <w:lang w:val="en-US"/>
              </w:rPr>
            </w:pPr>
            <w:r w:rsidRPr="004142EA">
              <w:rPr>
                <w:rFonts w:cs="Arial"/>
                <w:sz w:val="16"/>
                <w:szCs w:val="20"/>
                <w:lang w:val="en-US"/>
              </w:rPr>
              <w:t>Patients were classified according to the TNM staging system.</w:t>
            </w:r>
          </w:p>
          <w:p w14:paraId="2751FAA1"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4" w:type="dxa"/>
            <w:shd w:val="clear" w:color="auto" w:fill="D9D9D9" w:themeFill="background1" w:themeFillShade="D9"/>
          </w:tcPr>
          <w:p w14:paraId="0F08A78A" w14:textId="77777777" w:rsidR="00D837F4" w:rsidRPr="004142EA" w:rsidRDefault="00D837F4" w:rsidP="00D66A20">
            <w:pPr>
              <w:rPr>
                <w:rFonts w:cs="Arial"/>
                <w:sz w:val="16"/>
                <w:szCs w:val="20"/>
                <w:lang w:val="en-US"/>
              </w:rPr>
            </w:pPr>
            <w:r w:rsidRPr="004142EA">
              <w:rPr>
                <w:rFonts w:cs="Arial"/>
                <w:sz w:val="16"/>
                <w:szCs w:val="20"/>
                <w:lang w:val="en-US"/>
              </w:rPr>
              <w:t>NA</w:t>
            </w:r>
          </w:p>
          <w:p w14:paraId="5A1023AF" w14:textId="77777777" w:rsidR="00D837F4" w:rsidRPr="004142EA" w:rsidRDefault="00D837F4" w:rsidP="00D66A20">
            <w:pPr>
              <w:ind w:firstLine="720"/>
              <w:rPr>
                <w:rFonts w:cs="Arial"/>
                <w:sz w:val="16"/>
                <w:szCs w:val="20"/>
                <w:lang w:val="en-US"/>
              </w:rPr>
            </w:pPr>
          </w:p>
        </w:tc>
        <w:tc>
          <w:tcPr>
            <w:tcW w:w="2004" w:type="dxa"/>
            <w:shd w:val="clear" w:color="auto" w:fill="D9D9D9" w:themeFill="background1" w:themeFillShade="D9"/>
          </w:tcPr>
          <w:p w14:paraId="3835E683" w14:textId="77777777" w:rsidR="00D837F4" w:rsidRPr="004142EA" w:rsidRDefault="00D837F4" w:rsidP="00D66A20">
            <w:pPr>
              <w:rPr>
                <w:rFonts w:cs="Arial"/>
                <w:sz w:val="16"/>
                <w:szCs w:val="20"/>
              </w:rPr>
            </w:pPr>
            <w:r w:rsidRPr="004142EA">
              <w:rPr>
                <w:rFonts w:cs="Arial"/>
                <w:sz w:val="16"/>
                <w:szCs w:val="20"/>
                <w:lang w:val="en-US"/>
              </w:rPr>
              <w:t>NA</w:t>
            </w:r>
          </w:p>
        </w:tc>
        <w:tc>
          <w:tcPr>
            <w:tcW w:w="2097" w:type="dxa"/>
            <w:shd w:val="clear" w:color="auto" w:fill="D9D9D9" w:themeFill="background1" w:themeFillShade="D9"/>
          </w:tcPr>
          <w:p w14:paraId="06D905B0" w14:textId="77777777" w:rsidR="00D837F4" w:rsidRPr="004142EA" w:rsidRDefault="00D837F4" w:rsidP="00D66A20">
            <w:pPr>
              <w:rPr>
                <w:rFonts w:cs="Arial"/>
                <w:sz w:val="16"/>
                <w:szCs w:val="20"/>
              </w:rPr>
            </w:pPr>
            <w:r w:rsidRPr="004142EA">
              <w:rPr>
                <w:rFonts w:cs="Arial"/>
                <w:sz w:val="16"/>
                <w:szCs w:val="20"/>
                <w:lang w:val="en-US"/>
              </w:rPr>
              <w:t>NA</w:t>
            </w:r>
          </w:p>
        </w:tc>
      </w:tr>
      <w:tr w:rsidR="00D837F4" w:rsidRPr="004142EA" w14:paraId="5DCAB644" w14:textId="77777777" w:rsidTr="00664E5A">
        <w:trPr>
          <w:cantSplit/>
        </w:trPr>
        <w:tc>
          <w:tcPr>
            <w:tcW w:w="1419" w:type="dxa"/>
          </w:tcPr>
          <w:p w14:paraId="17847BB6" w14:textId="44EB0D36" w:rsidR="00D837F4" w:rsidRPr="004142EA" w:rsidRDefault="00D837F4" w:rsidP="00D66A20">
            <w:pPr>
              <w:rPr>
                <w:rFonts w:cs="Arial"/>
                <w:sz w:val="16"/>
                <w:szCs w:val="20"/>
                <w:lang w:val="en-US"/>
              </w:rPr>
            </w:pPr>
            <w:r w:rsidRPr="004142EA">
              <w:rPr>
                <w:rFonts w:cs="Arial"/>
                <w:sz w:val="16"/>
                <w:szCs w:val="20"/>
                <w:lang w:val="en-US"/>
              </w:rPr>
              <w:t>Langenhoven et al (2016)</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EaqWGwG6","properties":{"formattedCitation":"[10]","plainCitation":"[10]","noteIndex":0},"citationItems":[{"id":2167,"uris":["http://zotero.org/users/4481446/items/AQ7RUX24"],"uri":["http://zotero.org/users/4481446/items/AQ7RUX24"],"itemData":{"id":2167,"type":"article-journal","abstract":"PurposeAn estimated 5.9 million people in South Africa are infected with HIV. Because antiretroviral therapy has made infection with HIV a treatable, chronic condition, HIV-infected individuals are now surviving to middle and older age. We investigated the implications of HIV status for breast cancer in South Africa.MethodsWe compared clinical and demographic characteristics of women newly diagnosed with a first primary breast cancer at Tygerberg Hospital, Cape Town, South Africa, from January 2010 to December 2011 by HIV status. We then compared HIV-positive patients with HIV-negative controls, matched 2:1 on age and ethnicity, with respect to chemotherapy regimens, toxicities, completion of systemic chemotherapy, and changes in CD4 cell count.ResultsOf 586 women with breast cancer, 31 (5.3%) were HIV positive, 420 (71.7%) were HIV negative, and 135 (23%) were untested for HIV. Women with HIV were younger than other women (P &lt; .001). The groups did not differ in regard to stage at presentation, histologic subtype, tumor grade, nodal involvement, or hormone receptor positivity. More than 84% of patients who initiated systemic chemotherapy, regardless of HIV status, completed it without serious toxicity. Among HIV-positive patients receiving chemotherapy, the mean baseline CD4 cell count was 477 cells/µL (standard deviation, 160 cells/µL), and the mean nadir was 333 cells/µL (standard deviation, 166 cells/µL).ConclusionHIV-infected women were younger at breast cancer diagnosis than HIV-negative women but otherwise similar in phenotype and completion of chemotherapy. Longer term follow-up is needed to evaluate the effects of HIV, antiretroviral therapy, and chemotherapy on the survival and quality of life of patients with breast cancer.","container-title":"Journal of Global Oncology","DOI":"10.1200/JGO.2015.002451","issue":"5","journalAbbreviation":"JGO","page":"284-291","source":"ascopubs.org (Atypon)","title":"Phenotype and Treatment of Breast Cancer in HIV-Positive and -Negative Women in Cape Town, South Africa","volume":"2","author":[{"family":"Langenhoven","given":"Lizanne"},{"family":"Barnardt","given":"Pieter"},{"family":"Neugut","given":"Alfred I."},{"family":"Jacobson","given":"Judith S."}],"issued":{"date-parts":[["2016",3,30]]}}}],"schema":"https://github.com/citation-style-language/schema/raw/master/csl-citation.json"}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[10]</w:t>
            </w:r>
            <w:r w:rsidRPr="004142EA">
              <w:rPr>
                <w:rFonts w:cs="Arial"/>
                <w:sz w:val="16"/>
                <w:szCs w:val="20"/>
                <w:lang w:val="en-US"/>
              </w:rPr>
              <w:fldChar w:fldCharType="end"/>
            </w:r>
          </w:p>
        </w:tc>
        <w:tc>
          <w:tcPr>
            <w:tcW w:w="1417" w:type="dxa"/>
          </w:tcPr>
          <w:p w14:paraId="508AB09C" w14:textId="77777777" w:rsidR="00D837F4" w:rsidRPr="004142EA" w:rsidRDefault="00D837F4" w:rsidP="00D66A20">
            <w:pPr>
              <w:rPr>
                <w:rFonts w:cs="Arial"/>
                <w:sz w:val="16"/>
                <w:szCs w:val="20"/>
              </w:rPr>
            </w:pPr>
            <w:r w:rsidRPr="004142EA">
              <w:rPr>
                <w:rFonts w:cs="Arial"/>
                <w:sz w:val="16"/>
                <w:szCs w:val="20"/>
              </w:rPr>
              <w:t>Case series (single-center)</w:t>
            </w:r>
          </w:p>
        </w:tc>
        <w:tc>
          <w:tcPr>
            <w:tcW w:w="851" w:type="dxa"/>
          </w:tcPr>
          <w:p w14:paraId="73A6330D" w14:textId="77777777" w:rsidR="00D837F4" w:rsidRPr="004142EA" w:rsidRDefault="00D837F4" w:rsidP="00D66A20">
            <w:pPr>
              <w:jc w:val="center"/>
              <w:rPr>
                <w:rFonts w:cs="Arial"/>
                <w:sz w:val="16"/>
                <w:szCs w:val="20"/>
              </w:rPr>
            </w:pPr>
            <w:r w:rsidRPr="004142EA">
              <w:rPr>
                <w:rFonts w:cs="Arial"/>
                <w:sz w:val="16"/>
                <w:szCs w:val="20"/>
              </w:rPr>
              <w:t>No</w:t>
            </w:r>
          </w:p>
        </w:tc>
        <w:tc>
          <w:tcPr>
            <w:tcW w:w="850" w:type="dxa"/>
          </w:tcPr>
          <w:p w14:paraId="4A016685"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32C6CC44" w14:textId="32742AB2" w:rsidR="00D837F4" w:rsidRPr="004142EA" w:rsidRDefault="00D837F4" w:rsidP="00D66A20">
            <w:pPr>
              <w:rPr>
                <w:rFonts w:cs="Arial"/>
                <w:sz w:val="16"/>
                <w:szCs w:val="20"/>
                <w:lang w:val="en-US"/>
              </w:rPr>
            </w:pPr>
            <w:r w:rsidRPr="004142EA">
              <w:rPr>
                <w:rFonts w:cs="Arial"/>
                <w:sz w:val="16"/>
                <w:szCs w:val="20"/>
                <w:lang w:val="en-US"/>
              </w:rPr>
              <w:t>Single-center study, selection based on medical records; 23% of patients had an unknown HIV status.</w:t>
            </w:r>
          </w:p>
          <w:p w14:paraId="0F971F47" w14:textId="77777777" w:rsidR="00D837F4" w:rsidRPr="004142EA" w:rsidRDefault="00D837F4" w:rsidP="00D66A20">
            <w:pPr>
              <w:rPr>
                <w:rFonts w:cs="Arial"/>
                <w:sz w:val="16"/>
                <w:szCs w:val="20"/>
                <w:lang w:val="en-US"/>
              </w:rPr>
            </w:pPr>
            <w:r w:rsidRPr="004142EA">
              <w:rPr>
                <w:rFonts w:cs="Arial"/>
                <w:b/>
                <w:sz w:val="16"/>
                <w:szCs w:val="20"/>
                <w:lang w:val="en-US"/>
              </w:rPr>
              <w:t>Medium risk</w:t>
            </w:r>
          </w:p>
        </w:tc>
        <w:tc>
          <w:tcPr>
            <w:tcW w:w="2003" w:type="dxa"/>
          </w:tcPr>
          <w:p w14:paraId="3397A0B7" w14:textId="1E143884" w:rsidR="00D837F4" w:rsidRPr="004142EA" w:rsidRDefault="00D837F4" w:rsidP="00D66A20">
            <w:pPr>
              <w:rPr>
                <w:rFonts w:cs="Arial"/>
                <w:sz w:val="16"/>
                <w:szCs w:val="20"/>
                <w:lang w:val="en-US"/>
              </w:rPr>
            </w:pPr>
            <w:r w:rsidRPr="004142EA">
              <w:rPr>
                <w:rFonts w:cs="Arial"/>
                <w:sz w:val="16"/>
                <w:szCs w:val="20"/>
                <w:lang w:val="en-US"/>
              </w:rPr>
              <w:t>Authors collected staging information from medical records, and classified patients according to</w:t>
            </w:r>
            <w:r w:rsidR="00F76AEE">
              <w:rPr>
                <w:rFonts w:cs="Arial"/>
                <w:sz w:val="16"/>
                <w:szCs w:val="20"/>
                <w:lang w:val="en-US"/>
              </w:rPr>
              <w:t xml:space="preserve"> the</w:t>
            </w:r>
            <w:r w:rsidRPr="004142EA">
              <w:rPr>
                <w:rFonts w:cs="Arial"/>
                <w:sz w:val="16"/>
                <w:szCs w:val="20"/>
                <w:lang w:val="en-US"/>
              </w:rPr>
              <w:t xml:space="preserve"> TNM staging</w:t>
            </w:r>
            <w:r w:rsidR="00F76AEE">
              <w:rPr>
                <w:rFonts w:cs="Arial"/>
                <w:sz w:val="16"/>
                <w:szCs w:val="20"/>
                <w:lang w:val="en-US"/>
              </w:rPr>
              <w:t xml:space="preserve"> system</w:t>
            </w:r>
            <w:r w:rsidRPr="004142EA">
              <w:rPr>
                <w:rFonts w:cs="Arial"/>
                <w:sz w:val="16"/>
                <w:szCs w:val="20"/>
                <w:lang w:val="en-US"/>
              </w:rPr>
              <w:t xml:space="preserve">. </w:t>
            </w:r>
          </w:p>
          <w:p w14:paraId="5AFD4F9D"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4" w:type="dxa"/>
          </w:tcPr>
          <w:p w14:paraId="42E430A6" w14:textId="30958539" w:rsidR="00D837F4" w:rsidRPr="004142EA" w:rsidRDefault="00D837F4" w:rsidP="00D66A20">
            <w:pPr>
              <w:rPr>
                <w:rFonts w:cs="Arial"/>
                <w:sz w:val="16"/>
                <w:szCs w:val="20"/>
                <w:lang w:val="en-US"/>
              </w:rPr>
            </w:pPr>
            <w:r w:rsidRPr="004142EA">
              <w:rPr>
                <w:rFonts w:cs="Arial"/>
                <w:sz w:val="16"/>
                <w:szCs w:val="20"/>
                <w:lang w:val="en-US"/>
              </w:rPr>
              <w:t>Authors collected ER and HER2 status information from medical records; they fail to report how this was classified for the study.</w:t>
            </w:r>
          </w:p>
          <w:p w14:paraId="472B1863" w14:textId="77777777" w:rsidR="00D837F4" w:rsidRPr="004142EA" w:rsidRDefault="00D837F4" w:rsidP="00D66A20">
            <w:pPr>
              <w:rPr>
                <w:rFonts w:cs="Arial"/>
                <w:sz w:val="16"/>
                <w:szCs w:val="20"/>
                <w:lang w:val="en-US"/>
              </w:rPr>
            </w:pPr>
            <w:r w:rsidRPr="004142EA">
              <w:rPr>
                <w:rFonts w:cs="Arial"/>
                <w:b/>
                <w:sz w:val="16"/>
                <w:szCs w:val="20"/>
                <w:lang w:val="en-US"/>
              </w:rPr>
              <w:t>Medium risk</w:t>
            </w:r>
          </w:p>
        </w:tc>
        <w:tc>
          <w:tcPr>
            <w:tcW w:w="2004" w:type="dxa"/>
            <w:shd w:val="clear" w:color="auto" w:fill="D9D9D9" w:themeFill="background1" w:themeFillShade="D9"/>
          </w:tcPr>
          <w:p w14:paraId="5B535DC3" w14:textId="77777777" w:rsidR="00D837F4" w:rsidRPr="004142EA" w:rsidRDefault="00D837F4" w:rsidP="00D66A20">
            <w:pPr>
              <w:rPr>
                <w:rFonts w:cs="Arial"/>
                <w:sz w:val="16"/>
                <w:szCs w:val="20"/>
                <w:lang w:val="en-US"/>
              </w:rPr>
            </w:pPr>
            <w:r w:rsidRPr="004142EA">
              <w:rPr>
                <w:rFonts w:cs="Arial"/>
                <w:sz w:val="16"/>
                <w:szCs w:val="20"/>
                <w:lang w:val="en-US"/>
              </w:rPr>
              <w:t>NA</w:t>
            </w:r>
          </w:p>
        </w:tc>
        <w:tc>
          <w:tcPr>
            <w:tcW w:w="2097" w:type="dxa"/>
            <w:shd w:val="clear" w:color="auto" w:fill="D9D9D9" w:themeFill="background1" w:themeFillShade="D9"/>
          </w:tcPr>
          <w:p w14:paraId="2840ECD7" w14:textId="77777777" w:rsidR="00D837F4" w:rsidRPr="004142EA" w:rsidRDefault="00D837F4" w:rsidP="00D66A20">
            <w:pPr>
              <w:rPr>
                <w:rFonts w:cs="Arial"/>
                <w:sz w:val="16"/>
                <w:szCs w:val="20"/>
                <w:lang w:val="en-US"/>
              </w:rPr>
            </w:pPr>
            <w:r w:rsidRPr="004142EA">
              <w:rPr>
                <w:rFonts w:cs="Arial"/>
                <w:sz w:val="16"/>
                <w:szCs w:val="20"/>
                <w:lang w:val="en-US"/>
              </w:rPr>
              <w:t>NA</w:t>
            </w:r>
          </w:p>
        </w:tc>
      </w:tr>
      <w:tr w:rsidR="00D837F4" w:rsidRPr="004142EA" w14:paraId="4DDB69EA" w14:textId="77777777" w:rsidTr="00664E5A">
        <w:trPr>
          <w:cantSplit/>
        </w:trPr>
        <w:tc>
          <w:tcPr>
            <w:tcW w:w="1419" w:type="dxa"/>
          </w:tcPr>
          <w:p w14:paraId="44BF3774" w14:textId="0866B793" w:rsidR="00D837F4" w:rsidRPr="004142EA" w:rsidRDefault="00D837F4" w:rsidP="00D66A20">
            <w:pPr>
              <w:rPr>
                <w:rFonts w:cs="Arial"/>
                <w:sz w:val="16"/>
                <w:szCs w:val="20"/>
                <w:lang w:val="en-US"/>
              </w:rPr>
            </w:pPr>
            <w:r w:rsidRPr="004142EA">
              <w:rPr>
                <w:rFonts w:cs="Arial"/>
                <w:sz w:val="16"/>
                <w:szCs w:val="20"/>
                <w:lang w:val="en-US"/>
              </w:rPr>
              <w:lastRenderedPageBreak/>
              <w:t>Ngidi et al (2017)</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S2PGP4jT","properties":{"formattedCitation":"[11]","plainCitation":"[11]","noteIndex":0},"citationItems":[{"id":2154,"uris":["http://zotero.org/users/4481446/items/REQN86FA"],"uri":["http://zotero.org/users/4481446/items/REQN86FA"],"itemData":{"id":2154,"type":"article-journal","abstract":"Background. Chemotherapy-induced neutropenia (CIN) can result in poor tolerance of chemotherapy, leading to dose reductions, delays in therapy schedules, morbidity and mortality. Actively identifying predisposing risk factors before treatment is of paramount importance. We hypothesised that chemotherapy is associated with a greater increase in CIN and its complications in HIV-infected patients than in those who are not infected.Objective. To establish the incidence of CIN in HIV-infected and uninfected patients undergoing chemotherapy.Methods. A retrospective chart review and analysis was conducted in the oncology departments at Inkosi Albert Luthuli Central Hospital and Addington Hospital, Durban, South Africa. The study population consisted of 65 previously untreated women of all ages with stage II - IV breast cancer and known HIV status treated with neoadjuvant chemotherapy from January 2012 to December 2015.Results. HIV-infected patients formed 32.3% of the group, and 95.2% of them were on antiretroviral therapy. The mean age (standard deviation (SD)) of the cohort was 48.5 (13.2) years (40.6 (9.6) years for the HIV-infected group v. 52.0 (13.1) years for the uninfected group; p&lt;0.001). Ninety-five neutropenia episodes were observed (rate 0.85 per 1 year of follow-up time). Following multivariate adjustment, patients with HIV infection were almost two times more likely to develop CIN (hazard ratio (HR) 1.76, 95% confidence interval (CI) 1.06 - 2.92; p=0.029. A high baseline absolute neutrophil count (ANC) (HR 0.80, 95% CI 0.68 - 0.95; p=0.005) remained significantly associated with protection against CIN.Conclusions. HIV-infected patients were younger than those who were not infected, and presented at a more locally advanced stage of disease. HIV infection was an independent predictor for CIN. HIV-infected patients had an almost two-fold increased risk of developing CIN and developed neutropenia at a much faster rate. A high baseline white cell count and ANC were protective against CIN.","container-title":"South African Medical Journal","DOI":"10.7196/SAMJ.2017.v107i7.12309","ISSN":"2078-5135","issue":"7","page":"595-601-601","source":"www.samj.org.za","title":"Incidence of chemotherapy-induced neutropenia in HIV-infected and uninfected patients with breast cancer receiving neoadjuvant chemotherapy","volume":"107","author":[{"family":"Ngidi","given":"Sithembile"},{"family":"Magula","given":"Nombulelo"},{"family":"Sartorius","given":"Ben"},{"family":"Govender","given":"Pooven"},{"family":"Madiba","given":"Thandinkosi E."}],"issued":{"date-parts":[["2017",6,30]]}}}],"schema":"https://github.com/citation-style-language/schema/raw/master/csl-citation.json"}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[11]</w:t>
            </w:r>
            <w:r w:rsidRPr="004142EA">
              <w:rPr>
                <w:rFonts w:cs="Arial"/>
                <w:sz w:val="16"/>
                <w:szCs w:val="20"/>
                <w:lang w:val="en-US"/>
              </w:rPr>
              <w:fldChar w:fldCharType="end"/>
            </w:r>
          </w:p>
        </w:tc>
        <w:tc>
          <w:tcPr>
            <w:tcW w:w="1417" w:type="dxa"/>
          </w:tcPr>
          <w:p w14:paraId="76BF346E" w14:textId="77777777" w:rsidR="00D837F4" w:rsidRPr="004142EA" w:rsidRDefault="00D837F4" w:rsidP="00D66A20">
            <w:pPr>
              <w:rPr>
                <w:rFonts w:cs="Arial"/>
                <w:sz w:val="16"/>
                <w:szCs w:val="20"/>
              </w:rPr>
            </w:pPr>
            <w:r w:rsidRPr="004142EA">
              <w:rPr>
                <w:rFonts w:cs="Arial"/>
                <w:sz w:val="16"/>
                <w:szCs w:val="20"/>
              </w:rPr>
              <w:t>Case series (multicentric)</w:t>
            </w:r>
          </w:p>
        </w:tc>
        <w:tc>
          <w:tcPr>
            <w:tcW w:w="851" w:type="dxa"/>
          </w:tcPr>
          <w:p w14:paraId="204B5141" w14:textId="77777777" w:rsidR="00D837F4" w:rsidRPr="004142EA" w:rsidRDefault="00D837F4" w:rsidP="00D66A20">
            <w:pPr>
              <w:jc w:val="center"/>
              <w:rPr>
                <w:rFonts w:cs="Arial"/>
                <w:sz w:val="16"/>
                <w:szCs w:val="20"/>
              </w:rPr>
            </w:pPr>
            <w:r w:rsidRPr="004142EA">
              <w:rPr>
                <w:rFonts w:cs="Arial"/>
                <w:sz w:val="16"/>
                <w:szCs w:val="20"/>
              </w:rPr>
              <w:t>No</w:t>
            </w:r>
          </w:p>
        </w:tc>
        <w:tc>
          <w:tcPr>
            <w:tcW w:w="850" w:type="dxa"/>
          </w:tcPr>
          <w:p w14:paraId="0478F6AB"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2F9BBF9C" w14:textId="739107B0" w:rsidR="00D837F4" w:rsidRPr="004142EA" w:rsidRDefault="00D837F4" w:rsidP="00D66A20">
            <w:pPr>
              <w:rPr>
                <w:rFonts w:cs="Arial"/>
                <w:sz w:val="16"/>
                <w:szCs w:val="20"/>
                <w:lang w:val="en-US"/>
              </w:rPr>
            </w:pPr>
            <w:r w:rsidRPr="004142EA">
              <w:rPr>
                <w:rFonts w:cs="Arial"/>
                <w:sz w:val="16"/>
                <w:szCs w:val="20"/>
                <w:lang w:val="en-US"/>
              </w:rPr>
              <w:t>Retrospective analysis of medical charts from 2 South African hospitals. Analysis restricted to patients treated with chemotherapy for breast cancer. Only patients with known HIV status included; do not state the amount of patients excluded due to unknown HIV status.</w:t>
            </w:r>
          </w:p>
          <w:p w14:paraId="05129413" w14:textId="77777777" w:rsidR="00D837F4" w:rsidRPr="004142EA" w:rsidRDefault="00D837F4" w:rsidP="00D66A20">
            <w:pPr>
              <w:rPr>
                <w:rFonts w:cs="Arial"/>
                <w:sz w:val="16"/>
                <w:szCs w:val="20"/>
                <w:lang w:val="en-US"/>
              </w:rPr>
            </w:pPr>
            <w:r w:rsidRPr="004142EA">
              <w:rPr>
                <w:rFonts w:cs="Arial"/>
                <w:b/>
                <w:sz w:val="16"/>
                <w:szCs w:val="20"/>
                <w:lang w:val="en-US"/>
              </w:rPr>
              <w:t>Low-medium risk</w:t>
            </w:r>
          </w:p>
        </w:tc>
        <w:tc>
          <w:tcPr>
            <w:tcW w:w="2003" w:type="dxa"/>
          </w:tcPr>
          <w:p w14:paraId="34C74C8F" w14:textId="59D4ACFF" w:rsidR="00D837F4" w:rsidRPr="004142EA" w:rsidRDefault="00D837F4" w:rsidP="00D66A20">
            <w:pPr>
              <w:rPr>
                <w:rFonts w:cs="Arial"/>
                <w:sz w:val="16"/>
                <w:szCs w:val="20"/>
                <w:lang w:val="en-US"/>
              </w:rPr>
            </w:pPr>
            <w:r w:rsidRPr="004142EA">
              <w:rPr>
                <w:rFonts w:cs="Arial"/>
                <w:sz w:val="16"/>
                <w:szCs w:val="20"/>
                <w:lang w:val="en-US"/>
              </w:rPr>
              <w:t>Authors collected staging information from medical records, and classified patients according to</w:t>
            </w:r>
            <w:r w:rsidR="00230C5D">
              <w:rPr>
                <w:rFonts w:cs="Arial"/>
                <w:sz w:val="16"/>
                <w:szCs w:val="20"/>
                <w:lang w:val="en-US"/>
              </w:rPr>
              <w:t xml:space="preserve"> the</w:t>
            </w:r>
            <w:r w:rsidRPr="004142EA">
              <w:rPr>
                <w:rFonts w:cs="Arial"/>
                <w:sz w:val="16"/>
                <w:szCs w:val="20"/>
                <w:lang w:val="en-US"/>
              </w:rPr>
              <w:t xml:space="preserve"> TNM staging. </w:t>
            </w:r>
          </w:p>
          <w:p w14:paraId="5CD0D181"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4" w:type="dxa"/>
          </w:tcPr>
          <w:p w14:paraId="52022D9C" w14:textId="30E10989" w:rsidR="00D837F4" w:rsidRPr="004142EA" w:rsidRDefault="00D837F4" w:rsidP="00D66A20">
            <w:pPr>
              <w:rPr>
                <w:rFonts w:cs="Arial"/>
                <w:sz w:val="16"/>
                <w:szCs w:val="20"/>
                <w:lang w:val="en-US"/>
              </w:rPr>
            </w:pPr>
            <w:r w:rsidRPr="004142EA">
              <w:rPr>
                <w:rFonts w:cs="Arial"/>
                <w:sz w:val="16"/>
                <w:szCs w:val="20"/>
                <w:lang w:val="en-US"/>
              </w:rPr>
              <w:t>Authors collected ER and HER2 status information from medical records; they fail to report how this was classified for the study.</w:t>
            </w:r>
          </w:p>
          <w:p w14:paraId="389C9B28" w14:textId="77777777" w:rsidR="00D837F4" w:rsidRPr="004142EA" w:rsidRDefault="00D837F4" w:rsidP="00D66A20">
            <w:pPr>
              <w:rPr>
                <w:rFonts w:cs="Arial"/>
                <w:sz w:val="16"/>
                <w:szCs w:val="20"/>
                <w:lang w:val="en-US"/>
              </w:rPr>
            </w:pPr>
            <w:r w:rsidRPr="004142EA">
              <w:rPr>
                <w:rFonts w:cs="Arial"/>
                <w:b/>
                <w:sz w:val="16"/>
                <w:szCs w:val="20"/>
                <w:lang w:val="en-US"/>
              </w:rPr>
              <w:t>Medium risk</w:t>
            </w:r>
          </w:p>
        </w:tc>
        <w:tc>
          <w:tcPr>
            <w:tcW w:w="2004" w:type="dxa"/>
            <w:shd w:val="clear" w:color="auto" w:fill="D9D9D9" w:themeFill="background1" w:themeFillShade="D9"/>
          </w:tcPr>
          <w:p w14:paraId="6AF90D11" w14:textId="77777777" w:rsidR="00D837F4" w:rsidRPr="004142EA" w:rsidRDefault="00D837F4" w:rsidP="00D66A20">
            <w:pPr>
              <w:rPr>
                <w:rFonts w:cs="Arial"/>
                <w:sz w:val="16"/>
                <w:szCs w:val="20"/>
                <w:lang w:val="en-US"/>
              </w:rPr>
            </w:pPr>
            <w:r w:rsidRPr="004142EA">
              <w:rPr>
                <w:rFonts w:cs="Arial"/>
                <w:sz w:val="16"/>
                <w:szCs w:val="20"/>
                <w:lang w:val="en-US"/>
              </w:rPr>
              <w:t>NA</w:t>
            </w:r>
          </w:p>
        </w:tc>
        <w:tc>
          <w:tcPr>
            <w:tcW w:w="2097" w:type="dxa"/>
            <w:shd w:val="clear" w:color="auto" w:fill="D9D9D9" w:themeFill="background1" w:themeFillShade="D9"/>
          </w:tcPr>
          <w:p w14:paraId="6F774693" w14:textId="77777777" w:rsidR="00D837F4" w:rsidRPr="004142EA" w:rsidRDefault="00D837F4" w:rsidP="00D66A20">
            <w:pPr>
              <w:rPr>
                <w:rFonts w:cs="Arial"/>
                <w:sz w:val="16"/>
                <w:szCs w:val="20"/>
                <w:lang w:val="en-US"/>
              </w:rPr>
            </w:pPr>
            <w:r w:rsidRPr="004142EA">
              <w:rPr>
                <w:rFonts w:cs="Arial"/>
                <w:sz w:val="16"/>
                <w:szCs w:val="20"/>
                <w:lang w:val="en-US"/>
              </w:rPr>
              <w:t>NA</w:t>
            </w:r>
          </w:p>
        </w:tc>
      </w:tr>
      <w:tr w:rsidR="00D837F4" w:rsidRPr="004142EA" w14:paraId="4AA5458B" w14:textId="77777777" w:rsidTr="00664E5A">
        <w:trPr>
          <w:cantSplit/>
        </w:trPr>
        <w:tc>
          <w:tcPr>
            <w:tcW w:w="1419" w:type="dxa"/>
          </w:tcPr>
          <w:p w14:paraId="757B213A" w14:textId="679D258B" w:rsidR="00D837F4" w:rsidRPr="004142EA" w:rsidRDefault="00D837F4" w:rsidP="00D66A20">
            <w:pPr>
              <w:rPr>
                <w:rFonts w:cs="Arial"/>
                <w:sz w:val="16"/>
                <w:szCs w:val="20"/>
                <w:lang w:val="en-US"/>
              </w:rPr>
            </w:pPr>
            <w:r w:rsidRPr="004142EA">
              <w:rPr>
                <w:rFonts w:cs="Arial"/>
                <w:sz w:val="16"/>
                <w:szCs w:val="20"/>
                <w:lang w:val="en-US"/>
              </w:rPr>
              <w:t>Presti et al (2017)</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ivSAviSe","properties":{"formattedCitation":"[12]","plainCitation":"[12]","noteIndex":0},"citationItems":[{"id":2173,"uris":["http://zotero.org/users/4481446/items/48XW72YQ"],"uri":["http://zotero.org/users/4481446/items/48XW72YQ"],"itemData":{"id":2173,"type":"article-journal","abstract":"Purpose: The incidence of breast cancer in HIV-positive patients continues to increase as the population ages. There is limited data to support standard\nscreening, diagnosis, or treatment protocols for breast cancer in HIV-positive patients, and current standard of practice guidelines are derived from HIVnegative,\nnon-immunosuppressed patients. Because of the current HIV epidemic and high breast cancer mortality rate, we compared the characteristics of a\nunique population of HIV-positive women in the Baltimore-Washington, D.C. area with breast cancer.\nPatients and Methods: This study analyzed all breast cancer diagnoses in HIV-positive patients (N=43) from January 1, 2004 - December 31, 2014 at four\nhospitals in the Baltimore-Washington, D.C. area. Demographic comparisons were conducted using Fisher’s Exact test for categorical variables and t-tests for\ncontinuous variables.\nResults: The average age in years at breast cancer diagnosis was significantly lower in HIV positive individuals than the control (53 vs. 60, p=0.009). A\nsignificant difference was found in hormone receptor status for luminal B (ER+/PR-/HER2-), HER2 enriched (ER-/PR-/HER2+), and basal types (triple negative\nER-/PR-/HER2-), p=0.04, p=0.009, and p=0.002 respectively. However, no significant differences were found when comparing stage at diagnosis (p=0.31).\nChemotherapy was the only treatment administered at a statistically higher rate to HIV-positive patients when compared to the control (p=0.02).\nConclusions: In this small demographic study, HIV-positive breast cancer patients presented at a younger age, not unlike findings suggested in other large\nanalyses of non-AIDS-defining cancers in similar patient populations. This study further highlights the need for future research of breast cancer in HIV-positive\npatients to help guide preventive care guidelines for screening and diagnosis of breast cancer.","container-title":"J Prev Med Healthc","issue":"2","page":"1009","title":"Breast Cancer in HIV-positive Patients: A Multi-Institutional Retrospective Review.","volume":"1","author":[{"family":"Presti","given":"Cassandra"},{"family":"Haslinger","given":"Michelle L."},{"family":"Wehner","given":"Patricia"}],"issued":{"date-parts":[["2017",8,16]]}}}],"schema":"https://github.com/citation-style-language/schema/raw/master/csl-citation.json"}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[12]</w:t>
            </w:r>
            <w:r w:rsidRPr="004142EA">
              <w:rPr>
                <w:rFonts w:cs="Arial"/>
                <w:sz w:val="16"/>
                <w:szCs w:val="20"/>
                <w:lang w:val="en-US"/>
              </w:rPr>
              <w:fldChar w:fldCharType="end"/>
            </w:r>
          </w:p>
        </w:tc>
        <w:tc>
          <w:tcPr>
            <w:tcW w:w="1417" w:type="dxa"/>
          </w:tcPr>
          <w:p w14:paraId="0FB6AB81" w14:textId="77777777" w:rsidR="00D837F4" w:rsidRPr="004142EA" w:rsidRDefault="00D837F4" w:rsidP="00D66A20">
            <w:pPr>
              <w:rPr>
                <w:rFonts w:cs="Arial"/>
                <w:sz w:val="16"/>
                <w:szCs w:val="20"/>
              </w:rPr>
            </w:pPr>
            <w:r w:rsidRPr="004142EA">
              <w:rPr>
                <w:rFonts w:cs="Arial"/>
                <w:sz w:val="16"/>
                <w:szCs w:val="20"/>
              </w:rPr>
              <w:t>Case series (multi-centric)</w:t>
            </w:r>
          </w:p>
        </w:tc>
        <w:tc>
          <w:tcPr>
            <w:tcW w:w="851" w:type="dxa"/>
          </w:tcPr>
          <w:p w14:paraId="6DDE2A09" w14:textId="77777777" w:rsidR="00D837F4" w:rsidRPr="004142EA" w:rsidRDefault="00D837F4" w:rsidP="00D66A20">
            <w:pPr>
              <w:jc w:val="center"/>
              <w:rPr>
                <w:rFonts w:cs="Arial"/>
                <w:sz w:val="16"/>
                <w:szCs w:val="20"/>
              </w:rPr>
            </w:pPr>
            <w:r w:rsidRPr="004142EA">
              <w:rPr>
                <w:rFonts w:cs="Arial"/>
                <w:sz w:val="16"/>
                <w:szCs w:val="20"/>
              </w:rPr>
              <w:t>No</w:t>
            </w:r>
          </w:p>
        </w:tc>
        <w:tc>
          <w:tcPr>
            <w:tcW w:w="850" w:type="dxa"/>
          </w:tcPr>
          <w:p w14:paraId="7EFF819E"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2B1C8F66" w14:textId="2E6E8898" w:rsidR="00D837F4" w:rsidRPr="004142EA" w:rsidRDefault="00D837F4" w:rsidP="00D66A20">
            <w:pPr>
              <w:rPr>
                <w:rFonts w:cs="Arial"/>
                <w:sz w:val="16"/>
                <w:szCs w:val="20"/>
                <w:lang w:val="en-US"/>
              </w:rPr>
            </w:pPr>
            <w:r w:rsidRPr="004142EA">
              <w:rPr>
                <w:rFonts w:cs="Arial"/>
                <w:sz w:val="16"/>
                <w:szCs w:val="20"/>
                <w:lang w:val="en-US"/>
              </w:rPr>
              <w:t>Retrospective chart review from 4 hospitals in the USA. HIV status was retrospectively collected and both patients with known and unknown status were included – patients with unknown HIV status were considered as “HIV negative”, but the proportion of “HIV unknown” is not provided (but the prevalence of HIV in the country where the study was conducted is &lt;0</w:t>
            </w:r>
            <w:r w:rsidR="00DB6E75" w:rsidRPr="004142EA">
              <w:rPr>
                <w:rFonts w:cs="Arial"/>
                <w:sz w:val="16"/>
                <w:szCs w:val="20"/>
                <w:lang w:val="en-US"/>
              </w:rPr>
              <w:t>.</w:t>
            </w:r>
            <w:r w:rsidRPr="004142EA">
              <w:rPr>
                <w:rFonts w:cs="Arial"/>
                <w:sz w:val="16"/>
                <w:szCs w:val="20"/>
                <w:lang w:val="en-US"/>
              </w:rPr>
              <w:t xml:space="preserve">5%).   </w:t>
            </w:r>
          </w:p>
          <w:p w14:paraId="01B5FF6B" w14:textId="77777777" w:rsidR="00D837F4" w:rsidRPr="004142EA" w:rsidRDefault="00D837F4" w:rsidP="00D66A20">
            <w:pPr>
              <w:rPr>
                <w:rFonts w:cs="Arial"/>
                <w:sz w:val="16"/>
                <w:szCs w:val="20"/>
                <w:lang w:val="en-US"/>
              </w:rPr>
            </w:pPr>
            <w:r w:rsidRPr="004142EA">
              <w:rPr>
                <w:rFonts w:cs="Arial"/>
                <w:b/>
                <w:sz w:val="16"/>
                <w:szCs w:val="20"/>
                <w:lang w:val="en-US"/>
              </w:rPr>
              <w:t>Low-medium risk</w:t>
            </w:r>
          </w:p>
        </w:tc>
        <w:tc>
          <w:tcPr>
            <w:tcW w:w="2003" w:type="dxa"/>
          </w:tcPr>
          <w:p w14:paraId="3E146AA9" w14:textId="77777777" w:rsidR="00D837F4" w:rsidRPr="004142EA" w:rsidRDefault="00D837F4" w:rsidP="00D66A20">
            <w:pPr>
              <w:rPr>
                <w:rFonts w:cs="Arial"/>
                <w:sz w:val="16"/>
                <w:szCs w:val="20"/>
                <w:lang w:val="en-US"/>
              </w:rPr>
            </w:pPr>
            <w:r w:rsidRPr="004142EA">
              <w:rPr>
                <w:rFonts w:cs="Arial"/>
                <w:sz w:val="16"/>
                <w:szCs w:val="20"/>
                <w:lang w:val="en-US"/>
              </w:rPr>
              <w:t xml:space="preserve">Authors collected staging information from medical records, and classified patients according to TNM staging. </w:t>
            </w:r>
          </w:p>
          <w:p w14:paraId="304CB77B"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4" w:type="dxa"/>
          </w:tcPr>
          <w:p w14:paraId="0A27AB40" w14:textId="69BF0841" w:rsidR="00D837F4" w:rsidRPr="004142EA" w:rsidRDefault="00D837F4" w:rsidP="00D66A20">
            <w:pPr>
              <w:rPr>
                <w:rFonts w:cs="Arial"/>
                <w:sz w:val="16"/>
                <w:szCs w:val="20"/>
                <w:lang w:val="en-US"/>
              </w:rPr>
            </w:pPr>
            <w:r w:rsidRPr="004142EA">
              <w:rPr>
                <w:rFonts w:cs="Arial"/>
                <w:sz w:val="16"/>
                <w:szCs w:val="20"/>
                <w:lang w:val="en-US"/>
              </w:rPr>
              <w:t xml:space="preserve">Authors collected ER and HER2 status information from medical records; </w:t>
            </w:r>
            <w:r w:rsidR="00AB2849" w:rsidRPr="004142EA">
              <w:rPr>
                <w:rFonts w:cs="Arial"/>
                <w:sz w:val="16"/>
                <w:szCs w:val="20"/>
                <w:lang w:val="en-US"/>
              </w:rPr>
              <w:t>they fail to report how this was classified for the study.</w:t>
            </w:r>
          </w:p>
          <w:p w14:paraId="2EE16741" w14:textId="77777777" w:rsidR="00D837F4" w:rsidRPr="004142EA" w:rsidRDefault="00D837F4" w:rsidP="00D66A20">
            <w:pPr>
              <w:rPr>
                <w:rFonts w:cs="Arial"/>
                <w:sz w:val="16"/>
                <w:szCs w:val="20"/>
                <w:lang w:val="en-US"/>
              </w:rPr>
            </w:pPr>
            <w:r w:rsidRPr="004142EA">
              <w:rPr>
                <w:rFonts w:cs="Arial"/>
                <w:b/>
                <w:sz w:val="16"/>
                <w:szCs w:val="20"/>
                <w:lang w:val="en-US"/>
              </w:rPr>
              <w:t>Medium risk</w:t>
            </w:r>
          </w:p>
        </w:tc>
        <w:tc>
          <w:tcPr>
            <w:tcW w:w="2004" w:type="dxa"/>
            <w:shd w:val="clear" w:color="auto" w:fill="D9D9D9" w:themeFill="background1" w:themeFillShade="D9"/>
          </w:tcPr>
          <w:p w14:paraId="1842FA83" w14:textId="77777777" w:rsidR="00D837F4" w:rsidRPr="004142EA" w:rsidRDefault="00D837F4" w:rsidP="00D66A20">
            <w:pPr>
              <w:rPr>
                <w:rFonts w:cs="Arial"/>
                <w:sz w:val="16"/>
                <w:szCs w:val="20"/>
                <w:lang w:val="en-US"/>
              </w:rPr>
            </w:pPr>
            <w:r w:rsidRPr="004142EA">
              <w:rPr>
                <w:rFonts w:cs="Arial"/>
                <w:sz w:val="16"/>
                <w:szCs w:val="20"/>
                <w:lang w:val="en-US"/>
              </w:rPr>
              <w:t>NA</w:t>
            </w:r>
          </w:p>
        </w:tc>
        <w:tc>
          <w:tcPr>
            <w:tcW w:w="2097" w:type="dxa"/>
            <w:shd w:val="clear" w:color="auto" w:fill="D9D9D9" w:themeFill="background1" w:themeFillShade="D9"/>
          </w:tcPr>
          <w:p w14:paraId="5C913B85" w14:textId="77777777" w:rsidR="00D837F4" w:rsidRPr="004142EA" w:rsidRDefault="00D837F4" w:rsidP="00D66A20">
            <w:pPr>
              <w:rPr>
                <w:rFonts w:cs="Arial"/>
                <w:sz w:val="16"/>
                <w:szCs w:val="20"/>
                <w:lang w:val="en-US"/>
              </w:rPr>
            </w:pPr>
            <w:r w:rsidRPr="004142EA">
              <w:rPr>
                <w:rFonts w:cs="Arial"/>
                <w:sz w:val="16"/>
                <w:szCs w:val="20"/>
                <w:lang w:val="en-US"/>
              </w:rPr>
              <w:t>NA</w:t>
            </w:r>
          </w:p>
        </w:tc>
      </w:tr>
      <w:tr w:rsidR="00D837F4" w:rsidRPr="004142EA" w14:paraId="01834360" w14:textId="77777777" w:rsidTr="00664E5A">
        <w:trPr>
          <w:cantSplit/>
        </w:trPr>
        <w:tc>
          <w:tcPr>
            <w:tcW w:w="1419" w:type="dxa"/>
          </w:tcPr>
          <w:p w14:paraId="4169B25F" w14:textId="12B6269B" w:rsidR="00D837F4" w:rsidRPr="004142EA" w:rsidRDefault="00D837F4" w:rsidP="00D66A20">
            <w:pPr>
              <w:rPr>
                <w:rFonts w:cs="Arial"/>
                <w:sz w:val="16"/>
                <w:szCs w:val="20"/>
                <w:lang w:val="en-US"/>
              </w:rPr>
            </w:pPr>
            <w:r w:rsidRPr="004142EA">
              <w:rPr>
                <w:rFonts w:cs="Arial"/>
                <w:sz w:val="16"/>
                <w:szCs w:val="20"/>
                <w:lang w:val="en-US"/>
              </w:rPr>
              <w:t>McKenzie et al (2018)</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mJL2Ukgo","properties":{"formattedCitation":"[13]","plainCitation":"[13]","noteIndex":0},"citationItems":[{"id":2262,"uris":["http://zotero.org/users/4481446/items/XYKT3EFR"],"uri":["http://zotero.org/users/4481446/items/XYKT3EFR"],"itemData":{"id":2262,"type":"article-journal","abstract":"Breast cancer (BC) survival rates in sub-Saharan Africa (SSA) are low in part due to advanced stage at diagnosis. As one component of a study of the entire journey of SSA women with BC, we aimed to identify shared and setting-specific drivers of advanced stage BC. Women newly diagnosed in the multicountry African Breast Cancer–Disparities in Outcomes (ABC-DO) study completed a baseline interview and their stage information was extracted from medical records. Ordinal logistic regression was used to estimate odds ratios (OR) and 95% confidence intervals (CI) for advanced stage (I, II, III, IV) in relation to individual woman-level, referral and biological factors. A total of 1795 women were included from Nigeria, Uganda, Zambia, and the multiracial populations of Namibia and South Africa, 1091 of whom (61%) were stage III/IV. Stage was lower in women with greater BC knowledge (OR 0.77 (95% CI: 0.70, 0.85) per point on a 6 point scale). More advanced stage was associated with being black (4.00 (2.79, 5.74)), having attended &lt;secondary education (1.75 (1.42, 2.16)), having never heard of BC (1.64 (1.31, 2.06)), an unskilled job (1.77 (1.43, 2.20)) and pregnancy in the past 3 years (30% of ≤45 year olds) (1.63 (1.15, 2.31)), and were mediated through delays to diagnosis: symptom duration of ≥ 1 year (OR 2.47 (1.93, 3.15)). These findings provide further evidence that late-stage BC in SSA is largely attributed to modifiable factors and strategies to improve BC education and awareness in women and the health system should be intensified.","container-title":"International Journal of Cancer","DOI":"10.1002/ijc.31187","ISSN":"1097-0215","issue":"8","language":"en","page":"1568-1579","source":"Wiley Online Library","title":"Drivers of advanced stage at breast cancer diagnosis in the multicountry African breast cancer – disparities in outcomes (ABC-DO) study","volume":"142","author":[{"family":"McKenzie","given":"Fiona"},{"family":"Zietsman","given":"Annelle"},{"family":"Galukande","given":"Moses"},{"family":"Anele","given":"Angelica"},{"family":"Adisa","given":"Charles"},{"family":"Parham","given":"Groesbeck"},{"family":"Pinder","given":"Leeya"},{"family":"Cubasch","given":"Herbert"},{"family":"Joffe","given":"Maureen"},{"family":"Kidaaga","given":"Frederick"},{"family":"Lukande","given":"Robert"},{"family":"Offiah","given":"Awa U."},{"family":"Egejuru","given":"Ralph O."},{"family":"Shibemba","given":"Aaron"},{"family":"Schuz","given":"Joachim"},{"family":"Anderson","given":"Benjamin O."},{"family":"Silva","given":"Isabel dos Santos"},{"family":"McCormack","given":"Valerie"}],"issued":{"date-parts":[["2018"]]}}}],"schema":"https://github.com/citation-style-language/schema/raw/master/csl-citation.json"}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[13]</w:t>
            </w:r>
            <w:r w:rsidRPr="004142EA">
              <w:rPr>
                <w:rFonts w:cs="Arial"/>
                <w:sz w:val="16"/>
                <w:szCs w:val="20"/>
                <w:lang w:val="en-US"/>
              </w:rPr>
              <w:fldChar w:fldCharType="end"/>
            </w:r>
          </w:p>
        </w:tc>
        <w:tc>
          <w:tcPr>
            <w:tcW w:w="1417" w:type="dxa"/>
          </w:tcPr>
          <w:p w14:paraId="0EECCE4A" w14:textId="77777777" w:rsidR="00D837F4" w:rsidRPr="004142EA" w:rsidRDefault="00D837F4" w:rsidP="00D66A20">
            <w:pPr>
              <w:rPr>
                <w:rFonts w:cs="Arial"/>
                <w:sz w:val="16"/>
                <w:szCs w:val="20"/>
              </w:rPr>
            </w:pPr>
            <w:r w:rsidRPr="004142EA">
              <w:rPr>
                <w:rFonts w:cs="Arial"/>
                <w:sz w:val="16"/>
                <w:szCs w:val="20"/>
              </w:rPr>
              <w:t>Cohort (multi-country – ABC-DO study)</w:t>
            </w:r>
          </w:p>
        </w:tc>
        <w:tc>
          <w:tcPr>
            <w:tcW w:w="851" w:type="dxa"/>
          </w:tcPr>
          <w:p w14:paraId="2DB2B650" w14:textId="77777777" w:rsidR="00D837F4" w:rsidRPr="004142EA" w:rsidRDefault="00D837F4" w:rsidP="00D66A20">
            <w:pPr>
              <w:jc w:val="center"/>
              <w:rPr>
                <w:rFonts w:cs="Arial"/>
                <w:sz w:val="16"/>
                <w:szCs w:val="20"/>
              </w:rPr>
            </w:pPr>
            <w:r w:rsidRPr="004142EA">
              <w:rPr>
                <w:rFonts w:cs="Arial"/>
                <w:sz w:val="16"/>
                <w:szCs w:val="20"/>
              </w:rPr>
              <w:t>Yes</w:t>
            </w:r>
          </w:p>
        </w:tc>
        <w:tc>
          <w:tcPr>
            <w:tcW w:w="850" w:type="dxa"/>
          </w:tcPr>
          <w:p w14:paraId="3C08F534"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3EB39313" w14:textId="04AC8D7B" w:rsidR="00D837F4" w:rsidRPr="004142EA" w:rsidRDefault="00D837F4" w:rsidP="00D66A20">
            <w:pPr>
              <w:rPr>
                <w:rFonts w:cs="Arial"/>
                <w:sz w:val="16"/>
                <w:szCs w:val="20"/>
                <w:lang w:val="en-US"/>
              </w:rPr>
            </w:pPr>
            <w:r w:rsidRPr="004142EA">
              <w:rPr>
                <w:rFonts w:cs="Arial"/>
                <w:sz w:val="16"/>
                <w:szCs w:val="20"/>
                <w:lang w:val="en-US"/>
              </w:rPr>
              <w:t>Observational cohort study of women newly diagnosed with breast cancer in tertiary cancer centers from 5 African countries. HIV infection</w:t>
            </w:r>
            <w:r w:rsidR="00CE31BA">
              <w:rPr>
                <w:rFonts w:cs="Arial"/>
                <w:sz w:val="16"/>
                <w:szCs w:val="20"/>
                <w:lang w:val="en-US"/>
              </w:rPr>
              <w:t xml:space="preserve"> status</w:t>
            </w:r>
            <w:r w:rsidRPr="004142EA">
              <w:rPr>
                <w:rFonts w:cs="Arial"/>
                <w:sz w:val="16"/>
                <w:szCs w:val="20"/>
                <w:lang w:val="en-US"/>
              </w:rPr>
              <w:t xml:space="preserve"> was based</w:t>
            </w:r>
            <w:r w:rsidR="00CE31BA">
              <w:rPr>
                <w:rFonts w:cs="Arial"/>
                <w:sz w:val="16"/>
                <w:szCs w:val="20"/>
                <w:lang w:val="en-US"/>
              </w:rPr>
              <w:t xml:space="preserve"> on testing in South Africa, but it was </w:t>
            </w:r>
            <w:r w:rsidRPr="004142EA">
              <w:rPr>
                <w:rFonts w:cs="Arial"/>
                <w:sz w:val="16"/>
                <w:szCs w:val="20"/>
                <w:lang w:val="en-US"/>
              </w:rPr>
              <w:t>self-report</w:t>
            </w:r>
            <w:r w:rsidR="00CE31BA">
              <w:rPr>
                <w:rFonts w:cs="Arial"/>
                <w:sz w:val="16"/>
                <w:szCs w:val="20"/>
                <w:lang w:val="en-US"/>
              </w:rPr>
              <w:t>ed in the other participating countries</w:t>
            </w:r>
            <w:r w:rsidRPr="004142EA">
              <w:rPr>
                <w:rFonts w:cs="Arial"/>
                <w:sz w:val="16"/>
                <w:szCs w:val="20"/>
                <w:lang w:val="en-US"/>
              </w:rPr>
              <w:t xml:space="preserve">.  </w:t>
            </w:r>
          </w:p>
          <w:p w14:paraId="0A1E08D0" w14:textId="39510841" w:rsidR="00D837F4" w:rsidRPr="004142EA" w:rsidRDefault="00B63E23" w:rsidP="00B63E23">
            <w:pPr>
              <w:rPr>
                <w:rFonts w:cs="Arial"/>
                <w:b/>
                <w:sz w:val="16"/>
                <w:szCs w:val="20"/>
                <w:lang w:val="en-US"/>
              </w:rPr>
            </w:pPr>
            <w:r w:rsidRPr="004142EA">
              <w:rPr>
                <w:rFonts w:cs="Arial"/>
                <w:b/>
                <w:sz w:val="16"/>
                <w:szCs w:val="20"/>
                <w:lang w:val="en-US"/>
              </w:rPr>
              <w:t>M</w:t>
            </w:r>
            <w:r w:rsidR="00D837F4" w:rsidRPr="004142EA">
              <w:rPr>
                <w:rFonts w:cs="Arial"/>
                <w:b/>
                <w:sz w:val="16"/>
                <w:szCs w:val="20"/>
                <w:lang w:val="en-US"/>
              </w:rPr>
              <w:t>edium risk</w:t>
            </w:r>
          </w:p>
        </w:tc>
        <w:tc>
          <w:tcPr>
            <w:tcW w:w="2003" w:type="dxa"/>
          </w:tcPr>
          <w:p w14:paraId="3D44BCEC" w14:textId="5F1EA7D9" w:rsidR="00D837F4" w:rsidRPr="004142EA" w:rsidRDefault="00D837F4" w:rsidP="00D66A20">
            <w:pPr>
              <w:rPr>
                <w:rFonts w:cs="Arial"/>
                <w:sz w:val="16"/>
                <w:szCs w:val="20"/>
                <w:lang w:val="en-US"/>
              </w:rPr>
            </w:pPr>
            <w:r w:rsidRPr="004142EA">
              <w:rPr>
                <w:rFonts w:cs="Arial"/>
                <w:sz w:val="16"/>
                <w:szCs w:val="20"/>
                <w:lang w:val="en-US"/>
              </w:rPr>
              <w:t>Authors collected staging information from medical records, and classified patients into 2 groups: lower stage (I – II) and advanced stage (III – IV) according to TNM</w:t>
            </w:r>
            <w:r w:rsidR="00230C5D">
              <w:rPr>
                <w:rFonts w:cs="Arial"/>
                <w:sz w:val="16"/>
                <w:szCs w:val="20"/>
                <w:lang w:val="en-US"/>
              </w:rPr>
              <w:t xml:space="preserve"> staging</w:t>
            </w:r>
            <w:r w:rsidRPr="004142EA">
              <w:rPr>
                <w:rFonts w:cs="Arial"/>
                <w:sz w:val="16"/>
                <w:szCs w:val="20"/>
                <w:lang w:val="en-US"/>
              </w:rPr>
              <w:t xml:space="preserve">. </w:t>
            </w:r>
          </w:p>
          <w:p w14:paraId="11108DC4" w14:textId="77777777" w:rsidR="00D837F4" w:rsidRPr="004142EA" w:rsidRDefault="00D837F4" w:rsidP="00D66A20">
            <w:pPr>
              <w:rPr>
                <w:rFonts w:cs="Arial"/>
                <w:b/>
                <w:sz w:val="16"/>
                <w:szCs w:val="20"/>
                <w:lang w:val="en-US"/>
              </w:rPr>
            </w:pPr>
            <w:r w:rsidRPr="004142EA">
              <w:rPr>
                <w:rFonts w:cs="Arial"/>
                <w:b/>
                <w:sz w:val="16"/>
                <w:szCs w:val="20"/>
                <w:lang w:val="en-US"/>
              </w:rPr>
              <w:t>Low risk</w:t>
            </w:r>
          </w:p>
        </w:tc>
        <w:tc>
          <w:tcPr>
            <w:tcW w:w="2004" w:type="dxa"/>
            <w:shd w:val="clear" w:color="auto" w:fill="auto"/>
          </w:tcPr>
          <w:p w14:paraId="431B5E7C" w14:textId="02FC1E62" w:rsidR="00D837F4" w:rsidRPr="004142EA" w:rsidRDefault="00D837F4" w:rsidP="00D66A20">
            <w:pPr>
              <w:rPr>
                <w:rFonts w:cs="Arial"/>
                <w:sz w:val="16"/>
                <w:szCs w:val="20"/>
                <w:lang w:val="en-US"/>
              </w:rPr>
            </w:pPr>
            <w:r w:rsidRPr="004142EA">
              <w:rPr>
                <w:rFonts w:cs="Arial"/>
                <w:sz w:val="16"/>
                <w:szCs w:val="20"/>
                <w:lang w:val="en-US"/>
              </w:rPr>
              <w:t>Authors collected ER and HER2 status information from medical records, and classified patients according to ASCO/CAP guidelines.</w:t>
            </w:r>
            <w:r w:rsidR="005400BB" w:rsidRPr="004142EA">
              <w:rPr>
                <w:rFonts w:cs="Arial"/>
                <w:sz w:val="16"/>
                <w:szCs w:val="20"/>
                <w:lang w:val="en-US"/>
              </w:rPr>
              <w:fldChar w:fldCharType="begin"/>
            </w:r>
            <w:r w:rsidR="0064139E">
              <w:rPr>
                <w:rFonts w:cs="Arial"/>
                <w:sz w:val="16"/>
                <w:szCs w:val="20"/>
                <w:lang w:val="en-US"/>
              </w:rPr>
              <w:instrText xml:space="preserve"> ADDIN ZOTERO_ITEM CSL_CITATION {"citationID":"3rbmp7oR","properties":{"formattedCitation":"[14\\uc0\\u8211{}16]","plainCitation":"[14–16]","noteIndex":0},"citationItems":[{"id":1208,"uris":["http://zotero.org/users/4481446/items/6CZFTKP3"],"uri":["http://zotero.org/users/4481446/items/6CZFTKP3"],"itemData":{"id":1208,"type":"article-journal","abstract":"PurposeTo update key recommendations of the American Society of Clinical Oncology/College of American Pathologists human epidermal growth factor receptor 2 (HER2) testing in breast cancer guideline.MethodsBased on the signals approach, an Expert Panel reviewed published literature and research survey results on the observed frequency of less common in situ hybridization (ISH) patterns to update the recommendations.RecommendationsTwo recommendations addressed via correspondence in 2015 are included. First, immunohistochemistry (IHC) 2+ is defined as invasive breast cancer with weak to moderate complete membrane staining observed in &gt; 10% of tumor cells. Second, if the initial HER2 test result in a core needle biopsy specimen of a primary breast cancer is negative, a new HER2 test may (not “must”) be ordered on the excision specimen based on specific clinical criteria. The HER2 testing algorithm for breast cancer is updated to address the recommended work-up for less common clinical scenarios (approximately 5% of cases) observed when using a dual-probe ISH assay. These scenarios are described as ISH group 2 (HER2/chromosome enumeration probe 17 [CEP17] ratio ≥ 2.0; average HER2 copy number &lt; 4.0 signals per cell), ISH group 3 (HER2/CEP17 ratio &lt; 2.0; average HER2 copy number ≥ 6.0 signals per cell), and ISH group 4 (HER2/CEP17 ratio &lt; 2.0; average HER2 copy number ≥ 4.0 and &lt; 6.0 signals per cell). The diagnostic approach includes more rigorous interpretation criteria for ISH and requires concomitant IHC review for dual-probe ISH groups 2 to 4 to arrive at the most accurate HER2 status designation (positive or negative) based on combined interpretation of the ISH and IHC assays. The Expert Panel recommends that laboratories using single-probe ISH assays include concomitant IHC review as part of the interpretation of all single-probe ISH assay results.Find additional information at www.asco.org/breast-cancer-guidelines.","container-title":"Journal of Clinical Oncology","DOI":"10.1200/JCO.2018.77.8738","ISSN":"0732-183X","issue":"20","journalAbbreviation":"JCO","page":"2105-2122","source":"ascopubs.org (Atypon)","title":"Human Epidermal Growth Factor Receptor 2 Testing in Breast Cancer: American Society of Clinical Oncology/College of American Pathologists Clinical Practice Guideline Focused Update","title-short":"Human Epidermal Growth Factor Receptor 2 Testing in Breast Cancer","volume":"36","author":[{"family":"Wolff","given":"Antonio C."},{"family":"Hammond","given":"M. Elizabeth Hale"},{"family":"Allison","given":"Kimberly H."},{"family":"Harvey","given":"Brittany E."},{"family":"Mangu","given":"Pamela B."},{"family":"Bartlett","given":"John M.S."},{"family":"Bilous","given":"Michael"},{"family":"Ellis","given":"Ian O."},{"family":"Fitzgibbons","given":"Patrick"},{"family":"Hanna","given":"Wedad"},{"family":"Jenkins","given":"Robert B."},{"family":"Press","given":"Michael F."},{"family":"Spears","given":"Patricia A."},{"family":"Vance","given":"Gail H."},{"family":"Viale","given":"Giuseppe"},{"family":"McShane","given":"Lisa M."},{"family":"Dowsett","given":"Mitchell"}],"issued":{"date-parts":[["2018",5,30]]}}},{"id":3635,"uris":["http://zotero.org/users/4481446/items/KIYUDXDD"],"uri":["http://zotero.org/users/4481446/items/KIYUDXDD"],"itemData":{"id":3635,"type":"article-journal","abstract":"Purpose To develop a guideline to improve the accuracy of immunohistochemical (IHC) estrogen receptor (ER) and progesterone receptor (PgR) testing in breast cancer and the utility of these receptors as predictive markers.   Methods The American Society of Clinical Oncology and the College of American Pathologists convened an international Expert Panel that conducted a systematic review and evaluation of the literature in partnership with Cancer Care Ontario and developed recommendations for optimal IHC ER/PgR testing performance.   Results Up to 20% of current IHC determinations of ER and PgR testing worldwide may be inaccurate (false negative or false positive). Most of the issues with testing have occurred because of variation in preanalytic variables, thresholds for positivity, and interpretation criteria.   Recommendations The Panel recommends that ER and PgR status be determined on all invasive breast cancers and breast cancer recurrences. A testing algorithm that relies on accurate, reproducible assay performance is proposed. Elements to reliably reduce assay variation are specified. It is recommended that ER and PgR assays be considered positive if there are at least 1% positive tumor nuclei in the sample on testing in the presence of expected reactivity of internal (normal epithelial elements) and external controls. The absence of benefit from endocrine therapy for women with ER-negative invasive breast cancers has been confirmed in large overviews of randomized clinical trials.","container-title":"Journal of Clinical Oncology","DOI":"10.1200/JCO.2009.25.6529","ISSN":"0732-183X","issue":"16","journalAbbreviation":"J Clin Oncol","page":"2784-2795","source":"ascopubs.org (Atypon)","title":"American Society of Clinical Oncology/College of American Pathologists Guideline Recommendations for Immunohistochemical Testing of Estrogen and Progesterone Receptors in Breast Cancer","volume":"28","author":[{"family":"Hammond","given":"M. Elizabeth H."},{"family":"Hayes","given":"Daniel F."},{"family":"Dowsett","given":"Mitch"},{"family":"Allred","given":"D. Craig"},{"family":"Hagerty","given":"Karen L."},{"family":"Badve","given":"Sunil"},{"family":"Fitzgibbons","given":"Patrick L."},{"family":"Francis","given":"Glenn"},{"family":"Goldstein","given":"Neil S."},{"family":"Hayes","given":"Malcolm"},{"family":"Hicks","given":"David G."},{"family":"Lester","given":"Susan"},{"family":"Love","given":"Richard"},{"family":"Mangu","given":"Pamela B."},{"family":"McShane","given":"Lisa"},{"family":"Miller","given":"Keith"},{"family":"Osborne","given":"C. Kent"},{"family":"Paik","given":"Soonmyung"},{"family":"Perlmutter","given":"Jane"},{"family":"Rhodes","given":"Anthony"},{"family":"Sasano","given":"Hironobu"},{"family":"Schwartz","given":"Jared N."},{"family":"Sweep","given":"Fred C.G."},{"family":"Taube","given":"Sheila"},{"family":"Torlakovic","given":"Emina Emilia"},{"family":"Valenstein","given":"Paul"},{"family":"Viale","given":"Giuseppe"},{"family":"Visscher","given":"Daniel"},{"family":"Wheeler","given":"Thomas"},{"family":"Williams","given":"R. Bruce"},{"family":"Wittliff","given":"James L."},{"family":"Wolff","given":"Antonio C."}],"issued":{"date-parts":[["2010",4,19]]}}},{"id":1685,"uris":["http://zotero.org/users/4481446/items/ZAL3QLAP"],"uri":["http://zotero.org/users/4481446/items/ZAL3QLAP"],"itemData":{"id":1685,"type":"article-journal","abstract":"Abstract.  Uncontrolled proliferation is a hallmark of cancer. In breast cancer, immunohistochemical assessment of the proportion of cells staining for the nucl","container-title":"JNCI: Journal of the National Cancer Institute","DOI":"10.1093/jnci/djr393","ISSN":"0027-8874","issue":"22","journalAbbreviation":"J Natl Cancer Inst","language":"en","page":"1656-1664","source":"academic.oup.com","title":"Assessment of Ki67 in Breast Cancer: Recommendations from the International Ki67 in Breast Cancer Working Group","title-short":"Assessment of Ki67 in Breast Cancer","volume":"103","author":[{"family":"Dowsett","given":"Mitch"},{"family":"Nielsen","given":"Torsten O."},{"family":"A’Hern","given":"Roger"},{"family":"Bartlett","given":"John"},{"family":"Coombes","given":"R. Charles"},{"family":"Cuzick","given":"Jack"},{"family":"Ellis","given":"Matthew"},{"family":"Henry","given":"N. Lynn"},{"family":"Hugh","given":"Judith C."},{"family":"Lively","given":"Tracy"},{"family":"McShane","given":"Lisa"},{"family":"Paik","given":"Soon"},{"family":"Penault-Llorca","given":"Frederique"},{"family":"Prudkin","given":"Ljudmila"},{"family":"Regan","given":"Meredith"},{"family":"Salter","given":"Janine"},{"family":"Sotiriou","given":"Christos"},{"family":"Smith","given":"Ian E."},{"family":"Viale","given":"Giuseppe"},{"family":"Zujewski","given":"Jo Anne"},{"family":"Hayes","given":"Daniel F."}],"issued":{"date-parts":[["2011",11,16]]}}}],"schema":"https://github.com/citation-style-language/schema/raw/master/csl-citation.json"} </w:instrText>
            </w:r>
            <w:r w:rsidR="005400BB" w:rsidRPr="004142EA">
              <w:rPr>
                <w:rFonts w:cs="Arial"/>
                <w:sz w:val="16"/>
                <w:szCs w:val="20"/>
                <w:lang w:val="en-US"/>
              </w:rPr>
              <w:fldChar w:fldCharType="separate"/>
            </w:r>
            <w:r w:rsidR="0064139E" w:rsidRPr="0064139E">
              <w:rPr>
                <w:rFonts w:ascii="Calibri" w:hAnsi="Calibri" w:cs="Times New Roman"/>
                <w:sz w:val="16"/>
                <w:szCs w:val="24"/>
              </w:rPr>
              <w:t>[14–16]</w:t>
            </w:r>
            <w:r w:rsidR="005400BB" w:rsidRPr="004142EA">
              <w:rPr>
                <w:rFonts w:cs="Arial"/>
                <w:sz w:val="16"/>
                <w:szCs w:val="20"/>
                <w:lang w:val="en-US"/>
              </w:rPr>
              <w:fldChar w:fldCharType="end"/>
            </w:r>
            <w:r w:rsidRPr="004142EA">
              <w:rPr>
                <w:rFonts w:cs="Arial"/>
                <w:sz w:val="16"/>
                <w:szCs w:val="20"/>
                <w:lang w:val="en-US"/>
              </w:rPr>
              <w:t xml:space="preserve"> </w:t>
            </w:r>
          </w:p>
          <w:p w14:paraId="0C04A36D" w14:textId="77777777" w:rsidR="00D837F4" w:rsidRPr="004142EA" w:rsidRDefault="00D837F4" w:rsidP="00D66A20">
            <w:pPr>
              <w:rPr>
                <w:rFonts w:cs="Arial"/>
                <w:b/>
                <w:sz w:val="16"/>
                <w:szCs w:val="20"/>
                <w:lang w:val="en-US"/>
              </w:rPr>
            </w:pPr>
            <w:r w:rsidRPr="004142EA">
              <w:rPr>
                <w:rFonts w:cs="Arial"/>
                <w:b/>
                <w:sz w:val="16"/>
                <w:szCs w:val="20"/>
                <w:lang w:val="en-US"/>
              </w:rPr>
              <w:t>Low risk</w:t>
            </w:r>
          </w:p>
        </w:tc>
        <w:tc>
          <w:tcPr>
            <w:tcW w:w="2004" w:type="dxa"/>
            <w:shd w:val="clear" w:color="auto" w:fill="D9D9D9" w:themeFill="background1" w:themeFillShade="D9"/>
          </w:tcPr>
          <w:p w14:paraId="28FE410D" w14:textId="77777777" w:rsidR="00D837F4" w:rsidRPr="004142EA" w:rsidRDefault="00D837F4" w:rsidP="00D66A20">
            <w:pPr>
              <w:rPr>
                <w:rFonts w:cs="Arial"/>
                <w:sz w:val="16"/>
                <w:szCs w:val="20"/>
              </w:rPr>
            </w:pPr>
            <w:r w:rsidRPr="004142EA">
              <w:rPr>
                <w:rFonts w:cs="Arial"/>
                <w:sz w:val="16"/>
                <w:szCs w:val="20"/>
                <w:lang w:val="en-US"/>
              </w:rPr>
              <w:t>NA</w:t>
            </w:r>
          </w:p>
        </w:tc>
        <w:tc>
          <w:tcPr>
            <w:tcW w:w="2097" w:type="dxa"/>
            <w:shd w:val="clear" w:color="auto" w:fill="D9D9D9" w:themeFill="background1" w:themeFillShade="D9"/>
          </w:tcPr>
          <w:p w14:paraId="3D1248E5" w14:textId="77777777" w:rsidR="00D837F4" w:rsidRPr="004142EA" w:rsidRDefault="00D837F4" w:rsidP="00D66A20">
            <w:pPr>
              <w:rPr>
                <w:rFonts w:cs="Arial"/>
                <w:sz w:val="16"/>
                <w:szCs w:val="20"/>
              </w:rPr>
            </w:pPr>
            <w:r w:rsidRPr="004142EA">
              <w:rPr>
                <w:rFonts w:cs="Arial"/>
                <w:sz w:val="16"/>
                <w:szCs w:val="20"/>
                <w:lang w:val="en-US"/>
              </w:rPr>
              <w:t>NA</w:t>
            </w:r>
          </w:p>
        </w:tc>
      </w:tr>
      <w:tr w:rsidR="00D837F4" w:rsidRPr="004142EA" w14:paraId="6051064B" w14:textId="77777777" w:rsidTr="00664E5A">
        <w:trPr>
          <w:cantSplit/>
        </w:trPr>
        <w:tc>
          <w:tcPr>
            <w:tcW w:w="1419" w:type="dxa"/>
          </w:tcPr>
          <w:p w14:paraId="23BC669C" w14:textId="70F3CB5E" w:rsidR="00D837F4" w:rsidRPr="004142EA" w:rsidRDefault="00D837F4" w:rsidP="005400BB">
            <w:pPr>
              <w:rPr>
                <w:rFonts w:cs="Arial"/>
                <w:sz w:val="16"/>
                <w:szCs w:val="20"/>
                <w:lang w:val="en-US"/>
              </w:rPr>
            </w:pPr>
            <w:r w:rsidRPr="004142EA">
              <w:rPr>
                <w:rFonts w:cs="Arial"/>
                <w:sz w:val="16"/>
                <w:szCs w:val="20"/>
                <w:lang w:val="en-US"/>
              </w:rPr>
              <w:t>Van Zyl et al (2018)</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TMrSlVsW","properties":{"formattedCitation":"[17]","plainCitation":"[17]","noteIndex":0},"citationItems":[{"id":2937,"uris":["http://zotero.org/users/4481446/items/JTWWHCUB"],"uri":["http://zotero.org/users/4481446/items/JTWWHCUB"],"itemData":{"id":2937,"type":"article-journal","abstract":"BACKGROUND: Since the advent of highly active anti-retroviral therapy, improved immune functioning and prolonged survival of Human immunodeficiency virus (HIV)-positive patients has been accompanied by an increased incidence of non-AIDS-defining cancers (NADC). Breast cancer is the most prevalent NADC among HIV-positive women. However, data regarding the interaction between these two diagnoses remain limited. OBJECTIVES: To determine the effect of HIV status on the presentation of breast cancer patients at Dr. George Mukhari Academic Hospital (DGMAH). METHODS: The age, gender, HIV status, CD4 count and tumour node metastases stage at presentation were recorded from the files of patients with histologically proven breast carcinoma, who had presented to the breast clinic at DGMAH from 01 January 2013 to 30 November 2017. Histological subtypes and molecular markers were retrieved from the National Health Laboratory Service. Prevalence of HIV among breast cancer patients was calculated. Cross-tabulations compared the variables between HIV-positive and HIV-negative groups. Statistical significance was assessed using Fisher's Exact Test RESULTS: HIV status was determined in 129 breast cancer patients. Eighty (62.02%) were HIV-negative and 49 (37.98%) were HIV-positive. All patients were female. The mean age at presentation with breast cancer in the HIV-positive group was approximately 10 years younger, compared to the entire population and to the HIV-negative group (p &lt; 0.0001). No further statistically significant associations were observed concerning HIV status and other variables. CONCLUSION: HIV-positive women present with breast cancer at a significantly younger mean age. Breast cancer screening protocols may need to be adjusted accordingly in such patients.","archive":"SciELO South Africa","container-title":"SA Journal of Radiology","DOI":"10.4102/sajr.v22i2.1361","ISSN":"2078-6778","issue":"2","journalAbbreviation":"SA Journal of Radiology","language":"en","page":"1-7","source":"http://www.scielo.org/","title":"Human immunodeficiency virus infection in breast cancer patients: The prevalence thereof and its effect on breast cancer characteristics at Dr. George Mukhari Academic Hospital Breast Clinic, Ga-Rankuwa, South Africa","volume":"22","author":[{"family":"Zyl","given":"Nikoli","non-dropping-particle":"van"},{"family":"Minné","given":"Cornelia"},{"family":"Mokone","given":"Dikeledi H."}],"issued":{"date-parts":[["2018"]]}}}],"schema":"https://github.com/citation-style-language/schema/raw/master/csl-citation.json"}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[17]</w:t>
            </w:r>
            <w:r w:rsidRPr="004142EA">
              <w:rPr>
                <w:rFonts w:cs="Arial"/>
                <w:sz w:val="16"/>
                <w:szCs w:val="20"/>
                <w:lang w:val="en-US"/>
              </w:rPr>
              <w:fldChar w:fldCharType="end"/>
            </w:r>
          </w:p>
        </w:tc>
        <w:tc>
          <w:tcPr>
            <w:tcW w:w="1417" w:type="dxa"/>
          </w:tcPr>
          <w:p w14:paraId="0DB93303" w14:textId="77777777" w:rsidR="00D837F4" w:rsidRPr="004142EA" w:rsidRDefault="00D837F4" w:rsidP="00D66A20">
            <w:pPr>
              <w:rPr>
                <w:rFonts w:cs="Arial"/>
                <w:sz w:val="16"/>
                <w:szCs w:val="20"/>
              </w:rPr>
            </w:pPr>
            <w:r w:rsidRPr="004142EA">
              <w:rPr>
                <w:rFonts w:cs="Arial"/>
                <w:sz w:val="16"/>
                <w:szCs w:val="20"/>
              </w:rPr>
              <w:t>Case series (single-center)</w:t>
            </w:r>
          </w:p>
        </w:tc>
        <w:tc>
          <w:tcPr>
            <w:tcW w:w="851" w:type="dxa"/>
          </w:tcPr>
          <w:p w14:paraId="14E6ABE2" w14:textId="77777777" w:rsidR="00D837F4" w:rsidRPr="004142EA" w:rsidRDefault="00D837F4" w:rsidP="00D66A20">
            <w:pPr>
              <w:jc w:val="center"/>
              <w:rPr>
                <w:rFonts w:cs="Arial"/>
                <w:sz w:val="16"/>
                <w:szCs w:val="20"/>
              </w:rPr>
            </w:pPr>
            <w:r w:rsidRPr="004142EA">
              <w:rPr>
                <w:rFonts w:cs="Arial"/>
                <w:sz w:val="16"/>
                <w:szCs w:val="20"/>
              </w:rPr>
              <w:t>No</w:t>
            </w:r>
          </w:p>
        </w:tc>
        <w:tc>
          <w:tcPr>
            <w:tcW w:w="850" w:type="dxa"/>
          </w:tcPr>
          <w:p w14:paraId="705CB841"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3015922F" w14:textId="75118A10" w:rsidR="00D837F4" w:rsidRPr="004142EA" w:rsidRDefault="00D837F4" w:rsidP="00D66A20">
            <w:pPr>
              <w:rPr>
                <w:rFonts w:cs="Arial"/>
                <w:sz w:val="16"/>
                <w:szCs w:val="20"/>
                <w:lang w:val="en-US"/>
              </w:rPr>
            </w:pPr>
            <w:r w:rsidRPr="004142EA">
              <w:rPr>
                <w:rFonts w:cs="Arial"/>
                <w:sz w:val="16"/>
                <w:szCs w:val="20"/>
                <w:lang w:val="en-US"/>
              </w:rPr>
              <w:t xml:space="preserve">Single-center study, selection based on medical records. Only patients with known HIV status were included in this analysis (representing 49% of patients initially assessed). </w:t>
            </w:r>
          </w:p>
          <w:p w14:paraId="4695DAFB" w14:textId="77777777" w:rsidR="00D837F4" w:rsidRPr="004142EA" w:rsidRDefault="00D837F4" w:rsidP="00D66A20">
            <w:pPr>
              <w:rPr>
                <w:rFonts w:cs="Arial"/>
                <w:b/>
                <w:sz w:val="16"/>
                <w:szCs w:val="20"/>
                <w:lang w:val="en-US"/>
              </w:rPr>
            </w:pPr>
            <w:r w:rsidRPr="004142EA">
              <w:rPr>
                <w:rFonts w:cs="Arial"/>
                <w:b/>
                <w:sz w:val="16"/>
                <w:szCs w:val="20"/>
                <w:lang w:val="en-US"/>
              </w:rPr>
              <w:t xml:space="preserve">Medium risk </w:t>
            </w:r>
          </w:p>
        </w:tc>
        <w:tc>
          <w:tcPr>
            <w:tcW w:w="2003" w:type="dxa"/>
          </w:tcPr>
          <w:p w14:paraId="7DFEBB14" w14:textId="77777777" w:rsidR="00D837F4" w:rsidRPr="004142EA" w:rsidRDefault="00D837F4" w:rsidP="00D66A20">
            <w:pPr>
              <w:rPr>
                <w:rFonts w:cs="Arial"/>
                <w:sz w:val="16"/>
                <w:szCs w:val="20"/>
                <w:lang w:val="en-US"/>
              </w:rPr>
            </w:pPr>
            <w:r w:rsidRPr="004142EA">
              <w:rPr>
                <w:rFonts w:cs="Arial"/>
                <w:sz w:val="16"/>
                <w:szCs w:val="20"/>
                <w:lang w:val="en-US"/>
              </w:rPr>
              <w:t xml:space="preserve">Authors collected staging information from medical records, and classified patients according to TNM staging. </w:t>
            </w:r>
          </w:p>
          <w:p w14:paraId="305BDDAF"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4" w:type="dxa"/>
          </w:tcPr>
          <w:p w14:paraId="4F54604F" w14:textId="1561ED67" w:rsidR="00D837F4" w:rsidRPr="004142EA" w:rsidRDefault="00D837F4" w:rsidP="00D66A20">
            <w:pPr>
              <w:rPr>
                <w:rFonts w:cs="Arial"/>
                <w:sz w:val="16"/>
                <w:szCs w:val="20"/>
                <w:lang w:val="en-US"/>
              </w:rPr>
            </w:pPr>
            <w:r w:rsidRPr="004142EA">
              <w:rPr>
                <w:rFonts w:cs="Arial"/>
                <w:sz w:val="16"/>
                <w:szCs w:val="20"/>
                <w:lang w:val="en-US"/>
              </w:rPr>
              <w:t>ER and HER2 status information were retrieved from a national laboratory database</w:t>
            </w:r>
            <w:r w:rsidR="00167F27">
              <w:rPr>
                <w:rFonts w:cs="Arial"/>
                <w:sz w:val="16"/>
                <w:szCs w:val="20"/>
                <w:lang w:val="en-US"/>
              </w:rPr>
              <w:t>;</w:t>
            </w:r>
            <w:r w:rsidR="00167F27" w:rsidRPr="004142EA">
              <w:rPr>
                <w:rFonts w:cs="Arial"/>
                <w:sz w:val="16"/>
                <w:szCs w:val="20"/>
                <w:lang w:val="en-US"/>
              </w:rPr>
              <w:t xml:space="preserve"> they fail to report how this was classified for the study.</w:t>
            </w:r>
            <w:r w:rsidRPr="004142EA">
              <w:rPr>
                <w:rFonts w:cs="Arial"/>
                <w:sz w:val="16"/>
                <w:szCs w:val="20"/>
                <w:lang w:val="en-US"/>
              </w:rPr>
              <w:t xml:space="preserve"> </w:t>
            </w:r>
          </w:p>
          <w:p w14:paraId="72FF9974" w14:textId="77777777" w:rsidR="00D837F4" w:rsidRPr="004142EA" w:rsidRDefault="00D837F4" w:rsidP="00D66A20">
            <w:pPr>
              <w:rPr>
                <w:rFonts w:cs="Arial"/>
                <w:b/>
                <w:sz w:val="16"/>
                <w:szCs w:val="20"/>
                <w:lang w:val="en-US"/>
              </w:rPr>
            </w:pPr>
            <w:r w:rsidRPr="004142EA">
              <w:rPr>
                <w:rFonts w:cs="Arial"/>
                <w:b/>
                <w:sz w:val="16"/>
                <w:szCs w:val="20"/>
                <w:lang w:val="en-US"/>
              </w:rPr>
              <w:t xml:space="preserve">Medium risk </w:t>
            </w:r>
          </w:p>
        </w:tc>
        <w:tc>
          <w:tcPr>
            <w:tcW w:w="2004" w:type="dxa"/>
            <w:shd w:val="clear" w:color="auto" w:fill="D9D9D9" w:themeFill="background1" w:themeFillShade="D9"/>
          </w:tcPr>
          <w:p w14:paraId="52AEE06A" w14:textId="77777777" w:rsidR="00D837F4" w:rsidRPr="004142EA" w:rsidRDefault="00D837F4" w:rsidP="00D66A20">
            <w:pPr>
              <w:rPr>
                <w:rFonts w:cs="Arial"/>
                <w:sz w:val="16"/>
                <w:szCs w:val="20"/>
                <w:lang w:val="en-US"/>
              </w:rPr>
            </w:pPr>
            <w:r w:rsidRPr="004142EA">
              <w:rPr>
                <w:rFonts w:cs="Arial"/>
                <w:sz w:val="16"/>
                <w:szCs w:val="20"/>
                <w:lang w:val="en-US"/>
              </w:rPr>
              <w:t>NA</w:t>
            </w:r>
          </w:p>
        </w:tc>
        <w:tc>
          <w:tcPr>
            <w:tcW w:w="2097" w:type="dxa"/>
            <w:shd w:val="clear" w:color="auto" w:fill="D9D9D9" w:themeFill="background1" w:themeFillShade="D9"/>
          </w:tcPr>
          <w:p w14:paraId="19E4244B" w14:textId="77777777" w:rsidR="00D837F4" w:rsidRPr="004142EA" w:rsidRDefault="00D837F4" w:rsidP="00D66A20">
            <w:pPr>
              <w:rPr>
                <w:rFonts w:cs="Arial"/>
                <w:sz w:val="16"/>
                <w:szCs w:val="20"/>
                <w:highlight w:val="green"/>
                <w:lang w:val="en-US"/>
              </w:rPr>
            </w:pPr>
            <w:r w:rsidRPr="004142EA">
              <w:rPr>
                <w:rFonts w:cs="Arial"/>
                <w:sz w:val="16"/>
                <w:szCs w:val="20"/>
                <w:lang w:val="en-US"/>
              </w:rPr>
              <w:t>NA</w:t>
            </w:r>
          </w:p>
        </w:tc>
      </w:tr>
      <w:tr w:rsidR="00D837F4" w:rsidRPr="004142EA" w14:paraId="03302C7D" w14:textId="77777777" w:rsidTr="00664E5A">
        <w:trPr>
          <w:cantSplit/>
        </w:trPr>
        <w:tc>
          <w:tcPr>
            <w:tcW w:w="1419" w:type="dxa"/>
          </w:tcPr>
          <w:p w14:paraId="1F6B5C2A" w14:textId="53CDC4CA" w:rsidR="00D837F4" w:rsidRPr="004142EA" w:rsidRDefault="00D837F4" w:rsidP="005400BB">
            <w:pPr>
              <w:rPr>
                <w:rFonts w:cs="Arial"/>
                <w:sz w:val="16"/>
                <w:szCs w:val="20"/>
                <w:lang w:val="en-US"/>
              </w:rPr>
            </w:pPr>
            <w:r w:rsidRPr="004142EA">
              <w:rPr>
                <w:rFonts w:cs="Arial"/>
                <w:sz w:val="16"/>
                <w:szCs w:val="20"/>
                <w:lang w:val="en-US"/>
              </w:rPr>
              <w:t>Sadigh et al (2019)</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MROD6iVa","properties":{"formattedCitation":"[18]","plainCitation":"[18]","noteIndex":0},"citationItems":[{"id":2150,"uris":["http://zotero.org/users/4481446/items/NNFI87XQ"],"uri":["http://zotero.org/users/4481446/items/NNFI87XQ"],"itemData":{"id":2150,"type":"webpage","title":"HIV IS ASSOCIATED WITH DECREASED BREAST CANCER SURVIVAL: A PROSPECTIVE COHORT STUDY | CROI Conference","URL":"http://www.croiconference.org/sessions/hiv-associated-decreased-breast-cancer-survival-prospective-cohort-study","author":[{"family":"Sadigh","given":"KS"},{"family":"Hodgeman","given":"RM"},{"family":"Tapela","given":"N"}],"accessed":{"date-parts":[["2019",4,17]]},"issued":{"date-parts":[["2019",3,4]]}}}],"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[18]</w:t>
            </w:r>
            <w:r w:rsidRPr="004142EA">
              <w:rPr>
                <w:rFonts w:cs="Arial"/>
                <w:sz w:val="16"/>
                <w:szCs w:val="20"/>
                <w:lang w:val="en-US"/>
              </w:rPr>
              <w:fldChar w:fldCharType="end"/>
            </w:r>
          </w:p>
        </w:tc>
        <w:tc>
          <w:tcPr>
            <w:tcW w:w="1417" w:type="dxa"/>
          </w:tcPr>
          <w:p w14:paraId="74BB86D4" w14:textId="77777777" w:rsidR="00D837F4" w:rsidRPr="004142EA" w:rsidRDefault="00D837F4" w:rsidP="00D66A20">
            <w:pPr>
              <w:rPr>
                <w:rFonts w:cs="Arial"/>
                <w:sz w:val="16"/>
                <w:szCs w:val="20"/>
              </w:rPr>
            </w:pPr>
            <w:r w:rsidRPr="004142EA">
              <w:rPr>
                <w:rFonts w:cs="Arial"/>
                <w:sz w:val="16"/>
                <w:szCs w:val="20"/>
              </w:rPr>
              <w:t>Cohort (multi-centric; Thabatse Cancer Cohort)</w:t>
            </w:r>
          </w:p>
        </w:tc>
        <w:tc>
          <w:tcPr>
            <w:tcW w:w="851" w:type="dxa"/>
          </w:tcPr>
          <w:p w14:paraId="59306F78" w14:textId="77777777" w:rsidR="00D837F4" w:rsidRPr="004142EA" w:rsidRDefault="00D837F4" w:rsidP="00D66A20">
            <w:pPr>
              <w:jc w:val="center"/>
              <w:rPr>
                <w:rFonts w:cs="Arial"/>
                <w:sz w:val="16"/>
                <w:szCs w:val="20"/>
              </w:rPr>
            </w:pPr>
            <w:r w:rsidRPr="004142EA">
              <w:rPr>
                <w:rFonts w:cs="Arial"/>
                <w:sz w:val="16"/>
                <w:szCs w:val="20"/>
              </w:rPr>
              <w:t>Yes</w:t>
            </w:r>
          </w:p>
        </w:tc>
        <w:tc>
          <w:tcPr>
            <w:tcW w:w="850" w:type="dxa"/>
          </w:tcPr>
          <w:p w14:paraId="3231438F"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26F98D2F" w14:textId="6F0421DD" w:rsidR="00D837F4" w:rsidRPr="004142EA" w:rsidRDefault="00D837F4" w:rsidP="00D66A20">
            <w:pPr>
              <w:rPr>
                <w:rFonts w:cs="Arial"/>
                <w:sz w:val="16"/>
                <w:szCs w:val="20"/>
                <w:lang w:val="en-US"/>
              </w:rPr>
            </w:pPr>
            <w:r w:rsidRPr="004142EA">
              <w:rPr>
                <w:rFonts w:cs="Arial"/>
                <w:sz w:val="16"/>
                <w:szCs w:val="20"/>
                <w:lang w:val="en-US"/>
              </w:rPr>
              <w:t xml:space="preserve">4 sites from Botswana. Only patients with known HIV status were included in this analysis (representing 96% of patients initially assessed). </w:t>
            </w:r>
          </w:p>
          <w:p w14:paraId="4EA9FB72" w14:textId="77777777" w:rsidR="00D837F4" w:rsidRPr="004142EA" w:rsidRDefault="00D837F4" w:rsidP="00D66A20">
            <w:pPr>
              <w:rPr>
                <w:rFonts w:cs="Arial"/>
                <w:b/>
                <w:sz w:val="16"/>
                <w:szCs w:val="20"/>
                <w:lang w:val="en-US"/>
              </w:rPr>
            </w:pPr>
            <w:r w:rsidRPr="004142EA">
              <w:rPr>
                <w:rFonts w:cs="Arial"/>
                <w:b/>
                <w:sz w:val="16"/>
                <w:szCs w:val="20"/>
                <w:lang w:val="en-US"/>
              </w:rPr>
              <w:t xml:space="preserve">Low risk </w:t>
            </w:r>
          </w:p>
        </w:tc>
        <w:tc>
          <w:tcPr>
            <w:tcW w:w="2003" w:type="dxa"/>
          </w:tcPr>
          <w:p w14:paraId="6A20272B" w14:textId="77777777" w:rsidR="00D837F4" w:rsidRPr="004142EA" w:rsidRDefault="00D837F4" w:rsidP="00D66A20">
            <w:pPr>
              <w:rPr>
                <w:rFonts w:cs="Arial"/>
                <w:sz w:val="16"/>
                <w:szCs w:val="20"/>
                <w:lang w:val="en-US"/>
              </w:rPr>
            </w:pPr>
            <w:r w:rsidRPr="004142EA">
              <w:rPr>
                <w:rFonts w:cs="Arial"/>
                <w:sz w:val="16"/>
                <w:szCs w:val="20"/>
                <w:lang w:val="en-US"/>
              </w:rPr>
              <w:t xml:space="preserve">Authors reported data using the TNM definition. </w:t>
            </w:r>
          </w:p>
          <w:p w14:paraId="6E8B85E5" w14:textId="77777777" w:rsidR="00D837F4" w:rsidRPr="004142EA" w:rsidRDefault="00D837F4" w:rsidP="00D66A20">
            <w:pPr>
              <w:rPr>
                <w:rFonts w:cs="Arial"/>
                <w:b/>
                <w:sz w:val="16"/>
                <w:szCs w:val="20"/>
                <w:lang w:val="en-US"/>
              </w:rPr>
            </w:pPr>
            <w:r w:rsidRPr="004142EA">
              <w:rPr>
                <w:rFonts w:cs="Arial"/>
                <w:b/>
                <w:sz w:val="16"/>
                <w:szCs w:val="20"/>
                <w:lang w:val="en-US"/>
              </w:rPr>
              <w:t xml:space="preserve">Low risk </w:t>
            </w:r>
          </w:p>
        </w:tc>
        <w:tc>
          <w:tcPr>
            <w:tcW w:w="2004" w:type="dxa"/>
          </w:tcPr>
          <w:p w14:paraId="799C83E5" w14:textId="440F49DF" w:rsidR="00D837F4" w:rsidRPr="004142EA" w:rsidRDefault="00D837F4" w:rsidP="00D66A20">
            <w:pPr>
              <w:rPr>
                <w:rFonts w:cs="Arial"/>
                <w:sz w:val="16"/>
                <w:szCs w:val="20"/>
                <w:lang w:val="en-US"/>
              </w:rPr>
            </w:pPr>
            <w:r w:rsidRPr="00913BAB">
              <w:rPr>
                <w:rFonts w:cs="Arial"/>
                <w:sz w:val="16"/>
                <w:szCs w:val="20"/>
                <w:lang w:val="en-US"/>
              </w:rPr>
              <w:t>Authors report ER status, but no PR status. HER2 status was assessed</w:t>
            </w:r>
            <w:r w:rsidRPr="004142EA">
              <w:rPr>
                <w:rFonts w:cs="Arial"/>
                <w:sz w:val="16"/>
                <w:szCs w:val="20"/>
                <w:lang w:val="en-US"/>
              </w:rPr>
              <w:t xml:space="preserve"> only by </w:t>
            </w:r>
            <w:r w:rsidR="0037516C">
              <w:rPr>
                <w:rFonts w:cs="Arial"/>
                <w:sz w:val="16"/>
                <w:szCs w:val="20"/>
                <w:lang w:val="en-US"/>
              </w:rPr>
              <w:t>immunohistochemistry</w:t>
            </w:r>
            <w:r w:rsidRPr="004142EA">
              <w:rPr>
                <w:rFonts w:cs="Arial"/>
                <w:sz w:val="16"/>
                <w:szCs w:val="20"/>
                <w:lang w:val="en-US"/>
              </w:rPr>
              <w:t>.</w:t>
            </w:r>
          </w:p>
          <w:p w14:paraId="047CE301" w14:textId="77777777" w:rsidR="00D837F4" w:rsidRPr="004142EA" w:rsidRDefault="00D837F4" w:rsidP="00D66A20">
            <w:pPr>
              <w:rPr>
                <w:rFonts w:cs="Arial"/>
                <w:b/>
                <w:sz w:val="16"/>
                <w:szCs w:val="20"/>
                <w:lang w:val="en-US"/>
              </w:rPr>
            </w:pPr>
            <w:r w:rsidRPr="004142EA">
              <w:rPr>
                <w:rFonts w:cs="Arial"/>
                <w:b/>
                <w:sz w:val="16"/>
                <w:szCs w:val="20"/>
                <w:lang w:val="en-US"/>
              </w:rPr>
              <w:t xml:space="preserve">Medium-high risk  </w:t>
            </w:r>
          </w:p>
        </w:tc>
        <w:tc>
          <w:tcPr>
            <w:tcW w:w="2004" w:type="dxa"/>
          </w:tcPr>
          <w:p w14:paraId="461D45C0" w14:textId="103F915B" w:rsidR="00D837F4" w:rsidRPr="004142EA" w:rsidRDefault="00D837F4" w:rsidP="00D66A20">
            <w:pPr>
              <w:rPr>
                <w:rFonts w:cs="Arial"/>
                <w:sz w:val="16"/>
                <w:szCs w:val="20"/>
                <w:lang w:val="en-US"/>
              </w:rPr>
            </w:pPr>
            <w:r w:rsidRPr="004142EA">
              <w:rPr>
                <w:rFonts w:cs="Arial"/>
                <w:sz w:val="16"/>
                <w:szCs w:val="20"/>
                <w:lang w:val="en-US"/>
              </w:rPr>
              <w:t xml:space="preserve">Follow-up period is reported, and authors have described the number of patients who lost follow-up (1%). </w:t>
            </w:r>
          </w:p>
          <w:p w14:paraId="6C09ACEA" w14:textId="77777777" w:rsidR="00D837F4" w:rsidRPr="004142EA" w:rsidRDefault="00D837F4" w:rsidP="00D66A20">
            <w:pPr>
              <w:rPr>
                <w:rFonts w:cs="Arial"/>
                <w:b/>
                <w:sz w:val="16"/>
                <w:szCs w:val="20"/>
                <w:lang w:val="en-US"/>
              </w:rPr>
            </w:pPr>
            <w:r w:rsidRPr="004142EA">
              <w:rPr>
                <w:rFonts w:cs="Arial"/>
                <w:b/>
                <w:sz w:val="16"/>
                <w:szCs w:val="20"/>
                <w:lang w:val="en-US"/>
              </w:rPr>
              <w:t xml:space="preserve">Low risk </w:t>
            </w:r>
          </w:p>
        </w:tc>
        <w:tc>
          <w:tcPr>
            <w:tcW w:w="2097" w:type="dxa"/>
          </w:tcPr>
          <w:p w14:paraId="4A3B88DD" w14:textId="77777777" w:rsidR="00D837F4" w:rsidRPr="004142EA" w:rsidRDefault="00D837F4" w:rsidP="00D66A20">
            <w:pPr>
              <w:rPr>
                <w:rFonts w:cs="Arial"/>
                <w:sz w:val="16"/>
                <w:szCs w:val="20"/>
                <w:lang w:val="en-US"/>
              </w:rPr>
            </w:pPr>
            <w:r w:rsidRPr="004142EA">
              <w:rPr>
                <w:rFonts w:cs="Arial"/>
                <w:sz w:val="16"/>
                <w:szCs w:val="20"/>
                <w:lang w:val="en-US"/>
              </w:rPr>
              <w:t>Yes: for age, stage, BC subtype, and income.</w:t>
            </w:r>
          </w:p>
          <w:p w14:paraId="68FE69DD" w14:textId="77777777" w:rsidR="00D837F4" w:rsidRPr="004142EA" w:rsidRDefault="00D837F4" w:rsidP="00D66A20">
            <w:pPr>
              <w:rPr>
                <w:rFonts w:cs="Arial"/>
                <w:sz w:val="16"/>
                <w:szCs w:val="20"/>
                <w:lang w:val="en-US"/>
              </w:rPr>
            </w:pPr>
            <w:r w:rsidRPr="004142EA">
              <w:rPr>
                <w:rFonts w:cs="Arial"/>
                <w:b/>
                <w:sz w:val="16"/>
                <w:szCs w:val="20"/>
                <w:lang w:val="en-US"/>
              </w:rPr>
              <w:t>Low risk</w:t>
            </w:r>
          </w:p>
        </w:tc>
      </w:tr>
      <w:tr w:rsidR="00D837F4" w:rsidRPr="004142EA" w14:paraId="21A036C3" w14:textId="77777777" w:rsidTr="00664E5A">
        <w:trPr>
          <w:cantSplit/>
        </w:trPr>
        <w:tc>
          <w:tcPr>
            <w:tcW w:w="1419" w:type="dxa"/>
          </w:tcPr>
          <w:p w14:paraId="6A276BC8" w14:textId="18036BF3" w:rsidR="00D837F4" w:rsidRPr="004142EA" w:rsidRDefault="00D837F4" w:rsidP="005400BB">
            <w:pPr>
              <w:rPr>
                <w:rFonts w:cs="Arial"/>
                <w:sz w:val="16"/>
                <w:szCs w:val="20"/>
                <w:lang w:val="en-US"/>
              </w:rPr>
            </w:pPr>
            <w:r w:rsidRPr="004142EA">
              <w:rPr>
                <w:rFonts w:cs="Arial"/>
                <w:sz w:val="16"/>
                <w:szCs w:val="20"/>
                <w:lang w:val="en-US"/>
              </w:rPr>
              <w:lastRenderedPageBreak/>
              <w:t>Brandao et al (2019)</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0SCQVp6n","properties":{"formattedCitation":"[19]","plainCitation":"[19]","noteIndex":0},"citationItems":[{"id":2988,"uris":["http://zotero.org/users/4481446/items/FXALSHA7"],"uri":["http://zotero.org/users/4481446/items/FXALSHA7"],"itemData":{"id":2988,"type":"article-journal","abstract":"Background: Breast cancer (BC) burden is increasing among women living with HIV (HIV+). Yet, data regarding epidemiology, BC presentation, treatment, and progno","container-title":"Annals of Oncology","DOI":"10.1093/annonc/mdz101.014","ISSN":"0923-7534","issue":"Supplement_3","journalAbbreviation":"Ann Oncol","language":"en","source":"academic.oup.com","title":"213PHIV infection in breast cancer patients from Mozambique: A prospective cohort study","title-short":"213PHIV infection in breast cancer patients from Mozambique","URL":"https://academic.oup.com/annonc/article/30/Supplement_3/mdz101.014/5488303","volume":"30","author":[{"family":"Brandão","given":"Mariana"},{"family":"Guisseve","given":"A."},{"family":"Bata","given":"G."},{"family":"Morais","given":"G.","non-dropping-particle":"de"},{"family":"Alberto","given":"M."},{"family":"Schmitt","given":"F."},{"family":"Lorenzoni","given":"C."},{"family":"Tulsidás","given":"S."},{"family":"Lunet","given":"N."},{"family":"Carrilho","given":"C."}],"accessed":{"date-parts":[["2019",6,26]]},"issued":{"date-parts":[["2019",5,1]]}}}],"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[19]</w:t>
            </w:r>
            <w:r w:rsidRPr="004142EA">
              <w:rPr>
                <w:rFonts w:cs="Arial"/>
                <w:sz w:val="16"/>
                <w:szCs w:val="20"/>
                <w:lang w:val="en-US"/>
              </w:rPr>
              <w:fldChar w:fldCharType="end"/>
            </w:r>
          </w:p>
        </w:tc>
        <w:tc>
          <w:tcPr>
            <w:tcW w:w="1417" w:type="dxa"/>
          </w:tcPr>
          <w:p w14:paraId="055ED697" w14:textId="77777777" w:rsidR="00D837F4" w:rsidRPr="004142EA" w:rsidRDefault="00D837F4" w:rsidP="00D66A20">
            <w:pPr>
              <w:rPr>
                <w:rFonts w:cs="Arial"/>
                <w:sz w:val="16"/>
                <w:szCs w:val="20"/>
              </w:rPr>
            </w:pPr>
            <w:r w:rsidRPr="004142EA">
              <w:rPr>
                <w:rFonts w:cs="Arial"/>
                <w:sz w:val="16"/>
                <w:szCs w:val="20"/>
              </w:rPr>
              <w:t>Cohort (multi-centric; Moza-BC Cohort)</w:t>
            </w:r>
          </w:p>
        </w:tc>
        <w:tc>
          <w:tcPr>
            <w:tcW w:w="851" w:type="dxa"/>
          </w:tcPr>
          <w:p w14:paraId="225B1DCC" w14:textId="77777777" w:rsidR="00D837F4" w:rsidRPr="004142EA" w:rsidRDefault="00D837F4" w:rsidP="00D66A20">
            <w:pPr>
              <w:jc w:val="center"/>
              <w:rPr>
                <w:rFonts w:cs="Arial"/>
                <w:sz w:val="16"/>
                <w:szCs w:val="20"/>
              </w:rPr>
            </w:pPr>
            <w:r w:rsidRPr="004142EA">
              <w:rPr>
                <w:rFonts w:cs="Arial"/>
                <w:sz w:val="16"/>
                <w:szCs w:val="20"/>
              </w:rPr>
              <w:t>Yes</w:t>
            </w:r>
          </w:p>
        </w:tc>
        <w:tc>
          <w:tcPr>
            <w:tcW w:w="850" w:type="dxa"/>
          </w:tcPr>
          <w:p w14:paraId="1C92E4C4"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4A5EFBE2" w14:textId="3019E8DA" w:rsidR="00D837F4" w:rsidRPr="004142EA" w:rsidRDefault="00DB6E75" w:rsidP="00D66A20">
            <w:pPr>
              <w:rPr>
                <w:rFonts w:cs="Arial"/>
                <w:sz w:val="16"/>
                <w:szCs w:val="20"/>
                <w:lang w:val="en-US"/>
              </w:rPr>
            </w:pPr>
            <w:r w:rsidRPr="004142EA">
              <w:rPr>
                <w:rFonts w:cs="Arial"/>
                <w:sz w:val="16"/>
                <w:szCs w:val="20"/>
                <w:lang w:val="en-US"/>
              </w:rPr>
              <w:t>3 sites</w:t>
            </w:r>
            <w:r w:rsidR="00D837F4" w:rsidRPr="004142EA">
              <w:rPr>
                <w:rFonts w:cs="Arial"/>
                <w:sz w:val="16"/>
                <w:szCs w:val="20"/>
                <w:lang w:val="en-US"/>
              </w:rPr>
              <w:t xml:space="preserve"> from Mozambique</w:t>
            </w:r>
            <w:r w:rsidRPr="004142EA">
              <w:rPr>
                <w:rFonts w:cs="Arial"/>
                <w:sz w:val="16"/>
                <w:szCs w:val="20"/>
                <w:lang w:val="en-US"/>
              </w:rPr>
              <w:t>, but patients followed in 1 of the sites</w:t>
            </w:r>
            <w:r w:rsidR="00D837F4" w:rsidRPr="004142EA">
              <w:rPr>
                <w:rFonts w:cs="Arial"/>
                <w:sz w:val="16"/>
                <w:szCs w:val="20"/>
                <w:lang w:val="en-US"/>
              </w:rPr>
              <w:t xml:space="preserve">. Almost all patients had known HIV status (96% of patients in the cohort). </w:t>
            </w:r>
          </w:p>
          <w:p w14:paraId="38F1EE49" w14:textId="77777777" w:rsidR="00D837F4" w:rsidRPr="004142EA" w:rsidRDefault="00D837F4" w:rsidP="00D66A20">
            <w:pPr>
              <w:rPr>
                <w:rFonts w:cs="Arial"/>
                <w:b/>
                <w:sz w:val="16"/>
                <w:szCs w:val="20"/>
                <w:lang w:val="en-US"/>
              </w:rPr>
            </w:pPr>
            <w:r w:rsidRPr="004142EA">
              <w:rPr>
                <w:rFonts w:cs="Arial"/>
                <w:b/>
                <w:sz w:val="16"/>
                <w:szCs w:val="20"/>
                <w:lang w:val="en-US"/>
              </w:rPr>
              <w:t xml:space="preserve">Low risk  </w:t>
            </w:r>
          </w:p>
        </w:tc>
        <w:tc>
          <w:tcPr>
            <w:tcW w:w="2003" w:type="dxa"/>
          </w:tcPr>
          <w:p w14:paraId="344F308D" w14:textId="77777777" w:rsidR="00D837F4" w:rsidRPr="004142EA" w:rsidRDefault="00D837F4" w:rsidP="00D66A20">
            <w:pPr>
              <w:rPr>
                <w:rFonts w:cs="Arial"/>
                <w:sz w:val="16"/>
                <w:szCs w:val="20"/>
                <w:lang w:val="en-US"/>
              </w:rPr>
            </w:pPr>
            <w:r w:rsidRPr="004142EA">
              <w:rPr>
                <w:rFonts w:cs="Arial"/>
                <w:sz w:val="16"/>
                <w:szCs w:val="20"/>
                <w:lang w:val="en-US"/>
              </w:rPr>
              <w:t xml:space="preserve">Authors reported data using the TNM definition. </w:t>
            </w:r>
          </w:p>
          <w:p w14:paraId="5D065661" w14:textId="77777777" w:rsidR="00D837F4" w:rsidRPr="004142EA" w:rsidRDefault="00D837F4" w:rsidP="00D66A20">
            <w:pPr>
              <w:rPr>
                <w:rFonts w:cs="Arial"/>
                <w:b/>
                <w:sz w:val="16"/>
                <w:szCs w:val="20"/>
                <w:lang w:val="en-US"/>
              </w:rPr>
            </w:pPr>
            <w:r w:rsidRPr="004142EA">
              <w:rPr>
                <w:rFonts w:cs="Arial"/>
                <w:b/>
                <w:sz w:val="16"/>
                <w:szCs w:val="20"/>
                <w:lang w:val="en-US"/>
              </w:rPr>
              <w:t xml:space="preserve">Low risk </w:t>
            </w:r>
          </w:p>
        </w:tc>
        <w:tc>
          <w:tcPr>
            <w:tcW w:w="2004" w:type="dxa"/>
          </w:tcPr>
          <w:p w14:paraId="572CBA2D" w14:textId="4E02CAAB" w:rsidR="00D837F4" w:rsidRPr="004142EA" w:rsidRDefault="00D837F4" w:rsidP="00D66A20">
            <w:pPr>
              <w:rPr>
                <w:rFonts w:cs="Arial"/>
                <w:sz w:val="16"/>
                <w:szCs w:val="20"/>
                <w:lang w:val="en-US"/>
              </w:rPr>
            </w:pPr>
            <w:r w:rsidRPr="004142EA">
              <w:rPr>
                <w:rFonts w:cs="Arial"/>
                <w:sz w:val="16"/>
                <w:szCs w:val="20"/>
                <w:lang w:val="en-US"/>
              </w:rPr>
              <w:t>According to ASCO/CAP guidelines.</w:t>
            </w:r>
            <w:r w:rsidR="005400BB" w:rsidRPr="004142EA">
              <w:rPr>
                <w:rFonts w:cs="Arial"/>
                <w:sz w:val="16"/>
                <w:szCs w:val="20"/>
                <w:lang w:val="en-US"/>
              </w:rPr>
              <w:fldChar w:fldCharType="begin"/>
            </w:r>
            <w:r w:rsidR="0064139E">
              <w:rPr>
                <w:rFonts w:cs="Arial"/>
                <w:sz w:val="16"/>
                <w:szCs w:val="20"/>
                <w:lang w:val="en-US"/>
              </w:rPr>
              <w:instrText xml:space="preserve"> ADDIN ZOTERO_ITEM CSL_CITATION {"citationID":"Mm0Ar1F9","properties":{"formattedCitation":"[14\\uc0\\u8211{}16]","plainCitation":"[14–16]","noteIndex":0},"citationItems":[{"id":1208,"uris":["http://zotero.org/users/4481446/items/6CZFTKP3"],"uri":["http://zotero.org/users/4481446/items/6CZFTKP3"],"itemData":{"id":1208,"type":"article-journal","abstract":"PurposeTo update key recommendations of the American Society of Clinical Oncology/College of American Pathologists human epidermal growth factor receptor 2 (HER2) testing in breast cancer guideline.MethodsBased on the signals approach, an Expert Panel reviewed published literature and research survey results on the observed frequency of less common in situ hybridization (ISH) patterns to update the recommendations.RecommendationsTwo recommendations addressed via correspondence in 2015 are included. First, immunohistochemistry (IHC) 2+ is defined as invasive breast cancer with weak to moderate complete membrane staining observed in &gt; 10% of tumor cells. Second, if the initial HER2 test result in a core needle biopsy specimen of a primary breast cancer is negative, a new HER2 test may (not “must”) be ordered on the excision specimen based on specific clinical criteria. The HER2 testing algorithm for breast cancer is updated to address the recommended work-up for less common clinical scenarios (approximately 5% of cases) observed when using a dual-probe ISH assay. These scenarios are described as ISH group 2 (HER2/chromosome enumeration probe 17 [CEP17] ratio ≥ 2.0; average HER2 copy number &lt; 4.0 signals per cell), ISH group 3 (HER2/CEP17 ratio &lt; 2.0; average HER2 copy number ≥ 6.0 signals per cell), and ISH group 4 (HER2/CEP17 ratio &lt; 2.0; average HER2 copy number ≥ 4.0 and &lt; 6.0 signals per cell). The diagnostic approach includes more rigorous interpretation criteria for ISH and requires concomitant IHC review for dual-probe ISH groups 2 to 4 to arrive at the most accurate HER2 status designation (positive or negative) based on combined interpretation of the ISH and IHC assays. The Expert Panel recommends that laboratories using single-probe ISH assays include concomitant IHC review as part of the interpretation of all single-probe ISH assay results.Find additional information at www.asco.org/breast-cancer-guidelines.","container-title":"Journal of Clinical Oncology","DOI":"10.1200/JCO.2018.77.8738","ISSN":"0732-183X","issue":"20","journalAbbreviation":"JCO","page":"2105-2122","source":"ascopubs.org (Atypon)","title":"Human Epidermal Growth Factor Receptor 2 Testing in Breast Cancer: American Society of Clinical Oncology/College of American Pathologists Clinical Practice Guideline Focused Update","title-short":"Human Epidermal Growth Factor Receptor 2 Testing in Breast Cancer","volume":"36","author":[{"family":"Wolff","given":"Antonio C."},{"family":"Hammond","given":"M. Elizabeth Hale"},{"family":"Allison","given":"Kimberly H."},{"family":"Harvey","given":"Brittany E."},{"family":"Mangu","given":"Pamela B."},{"family":"Bartlett","given":"John M.S."},{"family":"Bilous","given":"Michael"},{"family":"Ellis","given":"Ian O."},{"family":"Fitzgibbons","given":"Patrick"},{"family":"Hanna","given":"Wedad"},{"family":"Jenkins","given":"Robert B."},{"family":"Press","given":"Michael F."},{"family":"Spears","given":"Patricia A."},{"family":"Vance","given":"Gail H."},{"family":"Viale","given":"Giuseppe"},{"family":"McShane","given":"Lisa M."},{"family":"Dowsett","given":"Mitchell"}],"issued":{"date-parts":[["2018",5,30]]}}},{"id":3635,"uris":["http://zotero.org/users/4481446/items/KIYUDXDD"],"uri":["http://zotero.org/users/4481446/items/KIYUDXDD"],"itemData":{"id":3635,"type":"article-journal","abstract":"Purpose To develop a guideline to improve the accuracy of immunohistochemical (IHC) estrogen receptor (ER) and progesterone receptor (PgR) testing in breast cancer and the utility of these receptors as predictive markers.   Methods The American Society of Clinical Oncology and the College of American Pathologists convened an international Expert Panel that conducted a systematic review and evaluation of the literature in partnership with Cancer Care Ontario and developed recommendations for optimal IHC ER/PgR testing performance.   Results Up to 20% of current IHC determinations of ER and PgR testing worldwide may be inaccurate (false negative or false positive). Most of the issues with testing have occurred because of variation in preanalytic variables, thresholds for positivity, and interpretation criteria.   Recommendations The Panel recommends that ER and PgR status be determined on all invasive breast cancers and breast cancer recurrences. A testing algorithm that relies on accurate, reproducible assay performance is proposed. Elements to reliably reduce assay variation are specified. It is recommended that ER and PgR assays be considered positive if there are at least 1% positive tumor nuclei in the sample on testing in the presence of expected reactivity of internal (normal epithelial elements) and external controls. The absence of benefit from endocrine therapy for women with ER-negative invasive breast cancers has been confirmed in large overviews of randomized clinical trials.","container-title":"Journal of Clinical Oncology","DOI":"10.1200/JCO.2009.25.6529","ISSN":"0732-183X","issue":"16","journalAbbreviation":"J Clin Oncol","page":"2784-2795","source":"ascopubs.org (Atypon)","title":"American Society of Clinical Oncology/College of American Pathologists Guideline Recommendations for Immunohistochemical Testing of Estrogen and Progesterone Receptors in Breast Cancer","volume":"28","author":[{"family":"Hammond","given":"M. Elizabeth H."},{"family":"Hayes","given":"Daniel F."},{"family":"Dowsett","given":"Mitch"},{"family":"Allred","given":"D. Craig"},{"family":"Hagerty","given":"Karen L."},{"family":"Badve","given":"Sunil"},{"family":"Fitzgibbons","given":"Patrick L."},{"family":"Francis","given":"Glenn"},{"family":"Goldstein","given":"Neil S."},{"family":"Hayes","given":"Malcolm"},{"family":"Hicks","given":"David G."},{"family":"Lester","given":"Susan"},{"family":"Love","given":"Richard"},{"family":"Mangu","given":"Pamela B."},{"family":"McShane","given":"Lisa"},{"family":"Miller","given":"Keith"},{"family":"Osborne","given":"C. Kent"},{"family":"Paik","given":"Soonmyung"},{"family":"Perlmutter","given":"Jane"},{"family":"Rhodes","given":"Anthony"},{"family":"Sasano","given":"Hironobu"},{"family":"Schwartz","given":"Jared N."},{"family":"Sweep","given":"Fred C.G."},{"family":"Taube","given":"Sheila"},{"family":"Torlakovic","given":"Emina Emilia"},{"family":"Valenstein","given":"Paul"},{"family":"Viale","given":"Giuseppe"},{"family":"Visscher","given":"Daniel"},{"family":"Wheeler","given":"Thomas"},{"family":"Williams","given":"R. Bruce"},{"family":"Wittliff","given":"James L."},{"family":"Wolff","given":"Antonio C."}],"issued":{"date-parts":[["2010",4,19]]}}},{"id":1685,"uris":["http://zotero.org/users/4481446/items/ZAL3QLAP"],"uri":["http://zotero.org/users/4481446/items/ZAL3QLAP"],"itemData":{"id":1685,"type":"article-journal","abstract":"Abstract.  Uncontrolled proliferation is a hallmark of cancer. In breast cancer, immunohistochemical assessment of the proportion of cells staining for the nucl","container-title":"JNCI: Journal of the National Cancer Institute","DOI":"10.1093/jnci/djr393","ISSN":"0027-8874","issue":"22","journalAbbreviation":"J Natl Cancer Inst","language":"en","page":"1656-1664","source":"academic.oup.com","title":"Assessment of Ki67 in Breast Cancer: Recommendations from the International Ki67 in Breast Cancer Working Group","title-short":"Assessment of Ki67 in Breast Cancer","volume":"103","author":[{"family":"Dowsett","given":"Mitch"},{"family":"Nielsen","given":"Torsten O."},{"family":"A’Hern","given":"Roger"},{"family":"Bartlett","given":"John"},{"family":"Coombes","given":"R. Charles"},{"family":"Cuzick","given":"Jack"},{"family":"Ellis","given":"Matthew"},{"family":"Henry","given":"N. Lynn"},{"family":"Hugh","given":"Judith C."},{"family":"Lively","given":"Tracy"},{"family":"McShane","given":"Lisa"},{"family":"Paik","given":"Soon"},{"family":"Penault-Llorca","given":"Frederique"},{"family":"Prudkin","given":"Ljudmila"},{"family":"Regan","given":"Meredith"},{"family":"Salter","given":"Janine"},{"family":"Sotiriou","given":"Christos"},{"family":"Smith","given":"Ian E."},{"family":"Viale","given":"Giuseppe"},{"family":"Zujewski","given":"Jo Anne"},{"family":"Hayes","given":"Daniel F."}],"issued":{"date-parts":[["2011",11,16]]}}}],"schema":"https://github.com/citation-style-language/schema/raw/master/csl-citation.json"} </w:instrText>
            </w:r>
            <w:r w:rsidR="005400BB" w:rsidRPr="004142EA">
              <w:rPr>
                <w:rFonts w:cs="Arial"/>
                <w:sz w:val="16"/>
                <w:szCs w:val="20"/>
                <w:lang w:val="en-US"/>
              </w:rPr>
              <w:fldChar w:fldCharType="separate"/>
            </w:r>
            <w:r w:rsidR="0064139E" w:rsidRPr="0064139E">
              <w:rPr>
                <w:rFonts w:ascii="Calibri" w:hAnsi="Calibri" w:cs="Times New Roman"/>
                <w:sz w:val="16"/>
                <w:szCs w:val="24"/>
              </w:rPr>
              <w:t>[14–16]</w:t>
            </w:r>
            <w:r w:rsidR="005400BB" w:rsidRPr="004142EA">
              <w:rPr>
                <w:rFonts w:cs="Arial"/>
                <w:sz w:val="16"/>
                <w:szCs w:val="20"/>
                <w:lang w:val="en-US"/>
              </w:rPr>
              <w:fldChar w:fldCharType="end"/>
            </w:r>
            <w:r w:rsidRPr="004142EA">
              <w:rPr>
                <w:rFonts w:cs="Arial"/>
                <w:sz w:val="16"/>
                <w:szCs w:val="20"/>
                <w:lang w:val="en-US"/>
              </w:rPr>
              <w:t xml:space="preserve"> </w:t>
            </w:r>
          </w:p>
          <w:p w14:paraId="69EF429C"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4" w:type="dxa"/>
          </w:tcPr>
          <w:p w14:paraId="1ADB5AF4" w14:textId="41692471" w:rsidR="00D837F4" w:rsidRPr="004142EA" w:rsidRDefault="00D837F4" w:rsidP="00D66A20">
            <w:pPr>
              <w:rPr>
                <w:rFonts w:cs="Arial"/>
                <w:sz w:val="16"/>
                <w:szCs w:val="20"/>
                <w:lang w:val="en-US"/>
              </w:rPr>
            </w:pPr>
            <w:r w:rsidRPr="004142EA">
              <w:rPr>
                <w:rFonts w:cs="Arial"/>
                <w:sz w:val="16"/>
                <w:szCs w:val="20"/>
                <w:lang w:val="en-US"/>
              </w:rPr>
              <w:t>Median follow-up reported, and authors have described the number of patients who were lost follow-up</w:t>
            </w:r>
            <w:r w:rsidR="000D1A9D" w:rsidRPr="004142EA">
              <w:rPr>
                <w:rFonts w:cs="Arial"/>
                <w:sz w:val="16"/>
                <w:szCs w:val="20"/>
                <w:lang w:val="en-US"/>
              </w:rPr>
              <w:t xml:space="preserve"> (11%)</w:t>
            </w:r>
            <w:r w:rsidRPr="004142EA">
              <w:rPr>
                <w:rFonts w:cs="Arial"/>
                <w:sz w:val="16"/>
                <w:szCs w:val="20"/>
                <w:lang w:val="en-US"/>
              </w:rPr>
              <w:t>.</w:t>
            </w:r>
          </w:p>
          <w:p w14:paraId="6C3CF4EA" w14:textId="1251780D" w:rsidR="00D837F4" w:rsidRPr="004142EA" w:rsidRDefault="00D837F4" w:rsidP="00D66A20">
            <w:pPr>
              <w:rPr>
                <w:rFonts w:cs="Arial"/>
                <w:b/>
                <w:sz w:val="16"/>
                <w:szCs w:val="20"/>
                <w:lang w:val="en-US"/>
              </w:rPr>
            </w:pPr>
            <w:r w:rsidRPr="004142EA">
              <w:rPr>
                <w:rFonts w:cs="Arial"/>
                <w:b/>
                <w:sz w:val="16"/>
                <w:szCs w:val="20"/>
                <w:lang w:val="en-US"/>
              </w:rPr>
              <w:t>Low</w:t>
            </w:r>
            <w:r w:rsidR="00863A22" w:rsidRPr="004142EA">
              <w:rPr>
                <w:rFonts w:cs="Arial"/>
                <w:b/>
                <w:sz w:val="16"/>
                <w:szCs w:val="20"/>
                <w:lang w:val="en-US"/>
              </w:rPr>
              <w:t>-medium</w:t>
            </w:r>
            <w:r w:rsidRPr="004142EA">
              <w:rPr>
                <w:rFonts w:cs="Arial"/>
                <w:b/>
                <w:sz w:val="16"/>
                <w:szCs w:val="20"/>
                <w:lang w:val="en-US"/>
              </w:rPr>
              <w:t xml:space="preserve"> risk </w:t>
            </w:r>
          </w:p>
        </w:tc>
        <w:tc>
          <w:tcPr>
            <w:tcW w:w="2097" w:type="dxa"/>
          </w:tcPr>
          <w:p w14:paraId="798CB0A3" w14:textId="77777777" w:rsidR="00D837F4" w:rsidRPr="004142EA" w:rsidRDefault="00D837F4" w:rsidP="00D66A20">
            <w:pPr>
              <w:rPr>
                <w:rFonts w:cs="Arial"/>
                <w:sz w:val="16"/>
                <w:szCs w:val="20"/>
                <w:lang w:val="en-US"/>
              </w:rPr>
            </w:pPr>
            <w:r w:rsidRPr="004142EA">
              <w:rPr>
                <w:rFonts w:cs="Arial"/>
                <w:sz w:val="16"/>
                <w:szCs w:val="20"/>
                <w:lang w:val="en-US"/>
              </w:rPr>
              <w:t xml:space="preserve">Yes: for age, stage, BC subtype, and any treatment received (yes vs. no). </w:t>
            </w:r>
          </w:p>
          <w:p w14:paraId="25615254" w14:textId="77777777" w:rsidR="00D837F4" w:rsidRPr="004142EA" w:rsidRDefault="00D837F4" w:rsidP="00D66A20">
            <w:pPr>
              <w:rPr>
                <w:rFonts w:cs="Arial"/>
                <w:sz w:val="16"/>
                <w:szCs w:val="20"/>
                <w:lang w:val="en-US"/>
              </w:rPr>
            </w:pPr>
            <w:r w:rsidRPr="004142EA">
              <w:rPr>
                <w:rFonts w:cs="Arial"/>
                <w:b/>
                <w:sz w:val="16"/>
                <w:szCs w:val="20"/>
                <w:lang w:val="en-US"/>
              </w:rPr>
              <w:t>Low risk</w:t>
            </w:r>
          </w:p>
        </w:tc>
      </w:tr>
      <w:tr w:rsidR="00D837F4" w:rsidRPr="004142EA" w14:paraId="21357706" w14:textId="77777777" w:rsidTr="00664E5A">
        <w:trPr>
          <w:cantSplit/>
        </w:trPr>
        <w:tc>
          <w:tcPr>
            <w:tcW w:w="1419" w:type="dxa"/>
          </w:tcPr>
          <w:p w14:paraId="1A618CF1" w14:textId="565118B3" w:rsidR="00D837F4" w:rsidRPr="004142EA" w:rsidRDefault="00D837F4" w:rsidP="005400BB">
            <w:pPr>
              <w:rPr>
                <w:rFonts w:cs="Arial"/>
                <w:sz w:val="16"/>
                <w:szCs w:val="20"/>
                <w:lang w:val="en-US"/>
              </w:rPr>
            </w:pPr>
            <w:r w:rsidRPr="004142EA">
              <w:rPr>
                <w:rFonts w:cs="Arial"/>
                <w:sz w:val="16"/>
                <w:szCs w:val="20"/>
                <w:lang w:val="en-US"/>
              </w:rPr>
              <w:t>Phakathi et al (2019)</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6TWMqOK8","properties":{"formattedCitation":"[20]","plainCitation":"[20]","noteIndex":0},"citationItems":[{"id":1956,"uris":["http://zotero.org/users/4481446/items/DBWD7553"],"uri":["http://zotero.org/users/4481446/items/DBWD7553"],"itemData":{"id":1956,"type":"article-journal","abstract":"Purpose\nBreast cancer is the most common cancer in women and a leading cause of cancer-related mortality worldwide. South Africa has the largest global burden of HIV infection and the largest anti-retroviral treatment (ART) program. This study aimed to analyse the association of HIV and ART use with breast cancer clinico-pathological characteristics.\nMethods\nStudy participants were females, newly diagnosed from May 2015 through September 2017 with invasive breast cancer at two academic Surgical Breast Units in Johannesburg, South Africa at the Charlotte Maxeke Johannesburg Academic Hospital and Chris Hani Baragwanath Academic Hospital. We compared HIV-positive and HIV negative patients' demographic and clinical-pathological characteristics at the time of breast cancer diagnosis.\nResults\nOf 1050 patients enrolled, 1016 (96.8%) had known HIV status, with 226 (22.2%) being HIV positive. HIV positive patients were younger (median (IQR) age 45 (40–52) years), than HIV-negative patients (median (IQR) age 57 (46–67)) (p &lt; 0.001). HIV positive patients were more likely to be diagnosed with late stage breast cancer (p = 0.01). However, HIV positive patients receiving ART at the time of breast cancer diagnosis were less likely to present with metastatic disease than those not on ART (p = 0.05).\nConclusion\nHIV-positive patients present with breast cancer at a younger age and later stage disease than HIV-negative patients. Neither the duration of HIV infection nor ART use was associated with clinico-pathological characteristics of breast cancer.","container-title":"The Breast","DOI":"10.1016/j.breast.2018.12.005","ISSN":"0960-9776","journalAbbreviation":"The Breast","page":"123-129","source":"ScienceDirect","title":"Clinico-pathological characteristics among South African women with breast cancer receiving anti-retroviral therapy for HIV","volume":"43","author":[{"family":"Phakathi","given":"Boitumelo"},{"family":"Cubasch","given":"Herbert"},{"family":"Nietz","given":"Sarah"},{"family":"Dickens","given":"Caroline"},{"family":"Dix-Peek","given":"Therese"},{"family":"Joffe","given":"Maureen"},{"family":"Neugut","given":"Alfred I."},{"family":"Jacobson","given":"Judith"},{"family":"Duarte","given":"Raquel"},{"family":"Ruff","given":"Paul"}],"issued":{"date-parts":[["2019",2,1]]}}}],"schema":"https://github.com/citation-style-language/schema/raw/master/csl-citation.json"}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[20]</w:t>
            </w:r>
            <w:r w:rsidRPr="004142EA">
              <w:rPr>
                <w:rFonts w:cs="Arial"/>
                <w:sz w:val="16"/>
                <w:szCs w:val="20"/>
                <w:lang w:val="en-US"/>
              </w:rPr>
              <w:fldChar w:fldCharType="end"/>
            </w:r>
          </w:p>
        </w:tc>
        <w:tc>
          <w:tcPr>
            <w:tcW w:w="1417" w:type="dxa"/>
          </w:tcPr>
          <w:p w14:paraId="2B68B293" w14:textId="77777777" w:rsidR="00D837F4" w:rsidRPr="004142EA" w:rsidRDefault="00D837F4" w:rsidP="00D66A20">
            <w:pPr>
              <w:rPr>
                <w:rFonts w:cs="Arial"/>
                <w:sz w:val="16"/>
                <w:szCs w:val="20"/>
              </w:rPr>
            </w:pPr>
            <w:r w:rsidRPr="004142EA">
              <w:rPr>
                <w:rFonts w:cs="Arial"/>
                <w:sz w:val="16"/>
                <w:szCs w:val="20"/>
              </w:rPr>
              <w:t>Consecutive series (2 centers)</w:t>
            </w:r>
          </w:p>
        </w:tc>
        <w:tc>
          <w:tcPr>
            <w:tcW w:w="851" w:type="dxa"/>
          </w:tcPr>
          <w:p w14:paraId="6A976DA4" w14:textId="77777777" w:rsidR="00D837F4" w:rsidRPr="004142EA" w:rsidRDefault="00D837F4" w:rsidP="00D66A20">
            <w:pPr>
              <w:jc w:val="center"/>
              <w:rPr>
                <w:rFonts w:cs="Arial"/>
                <w:sz w:val="16"/>
                <w:szCs w:val="20"/>
              </w:rPr>
            </w:pPr>
            <w:r w:rsidRPr="004142EA">
              <w:rPr>
                <w:rFonts w:cs="Arial"/>
                <w:sz w:val="16"/>
                <w:szCs w:val="20"/>
              </w:rPr>
              <w:t>No</w:t>
            </w:r>
          </w:p>
        </w:tc>
        <w:tc>
          <w:tcPr>
            <w:tcW w:w="850" w:type="dxa"/>
          </w:tcPr>
          <w:p w14:paraId="4E562E47"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5B3A43BE" w14:textId="3A50D47C" w:rsidR="00D837F4" w:rsidRPr="004142EA" w:rsidRDefault="00D837F4" w:rsidP="00D66A20">
            <w:pPr>
              <w:rPr>
                <w:rFonts w:cs="Arial"/>
                <w:sz w:val="16"/>
                <w:szCs w:val="20"/>
                <w:lang w:val="en-US"/>
              </w:rPr>
            </w:pPr>
            <w:r w:rsidRPr="004142EA">
              <w:rPr>
                <w:rFonts w:cs="Arial"/>
                <w:sz w:val="16"/>
                <w:szCs w:val="20"/>
                <w:lang w:val="en-US"/>
              </w:rPr>
              <w:t xml:space="preserve">5 hospitals from South Africa. Only patients with known HIV status included in the analyses (representing 96.8% of patients initially assessed). </w:t>
            </w:r>
          </w:p>
          <w:p w14:paraId="6545A3B7" w14:textId="77777777" w:rsidR="00D837F4" w:rsidRPr="004142EA" w:rsidRDefault="00D837F4" w:rsidP="00D66A20">
            <w:pPr>
              <w:rPr>
                <w:rFonts w:cs="Arial"/>
                <w:b/>
                <w:sz w:val="16"/>
                <w:szCs w:val="20"/>
                <w:lang w:val="en-US"/>
              </w:rPr>
            </w:pPr>
            <w:r w:rsidRPr="004142EA">
              <w:rPr>
                <w:rFonts w:cs="Arial"/>
                <w:b/>
                <w:sz w:val="16"/>
                <w:szCs w:val="20"/>
                <w:lang w:val="en-US"/>
              </w:rPr>
              <w:t xml:space="preserve">Low risk </w:t>
            </w:r>
          </w:p>
        </w:tc>
        <w:tc>
          <w:tcPr>
            <w:tcW w:w="2003" w:type="dxa"/>
          </w:tcPr>
          <w:p w14:paraId="3BA69F90" w14:textId="77777777" w:rsidR="00D837F4" w:rsidRPr="004142EA" w:rsidRDefault="00D837F4" w:rsidP="00D66A20">
            <w:pPr>
              <w:rPr>
                <w:rFonts w:cs="Arial"/>
                <w:sz w:val="16"/>
                <w:szCs w:val="20"/>
                <w:lang w:val="en-US"/>
              </w:rPr>
            </w:pPr>
            <w:r w:rsidRPr="004142EA">
              <w:rPr>
                <w:rFonts w:cs="Arial"/>
                <w:sz w:val="16"/>
                <w:szCs w:val="20"/>
                <w:lang w:val="en-US"/>
              </w:rPr>
              <w:t xml:space="preserve">Authors reported data using the TNM definition. </w:t>
            </w:r>
          </w:p>
          <w:p w14:paraId="0244295D" w14:textId="77777777" w:rsidR="00D837F4" w:rsidRPr="004142EA" w:rsidRDefault="00D837F4" w:rsidP="00D66A20">
            <w:pPr>
              <w:rPr>
                <w:rFonts w:cs="Arial"/>
                <w:b/>
                <w:sz w:val="16"/>
                <w:szCs w:val="20"/>
                <w:lang w:val="en-US"/>
              </w:rPr>
            </w:pPr>
            <w:r w:rsidRPr="004142EA">
              <w:rPr>
                <w:rFonts w:cs="Arial"/>
                <w:b/>
                <w:sz w:val="16"/>
                <w:szCs w:val="20"/>
                <w:lang w:val="en-US"/>
              </w:rPr>
              <w:t>Low risk</w:t>
            </w:r>
          </w:p>
        </w:tc>
        <w:tc>
          <w:tcPr>
            <w:tcW w:w="2004" w:type="dxa"/>
          </w:tcPr>
          <w:p w14:paraId="0BF3844B" w14:textId="77777777" w:rsidR="00D837F4" w:rsidRPr="004142EA" w:rsidRDefault="00D837F4" w:rsidP="00D66A20">
            <w:pPr>
              <w:rPr>
                <w:rFonts w:cs="Arial"/>
                <w:sz w:val="16"/>
                <w:szCs w:val="20"/>
                <w:lang w:val="en-US"/>
              </w:rPr>
            </w:pPr>
            <w:r w:rsidRPr="004142EA">
              <w:rPr>
                <w:rFonts w:cs="Arial"/>
                <w:sz w:val="16"/>
                <w:szCs w:val="20"/>
                <w:lang w:val="en-US"/>
              </w:rPr>
              <w:t xml:space="preserve">HER2 status was defined according to ASCO/CAP guidelines, whereas ER and PR status were defined according to Allred score (3-8 considered positive). </w:t>
            </w:r>
          </w:p>
          <w:p w14:paraId="1826EADF" w14:textId="77777777" w:rsidR="00D837F4" w:rsidRPr="004142EA" w:rsidRDefault="00D837F4" w:rsidP="00D66A20">
            <w:pPr>
              <w:rPr>
                <w:rFonts w:cs="Arial"/>
                <w:b/>
                <w:sz w:val="16"/>
                <w:szCs w:val="20"/>
                <w:lang w:val="en-US"/>
              </w:rPr>
            </w:pPr>
            <w:r w:rsidRPr="004142EA">
              <w:rPr>
                <w:rFonts w:cs="Arial"/>
                <w:b/>
                <w:sz w:val="16"/>
                <w:szCs w:val="20"/>
                <w:lang w:val="en-US"/>
              </w:rPr>
              <w:t xml:space="preserve">Low-medium risk </w:t>
            </w:r>
          </w:p>
        </w:tc>
        <w:tc>
          <w:tcPr>
            <w:tcW w:w="2004" w:type="dxa"/>
            <w:shd w:val="clear" w:color="auto" w:fill="D9D9D9" w:themeFill="background1" w:themeFillShade="D9"/>
          </w:tcPr>
          <w:p w14:paraId="280D2B45" w14:textId="77777777" w:rsidR="00D837F4" w:rsidRPr="004142EA" w:rsidRDefault="00D837F4" w:rsidP="00D66A20">
            <w:pPr>
              <w:rPr>
                <w:rFonts w:cs="Arial"/>
                <w:sz w:val="16"/>
                <w:szCs w:val="20"/>
                <w:lang w:val="en-US"/>
              </w:rPr>
            </w:pPr>
            <w:r w:rsidRPr="004142EA">
              <w:rPr>
                <w:rFonts w:cs="Arial"/>
                <w:sz w:val="16"/>
                <w:szCs w:val="20"/>
                <w:lang w:val="en-US"/>
              </w:rPr>
              <w:t>NA</w:t>
            </w:r>
          </w:p>
        </w:tc>
        <w:tc>
          <w:tcPr>
            <w:tcW w:w="2097" w:type="dxa"/>
            <w:shd w:val="clear" w:color="auto" w:fill="D9D9D9" w:themeFill="background1" w:themeFillShade="D9"/>
          </w:tcPr>
          <w:p w14:paraId="1C41BE7D" w14:textId="77777777" w:rsidR="00D837F4" w:rsidRPr="004142EA" w:rsidRDefault="00D837F4" w:rsidP="00D66A20">
            <w:pPr>
              <w:rPr>
                <w:rFonts w:cs="Arial"/>
                <w:sz w:val="16"/>
                <w:szCs w:val="20"/>
                <w:lang w:val="en-US"/>
              </w:rPr>
            </w:pPr>
            <w:r w:rsidRPr="004142EA">
              <w:rPr>
                <w:rFonts w:cs="Arial"/>
                <w:sz w:val="16"/>
                <w:szCs w:val="20"/>
                <w:lang w:val="en-US"/>
              </w:rPr>
              <w:t>NA</w:t>
            </w:r>
          </w:p>
        </w:tc>
      </w:tr>
      <w:tr w:rsidR="00D837F4" w:rsidRPr="004142EA" w14:paraId="2701FD87" w14:textId="77777777" w:rsidTr="00664E5A">
        <w:trPr>
          <w:cantSplit/>
        </w:trPr>
        <w:tc>
          <w:tcPr>
            <w:tcW w:w="1419" w:type="dxa"/>
          </w:tcPr>
          <w:p w14:paraId="1B23E674" w14:textId="002D798D" w:rsidR="00D837F4" w:rsidRPr="004142EA" w:rsidRDefault="00D837F4" w:rsidP="005400BB">
            <w:pPr>
              <w:rPr>
                <w:rFonts w:cs="Arial"/>
                <w:sz w:val="16"/>
                <w:szCs w:val="20"/>
                <w:lang w:val="en-US"/>
              </w:rPr>
            </w:pPr>
            <w:r w:rsidRPr="004142EA">
              <w:rPr>
                <w:rFonts w:cs="Arial"/>
                <w:sz w:val="16"/>
                <w:szCs w:val="20"/>
                <w:lang w:val="en-US"/>
              </w:rPr>
              <w:t>Bhatia et al (2019)</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416sWuNP","properties":{"formattedCitation":"[21]","plainCitation":"[21]","noteIndex":0},"citationItems":[{"id":"XhB0aKvp/77F043gO","uris":["http://zotero.org/users/4481446/items/BTUMSDGF"],"uri":["http://zotero.org/users/4481446/items/BTUMSDGF"],"itemData":{"id":5818,"type":"article-journal","title":"Report of clinico-pathological features of breast cancer in HIV-infected and uninfected women in Botswana.","container-title":"Infectious agents and cancer","page":"28","volume":"14","abstract":"Background: To characterize the clinico-pathological features including estrogen  receptor (ER), progesterone receptor (PR) and Her-2/neu (HER2) expression in breast cancers in Botswana, and to compare them by HIV status. Methods: This was  a retrospective study using data from the National Health Laboratory and Diagnofirm Medical Laboratory in Gaborone from January 1, 2011 to December 31, 2015. Clinico-pathological details of patients were abstracted from electronic medical records. Results: A total of 384 unique breast cancer reports met our inclusion criteria. Of the patients with known HIV status, 42.7% (50/117) were","DOI":"10.1186/s13027-019-0245-6","ISSN":"1750-9378 1750-9378","note":"PMID: 31649747 \nPMCID: PMC6805363","journalAbbreviation":"Infect Agent Cancer","language":"eng","author":[{"family":"Bhatia","given":"Rohini K."},{"family":"Narasimhamurthy","given":"Mohan"},{"family":"Martei","given":"Yehoda M."},{"family":"Prabhakar","given":"Pooja"},{"family":"Hutson","given":"Jere"},{"family":"Chiyapo","given":"Sebathu"},{"family":"Makozhombwe","given":"Ignetious"},{"family":"Feldman","given":"Michael"},{"family":"Kayembe","given":"Mukendi K. A."},{"family":"Cooper","given":"Kum"},{"family":"Grover","given":"Surbhi"}],"issued":{"date-parts":[["2019"]]}}}],"schema":"https://github.com/citation-style-language/schema/raw/master/csl-citation.json"}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[21]</w:t>
            </w:r>
            <w:r w:rsidRPr="004142EA">
              <w:rPr>
                <w:rFonts w:cs="Arial"/>
                <w:sz w:val="16"/>
                <w:szCs w:val="20"/>
                <w:lang w:val="en-US"/>
              </w:rPr>
              <w:fldChar w:fldCharType="end"/>
            </w:r>
          </w:p>
        </w:tc>
        <w:tc>
          <w:tcPr>
            <w:tcW w:w="1417" w:type="dxa"/>
          </w:tcPr>
          <w:p w14:paraId="4B4CB3FD" w14:textId="77777777" w:rsidR="00D837F4" w:rsidRPr="004142EA" w:rsidRDefault="00D837F4" w:rsidP="00D66A20">
            <w:pPr>
              <w:rPr>
                <w:rFonts w:cs="Arial"/>
                <w:sz w:val="16"/>
                <w:szCs w:val="20"/>
              </w:rPr>
            </w:pPr>
            <w:r w:rsidRPr="004142EA">
              <w:rPr>
                <w:rFonts w:cs="Arial"/>
                <w:sz w:val="16"/>
                <w:szCs w:val="20"/>
              </w:rPr>
              <w:t>Case series</w:t>
            </w:r>
          </w:p>
        </w:tc>
        <w:tc>
          <w:tcPr>
            <w:tcW w:w="851" w:type="dxa"/>
          </w:tcPr>
          <w:p w14:paraId="58A1C9D0" w14:textId="77777777" w:rsidR="00D837F4" w:rsidRPr="004142EA" w:rsidRDefault="00D837F4" w:rsidP="00D66A20">
            <w:pPr>
              <w:jc w:val="center"/>
              <w:rPr>
                <w:rFonts w:cs="Arial"/>
                <w:sz w:val="16"/>
                <w:szCs w:val="20"/>
              </w:rPr>
            </w:pPr>
            <w:r w:rsidRPr="004142EA">
              <w:rPr>
                <w:rFonts w:cs="Arial"/>
                <w:sz w:val="16"/>
                <w:szCs w:val="20"/>
              </w:rPr>
              <w:t>No</w:t>
            </w:r>
          </w:p>
        </w:tc>
        <w:tc>
          <w:tcPr>
            <w:tcW w:w="850" w:type="dxa"/>
          </w:tcPr>
          <w:p w14:paraId="51C80B13"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025DC1EE" w14:textId="797617D4" w:rsidR="00D837F4" w:rsidRPr="004142EA" w:rsidRDefault="00D837F4" w:rsidP="00D66A20">
            <w:pPr>
              <w:rPr>
                <w:rFonts w:cs="Arial"/>
                <w:sz w:val="16"/>
                <w:szCs w:val="20"/>
                <w:lang w:val="en-US"/>
              </w:rPr>
            </w:pPr>
            <w:r w:rsidRPr="004142EA">
              <w:rPr>
                <w:rFonts w:cs="Arial"/>
                <w:sz w:val="16"/>
                <w:szCs w:val="20"/>
                <w:lang w:val="en-US"/>
              </w:rPr>
              <w:t xml:space="preserve">Retrieved data from 2 national datasets. No information regarding the presence of distant metastases was available. Complete tumor and nodal staging was available for 13% of the specimens. </w:t>
            </w:r>
          </w:p>
          <w:p w14:paraId="61E57BC2" w14:textId="77777777" w:rsidR="00D837F4" w:rsidRPr="004142EA" w:rsidRDefault="00D837F4" w:rsidP="00D66A20">
            <w:pPr>
              <w:rPr>
                <w:rFonts w:cs="Arial"/>
                <w:b/>
                <w:sz w:val="16"/>
                <w:szCs w:val="20"/>
                <w:lang w:val="en-US"/>
              </w:rPr>
            </w:pPr>
            <w:r w:rsidRPr="004142EA">
              <w:rPr>
                <w:rFonts w:cs="Arial"/>
                <w:b/>
                <w:sz w:val="16"/>
                <w:szCs w:val="20"/>
                <w:lang w:val="en-US"/>
              </w:rPr>
              <w:t xml:space="preserve">Medium-high risk  </w:t>
            </w:r>
          </w:p>
        </w:tc>
        <w:tc>
          <w:tcPr>
            <w:tcW w:w="2003" w:type="dxa"/>
            <w:shd w:val="clear" w:color="auto" w:fill="auto"/>
          </w:tcPr>
          <w:p w14:paraId="3BC9B971" w14:textId="77777777" w:rsidR="00D837F4" w:rsidRPr="004142EA" w:rsidRDefault="00D837F4" w:rsidP="00D66A20">
            <w:pPr>
              <w:rPr>
                <w:rFonts w:cs="Arial"/>
                <w:sz w:val="16"/>
                <w:szCs w:val="20"/>
                <w:lang w:val="en-US"/>
              </w:rPr>
            </w:pPr>
            <w:r w:rsidRPr="004142EA">
              <w:rPr>
                <w:rFonts w:cs="Arial"/>
                <w:sz w:val="16"/>
                <w:szCs w:val="20"/>
                <w:lang w:val="en-US"/>
              </w:rPr>
              <w:t xml:space="preserve">For the patients who had staging data available, it was reported using the TNM definition. </w:t>
            </w:r>
          </w:p>
          <w:p w14:paraId="44DBE71D" w14:textId="77777777" w:rsidR="00D837F4" w:rsidRPr="004142EA" w:rsidRDefault="00D837F4" w:rsidP="00D66A20">
            <w:pPr>
              <w:rPr>
                <w:rFonts w:cs="Arial"/>
                <w:b/>
                <w:sz w:val="16"/>
                <w:szCs w:val="20"/>
                <w:lang w:val="en-US"/>
              </w:rPr>
            </w:pPr>
            <w:r w:rsidRPr="004142EA">
              <w:rPr>
                <w:rFonts w:cs="Arial"/>
                <w:b/>
                <w:sz w:val="16"/>
                <w:szCs w:val="20"/>
                <w:lang w:val="en-US"/>
              </w:rPr>
              <w:t xml:space="preserve">Low risk </w:t>
            </w:r>
          </w:p>
        </w:tc>
        <w:tc>
          <w:tcPr>
            <w:tcW w:w="2004" w:type="dxa"/>
          </w:tcPr>
          <w:p w14:paraId="433E0CD1" w14:textId="77777777" w:rsidR="00D837F4" w:rsidRPr="004142EA" w:rsidRDefault="00D837F4" w:rsidP="00D66A20">
            <w:pPr>
              <w:rPr>
                <w:rFonts w:cs="Arial"/>
                <w:sz w:val="16"/>
                <w:szCs w:val="20"/>
                <w:lang w:val="en-US"/>
              </w:rPr>
            </w:pPr>
            <w:r w:rsidRPr="004142EA">
              <w:rPr>
                <w:rFonts w:cs="Arial"/>
                <w:sz w:val="16"/>
                <w:szCs w:val="20"/>
                <w:lang w:val="en-US"/>
              </w:rPr>
              <w:t>ER and PR status reported according to ASCO/CAP guidelines. HER2 status assessed only with IHC, no ISH performed (+3 were considered HER2-positive)</w:t>
            </w:r>
          </w:p>
          <w:p w14:paraId="3E7E7A21" w14:textId="77777777" w:rsidR="00D837F4" w:rsidRPr="004142EA" w:rsidRDefault="00D837F4" w:rsidP="00D66A20">
            <w:pPr>
              <w:rPr>
                <w:rFonts w:cs="Arial"/>
                <w:b/>
                <w:sz w:val="16"/>
                <w:szCs w:val="20"/>
                <w:lang w:val="en-US"/>
              </w:rPr>
            </w:pPr>
            <w:r w:rsidRPr="004142EA">
              <w:rPr>
                <w:rFonts w:cs="Arial"/>
                <w:b/>
                <w:sz w:val="16"/>
                <w:szCs w:val="20"/>
                <w:lang w:val="en-US"/>
              </w:rPr>
              <w:t xml:space="preserve">Medium risk </w:t>
            </w:r>
          </w:p>
        </w:tc>
        <w:tc>
          <w:tcPr>
            <w:tcW w:w="2004" w:type="dxa"/>
            <w:shd w:val="clear" w:color="auto" w:fill="D9D9D9" w:themeFill="background1" w:themeFillShade="D9"/>
          </w:tcPr>
          <w:p w14:paraId="1520136A" w14:textId="77777777" w:rsidR="00D837F4" w:rsidRPr="004142EA" w:rsidRDefault="00D837F4" w:rsidP="00D66A20">
            <w:pPr>
              <w:rPr>
                <w:rFonts w:cs="Arial"/>
                <w:sz w:val="16"/>
                <w:szCs w:val="20"/>
              </w:rPr>
            </w:pPr>
            <w:r w:rsidRPr="004142EA">
              <w:rPr>
                <w:rFonts w:cs="Arial"/>
                <w:sz w:val="16"/>
                <w:szCs w:val="20"/>
                <w:lang w:val="en-US"/>
              </w:rPr>
              <w:t>NA</w:t>
            </w:r>
          </w:p>
        </w:tc>
        <w:tc>
          <w:tcPr>
            <w:tcW w:w="2097" w:type="dxa"/>
            <w:shd w:val="clear" w:color="auto" w:fill="D9D9D9" w:themeFill="background1" w:themeFillShade="D9"/>
          </w:tcPr>
          <w:p w14:paraId="0A9591AB" w14:textId="77777777" w:rsidR="00D837F4" w:rsidRPr="004142EA" w:rsidRDefault="00D837F4" w:rsidP="00D66A20">
            <w:pPr>
              <w:rPr>
                <w:rFonts w:cs="Arial"/>
                <w:sz w:val="16"/>
                <w:szCs w:val="20"/>
              </w:rPr>
            </w:pPr>
            <w:r w:rsidRPr="004142EA">
              <w:rPr>
                <w:rFonts w:cs="Arial"/>
                <w:sz w:val="16"/>
                <w:szCs w:val="20"/>
                <w:lang w:val="en-US"/>
              </w:rPr>
              <w:t>NA</w:t>
            </w:r>
          </w:p>
        </w:tc>
      </w:tr>
      <w:tr w:rsidR="00D837F4" w:rsidRPr="004142EA" w14:paraId="5F63302B" w14:textId="77777777" w:rsidTr="00664E5A">
        <w:trPr>
          <w:cantSplit/>
        </w:trPr>
        <w:tc>
          <w:tcPr>
            <w:tcW w:w="1419" w:type="dxa"/>
          </w:tcPr>
          <w:p w14:paraId="1267E48F" w14:textId="6B9CC6A0" w:rsidR="00D837F4" w:rsidRPr="004142EA" w:rsidRDefault="00D837F4" w:rsidP="005400BB">
            <w:pPr>
              <w:rPr>
                <w:rFonts w:cs="Arial"/>
                <w:sz w:val="16"/>
                <w:szCs w:val="20"/>
                <w:lang w:val="en-US"/>
              </w:rPr>
            </w:pPr>
            <w:r w:rsidRPr="004142EA">
              <w:rPr>
                <w:rFonts w:cs="Arial"/>
                <w:sz w:val="16"/>
                <w:szCs w:val="20"/>
                <w:lang w:val="en-US"/>
              </w:rPr>
              <w:t>Ayeni et al (2019)</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0rt05QfC","properties":{"formattedCitation":"[22]","plainCitation":"[22]","noteIndex":0},"citationItems":[{"id":"XhB0aKvp/nUAfOyeI","uris":["http://zotero.org/users/4481446/items/JFZ8HSCX"],"uri":["http://zotero.org/users/4481446/items/JFZ8HSCX"],"itemData":{"id":5827,"type":"article-journal","title":"The multimorbidity profile of South African women newly diagnosed with breast cancer.","container-title":"International journal of cancer","abstract":"Multimorbidity in women with breast cancer may delay presentation, affect treatment decisions and outcomes. We described the multimorbidity profile of women with breast cancer, its determinants, associations with stage at diagnosis  and treatments received. We collected self-reported data on five chronic conditions (hypertension, diabetes, cerebrovascular diseases, asthma/chronic obstructive pulmonary disease, tuberculosis), determined obesity using body mass  index (BMI) and tested HIV status, in women newly diagnosed with breast cancer between January 2016 and April 2018 in five public hospitals in South Africa. We  identified determinants of &gt;/=2 of the seven above-mentioned conditions (defined  as multimorbidity), multimorbidity itself with stage at diagnosis (advanced [III-IV] vs. early [0-II]) and multimorbidity with treatment modalities received. Among 2,281 women, 1,001 (44%) presented with multimorbidity. Obesity (52.8%), hypertension (41.3%), HIV (22.0%) and diabetes (13.7%) were the chronic conditions that occurred most frequently. Multimorbidity was more common with older age (OR = 1.02; 95% CI 1.01-1.03) and higher household socioeconomic status (HSES) (OR = 1.06; 95% CI 1.00-1.13). Multimorbidity was not associated with advanced-stage breast cancer at diagnosis, but for self-reported hypertension there was less likelihood of being diagnosed with advanced-stage disease in the adjusted model (OR 0.80; 95% CI 0.64-0.98). Multimorbidity was associated with first treatment received in those with early-stage disease, p = 0.003. The prevalence of multimorbidity is high among patients with breast cancer. Our findings suggest that multimorbidity had a significant impact on treatment received in those with early-stage disease. There is need to understand the impact of multimorbidity on breast cancer outcomes.","DOI":"10.1002/ijc.32727","ISSN":"1097-0215 0020-7136","note":"PMID: 31600408","journalAbbreviation":"Int J Cancer","language":"eng","author":[{"family":"Ayeni","given":"Oluwatosin A."},{"family":"Norris","given":"Shane A."},{"family":"Joffe","given":"Maureen"},{"family":"Cubasch","given":"Herbert"},{"family":"Nietz","given":"Sarah"},{"family":"Buccimazza","given":"Ines"},{"family":"Singh","given":"Urishka"},{"family":"Cacala","given":"Sharon"},{"family":"Stopforth","given":"Laura"},{"family":"Chen","given":"Wenlong C."},{"family":"McCormack","given":"Valerie A."},{"family":"O'Neil","given":"Daniel S."},{"family":"Jacobson","given":"Judith S."},{"family":"Neugut","given":"Alfred I."},{"family":"Ruff","given":"Paul"},{"family":"Micklesfield","given":"Lisa K."}],"issued":{"date-parts":[["2019",10,10]]}}}],"schema":"https://github.com/citation-style-language/schema/raw/master/csl-citation.json"}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[22]</w:t>
            </w:r>
            <w:r w:rsidRPr="004142EA">
              <w:rPr>
                <w:rFonts w:cs="Arial"/>
                <w:sz w:val="16"/>
                <w:szCs w:val="20"/>
                <w:lang w:val="en-US"/>
              </w:rPr>
              <w:fldChar w:fldCharType="end"/>
            </w:r>
          </w:p>
        </w:tc>
        <w:tc>
          <w:tcPr>
            <w:tcW w:w="1417" w:type="dxa"/>
          </w:tcPr>
          <w:p w14:paraId="36B8047D" w14:textId="77777777" w:rsidR="00D837F4" w:rsidRPr="004142EA" w:rsidRDefault="00D837F4" w:rsidP="00D66A20">
            <w:pPr>
              <w:rPr>
                <w:rFonts w:cs="Arial"/>
                <w:sz w:val="16"/>
                <w:szCs w:val="20"/>
              </w:rPr>
            </w:pPr>
            <w:r w:rsidRPr="004142EA">
              <w:rPr>
                <w:rFonts w:cs="Arial"/>
                <w:sz w:val="16"/>
                <w:szCs w:val="20"/>
              </w:rPr>
              <w:t>Cohort (SABCHO)</w:t>
            </w:r>
          </w:p>
        </w:tc>
        <w:tc>
          <w:tcPr>
            <w:tcW w:w="851" w:type="dxa"/>
          </w:tcPr>
          <w:p w14:paraId="4C90EE46" w14:textId="77777777" w:rsidR="00D837F4" w:rsidRPr="004142EA" w:rsidRDefault="00D837F4" w:rsidP="00D66A20">
            <w:pPr>
              <w:jc w:val="center"/>
              <w:rPr>
                <w:rFonts w:cs="Arial"/>
                <w:sz w:val="16"/>
                <w:szCs w:val="20"/>
              </w:rPr>
            </w:pPr>
            <w:r w:rsidRPr="004142EA">
              <w:rPr>
                <w:rFonts w:cs="Arial"/>
                <w:sz w:val="16"/>
                <w:szCs w:val="20"/>
              </w:rPr>
              <w:t>Yes</w:t>
            </w:r>
          </w:p>
        </w:tc>
        <w:tc>
          <w:tcPr>
            <w:tcW w:w="850" w:type="dxa"/>
          </w:tcPr>
          <w:p w14:paraId="6F11DC7A" w14:textId="77777777" w:rsidR="00D837F4" w:rsidRPr="004142EA" w:rsidRDefault="00D837F4" w:rsidP="00D66A20">
            <w:pPr>
              <w:jc w:val="center"/>
              <w:rPr>
                <w:rFonts w:cs="Arial"/>
                <w:sz w:val="16"/>
                <w:szCs w:val="20"/>
              </w:rPr>
            </w:pPr>
            <w:r w:rsidRPr="004142EA">
              <w:rPr>
                <w:rFonts w:cs="Arial"/>
                <w:sz w:val="16"/>
                <w:szCs w:val="20"/>
              </w:rPr>
              <w:t>Yes</w:t>
            </w:r>
          </w:p>
        </w:tc>
        <w:tc>
          <w:tcPr>
            <w:tcW w:w="2552" w:type="dxa"/>
          </w:tcPr>
          <w:p w14:paraId="1B44277D" w14:textId="6F20874D" w:rsidR="00D837F4" w:rsidRPr="004142EA" w:rsidRDefault="00D837F4" w:rsidP="00D66A20">
            <w:pPr>
              <w:rPr>
                <w:rFonts w:cs="Arial"/>
                <w:sz w:val="16"/>
                <w:szCs w:val="20"/>
                <w:lang w:val="en-US"/>
              </w:rPr>
            </w:pPr>
            <w:r w:rsidRPr="004142EA">
              <w:rPr>
                <w:rFonts w:cs="Arial"/>
                <w:sz w:val="16"/>
                <w:szCs w:val="20"/>
                <w:lang w:val="en-US"/>
              </w:rPr>
              <w:t xml:space="preserve">Prospective cohort, 5 hospitals from South Africa. Almost all patients had known HIV status (95%). </w:t>
            </w:r>
          </w:p>
          <w:p w14:paraId="20ABA0EE" w14:textId="77777777" w:rsidR="00D837F4" w:rsidRPr="004142EA" w:rsidRDefault="00D837F4" w:rsidP="00D66A20">
            <w:pPr>
              <w:rPr>
                <w:rFonts w:cs="Arial"/>
                <w:b/>
                <w:sz w:val="16"/>
                <w:szCs w:val="20"/>
                <w:lang w:val="en-US"/>
              </w:rPr>
            </w:pPr>
            <w:r w:rsidRPr="004142EA">
              <w:rPr>
                <w:rFonts w:cs="Arial"/>
                <w:b/>
                <w:sz w:val="16"/>
                <w:szCs w:val="20"/>
                <w:lang w:val="en-US"/>
              </w:rPr>
              <w:t xml:space="preserve">Low risk  </w:t>
            </w:r>
          </w:p>
        </w:tc>
        <w:tc>
          <w:tcPr>
            <w:tcW w:w="2003" w:type="dxa"/>
          </w:tcPr>
          <w:p w14:paraId="73499EFA" w14:textId="77777777" w:rsidR="00D837F4" w:rsidRPr="004142EA" w:rsidRDefault="00D837F4" w:rsidP="00D66A20">
            <w:pPr>
              <w:rPr>
                <w:rFonts w:cs="Arial"/>
                <w:sz w:val="16"/>
                <w:szCs w:val="20"/>
                <w:lang w:val="en-US"/>
              </w:rPr>
            </w:pPr>
            <w:r w:rsidRPr="004142EA">
              <w:rPr>
                <w:rFonts w:cs="Arial"/>
                <w:sz w:val="16"/>
                <w:szCs w:val="20"/>
                <w:lang w:val="en-US"/>
              </w:rPr>
              <w:t xml:space="preserve">Authors reported data using the TNM definition. </w:t>
            </w:r>
          </w:p>
          <w:p w14:paraId="6A64D8D3"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4" w:type="dxa"/>
            <w:shd w:val="clear" w:color="auto" w:fill="auto"/>
          </w:tcPr>
          <w:p w14:paraId="39DF082B" w14:textId="7C8C28DC" w:rsidR="00D837F4" w:rsidRPr="004142EA" w:rsidRDefault="00D837F4" w:rsidP="00D66A20">
            <w:pPr>
              <w:rPr>
                <w:rFonts w:cs="Arial"/>
                <w:sz w:val="16"/>
                <w:szCs w:val="20"/>
                <w:lang w:val="en-US"/>
              </w:rPr>
            </w:pPr>
            <w:r w:rsidRPr="004142EA">
              <w:rPr>
                <w:rFonts w:cs="Arial"/>
                <w:sz w:val="16"/>
                <w:szCs w:val="20"/>
                <w:lang w:val="en-US"/>
              </w:rPr>
              <w:t>ER, PR and HER2 status retrieved from medical records</w:t>
            </w:r>
            <w:r w:rsidR="004E761C" w:rsidRPr="004142EA">
              <w:rPr>
                <w:rFonts w:cs="Arial"/>
                <w:sz w:val="16"/>
                <w:szCs w:val="20"/>
                <w:lang w:val="en-US"/>
              </w:rPr>
              <w:t>; they fail to report how this was classified for the study.</w:t>
            </w:r>
          </w:p>
          <w:p w14:paraId="3C493A94" w14:textId="77777777" w:rsidR="00D837F4" w:rsidRPr="004142EA" w:rsidRDefault="00D837F4" w:rsidP="00D66A20">
            <w:pPr>
              <w:rPr>
                <w:rFonts w:cs="Arial"/>
                <w:b/>
                <w:sz w:val="16"/>
                <w:szCs w:val="20"/>
              </w:rPr>
            </w:pPr>
            <w:r w:rsidRPr="004142EA">
              <w:rPr>
                <w:rFonts w:cs="Arial"/>
                <w:b/>
                <w:sz w:val="16"/>
                <w:szCs w:val="20"/>
                <w:lang w:val="en-US"/>
              </w:rPr>
              <w:t xml:space="preserve">Medium-high risk </w:t>
            </w:r>
          </w:p>
        </w:tc>
        <w:tc>
          <w:tcPr>
            <w:tcW w:w="2004" w:type="dxa"/>
            <w:shd w:val="clear" w:color="auto" w:fill="D9D9D9" w:themeFill="background1" w:themeFillShade="D9"/>
          </w:tcPr>
          <w:p w14:paraId="60591B40" w14:textId="77777777" w:rsidR="00D837F4" w:rsidRPr="004142EA" w:rsidRDefault="00D837F4" w:rsidP="00D66A20">
            <w:pPr>
              <w:rPr>
                <w:rFonts w:cs="Arial"/>
                <w:sz w:val="16"/>
                <w:szCs w:val="20"/>
              </w:rPr>
            </w:pPr>
            <w:r w:rsidRPr="004142EA">
              <w:rPr>
                <w:rFonts w:cs="Arial"/>
                <w:sz w:val="16"/>
                <w:szCs w:val="20"/>
                <w:lang w:val="en-US"/>
              </w:rPr>
              <w:t>NA</w:t>
            </w:r>
          </w:p>
        </w:tc>
        <w:tc>
          <w:tcPr>
            <w:tcW w:w="2097" w:type="dxa"/>
            <w:shd w:val="clear" w:color="auto" w:fill="D9D9D9" w:themeFill="background1" w:themeFillShade="D9"/>
          </w:tcPr>
          <w:p w14:paraId="55775E22" w14:textId="77777777" w:rsidR="00D837F4" w:rsidRPr="004142EA" w:rsidRDefault="00D837F4" w:rsidP="00D66A20">
            <w:pPr>
              <w:rPr>
                <w:rFonts w:cs="Arial"/>
                <w:sz w:val="16"/>
                <w:szCs w:val="20"/>
              </w:rPr>
            </w:pPr>
            <w:r w:rsidRPr="004142EA">
              <w:rPr>
                <w:rFonts w:cs="Arial"/>
                <w:sz w:val="16"/>
                <w:szCs w:val="20"/>
                <w:lang w:val="en-US"/>
              </w:rPr>
              <w:t>NA</w:t>
            </w:r>
          </w:p>
        </w:tc>
      </w:tr>
      <w:tr w:rsidR="00D837F4" w:rsidRPr="004142EA" w14:paraId="2ACC45B6" w14:textId="77777777" w:rsidTr="00196042">
        <w:trPr>
          <w:cantSplit/>
        </w:trPr>
        <w:tc>
          <w:tcPr>
            <w:tcW w:w="1419" w:type="dxa"/>
          </w:tcPr>
          <w:p w14:paraId="7B3BB816" w14:textId="787CCF00" w:rsidR="00D837F4" w:rsidRPr="004142EA" w:rsidRDefault="00D837F4" w:rsidP="005400BB">
            <w:pPr>
              <w:rPr>
                <w:rFonts w:cs="Arial"/>
                <w:sz w:val="16"/>
                <w:szCs w:val="20"/>
                <w:lang w:val="en-US"/>
              </w:rPr>
            </w:pPr>
            <w:r w:rsidRPr="004142EA">
              <w:rPr>
                <w:rFonts w:cs="Arial"/>
                <w:sz w:val="16"/>
                <w:szCs w:val="20"/>
                <w:lang w:val="en-US"/>
              </w:rPr>
              <w:t>Coghill et al (2019)</w:t>
            </w:r>
            <w:r w:rsidR="0064139E">
              <w:rPr>
                <w:rFonts w:cs="Arial"/>
                <w:sz w:val="16"/>
                <w:szCs w:val="20"/>
                <w:lang w:val="en-US"/>
              </w:rPr>
              <w:t xml:space="preserve"> </w:t>
            </w:r>
            <w:r w:rsidRPr="004142EA">
              <w:rPr>
                <w:rFonts w:cs="Arial"/>
                <w:sz w:val="16"/>
                <w:szCs w:val="20"/>
                <w:lang w:val="en-US"/>
              </w:rPr>
              <w:fldChar w:fldCharType="begin"/>
            </w:r>
            <w:r w:rsidR="0064139E">
              <w:rPr>
                <w:rFonts w:cs="Arial"/>
                <w:sz w:val="16"/>
                <w:szCs w:val="20"/>
                <w:lang w:val="en-US"/>
              </w:rPr>
              <w:instrText xml:space="preserve"> ADDIN ZOTERO_ITEM CSL_CITATION {"citationID":"HDwuhinK","properties":{"formattedCitation":"[23]","plainCitation":"[23]","noteIndex":0},"citationItems":[{"id":"XhB0aKvp/mxc8fejx","uris":["http://zotero.org/users/4481446/items/KULGMNH2"],"uri":["http://zotero.org/users/4481446/items/KULGMNH2"],"itemData":{"id":5914,"type":"article-journal","title":"Advanced stage at diagnosis and elevated mortality among US patients with cancer  infected with HIV in the National Cancer Data Base.","container-title":"Cancer","page":"2868-2876","volume":"125","issue":"16","abstract":"BACKGROUND: People living with HIV (PLWH) are at an increased risk of developing  several cancers, but to the authors' knowledge less is known regarding how HIV impacts the rate of progression to advanced cancer or death. METHODS: The authors compared stage of disease at the time of presentation and mortality after diagnosis between 14,453 PLWH and 6,368,126 HIV-uninfected patients diagnosed with cancers of the oral cavity, stomach, colorectum, anus, liver, pancreas, lung, female breast, cervix, prostate, bladder, kidney, and thyroid and melanoma  using data from the National Cancer Data Base (2004-2014). Polytomous logistic regression and Cox proportional hazards regression were used to evaluate the association between HIV, cancer stage, and stage-adjusted mortality after diagnosis, respectively. Regression models accounted for the type of health facility at which cancer treatment was administered and the type of individual health insurance. RESULTS: HIV-infected patients with cancer were found to be more likely to be uninsured (HIV-infected: 5.0% vs HIV-uninfected: 3.3%; P &lt; .0001) and were less likely to have private health insurance (25.4% vs 44.7%; P &lt; .0001). Compared with those not infected with HIV, the odds of being diagnosed at an advanced stage of disease were significantly elevated in PLWH for melanoma and cancers of the oral cavity, liver, female breast, prostate, and thyroid (odds ratio for stage IV vs stage I range, 1.24-2.06). PLWH who were diagnosed with stage I to stage III disease experienced elevated mortality after diagnosis across 13 of the 14 cancer sites evaluated, with hazard ratios ranging from 1.20  (95% CI, 1.14-1.26) for lung cancer to 1.85 (95% CI, 1.68-2.04), 1.85 (95% CI, 1.51-2.27), and 2.93 (95% CI, 2.08-4.13), respectively, for cancers of the female breast, cervix, and thyroid. CONCLUSIONS: PLWH were more likely to be diagnosed with advanced-stage cancers and to experience elevated mortality after a cancer diagnosis, even after accounting for health care-related factors.","DOI":"10.1002/cncr.32158","ISSN":"1097-0142 0008-543X","note":"PMID: 31050361 \nPMCID: PMC6663596","journalAbbreviation":"Cancer","language":"eng","author":[{"family":"Coghill","given":"Anna E."},{"family":"Han","given":"Xuesong"},{"family":"Suneja","given":"Gita"},{"family":"Lin","given":"Chun Chieh"},{"family":"Jemal","given":"Ahmedin"},{"family":"Shiels","given":"Meredith S."}],"issued":{"date-parts":[["2019",8,15]]}}}],"schema":"https://github.com/citation-style-language/schema/raw/master/csl-citation.json"} </w:instrText>
            </w:r>
            <w:r w:rsidRPr="004142EA">
              <w:rPr>
                <w:rFonts w:cs="Arial"/>
                <w:sz w:val="16"/>
                <w:szCs w:val="20"/>
                <w:lang w:val="en-US"/>
              </w:rPr>
              <w:fldChar w:fldCharType="separate"/>
            </w:r>
            <w:r w:rsidR="0064139E" w:rsidRPr="0064139E">
              <w:rPr>
                <w:rFonts w:ascii="Calibri" w:hAnsi="Calibri"/>
                <w:sz w:val="16"/>
              </w:rPr>
              <w:t>[23]</w:t>
            </w:r>
            <w:r w:rsidRPr="004142EA">
              <w:rPr>
                <w:rFonts w:cs="Arial"/>
                <w:sz w:val="16"/>
                <w:szCs w:val="20"/>
                <w:lang w:val="en-US"/>
              </w:rPr>
              <w:fldChar w:fldCharType="end"/>
            </w:r>
          </w:p>
        </w:tc>
        <w:tc>
          <w:tcPr>
            <w:tcW w:w="1417" w:type="dxa"/>
          </w:tcPr>
          <w:p w14:paraId="3D12155C" w14:textId="77777777" w:rsidR="00D837F4" w:rsidRPr="004142EA" w:rsidRDefault="00D837F4" w:rsidP="00D66A20">
            <w:pPr>
              <w:rPr>
                <w:rFonts w:cs="Arial"/>
                <w:sz w:val="16"/>
                <w:szCs w:val="20"/>
              </w:rPr>
            </w:pPr>
            <w:r w:rsidRPr="004142EA">
              <w:rPr>
                <w:rFonts w:cs="Arial"/>
                <w:sz w:val="16"/>
                <w:szCs w:val="20"/>
              </w:rPr>
              <w:t>Cancer registry (NCDB)</w:t>
            </w:r>
          </w:p>
        </w:tc>
        <w:tc>
          <w:tcPr>
            <w:tcW w:w="851" w:type="dxa"/>
          </w:tcPr>
          <w:p w14:paraId="79CA3D84" w14:textId="77777777" w:rsidR="00D837F4" w:rsidRPr="004142EA" w:rsidRDefault="00D837F4" w:rsidP="00D66A20">
            <w:pPr>
              <w:jc w:val="center"/>
              <w:rPr>
                <w:rFonts w:cs="Arial"/>
                <w:sz w:val="16"/>
                <w:szCs w:val="20"/>
              </w:rPr>
            </w:pPr>
            <w:r w:rsidRPr="004142EA">
              <w:rPr>
                <w:rFonts w:cs="Arial"/>
                <w:sz w:val="16"/>
                <w:szCs w:val="20"/>
              </w:rPr>
              <w:t>No</w:t>
            </w:r>
          </w:p>
        </w:tc>
        <w:tc>
          <w:tcPr>
            <w:tcW w:w="850" w:type="dxa"/>
          </w:tcPr>
          <w:p w14:paraId="5EA6DBA6" w14:textId="77777777" w:rsidR="00D837F4" w:rsidRPr="004142EA" w:rsidRDefault="00D837F4" w:rsidP="00D66A20">
            <w:pPr>
              <w:jc w:val="center"/>
              <w:rPr>
                <w:rFonts w:cs="Arial"/>
                <w:sz w:val="16"/>
                <w:szCs w:val="20"/>
              </w:rPr>
            </w:pPr>
            <w:r w:rsidRPr="004142EA">
              <w:rPr>
                <w:rFonts w:cs="Arial"/>
                <w:sz w:val="16"/>
                <w:szCs w:val="20"/>
              </w:rPr>
              <w:t>No</w:t>
            </w:r>
          </w:p>
        </w:tc>
        <w:tc>
          <w:tcPr>
            <w:tcW w:w="2552" w:type="dxa"/>
          </w:tcPr>
          <w:p w14:paraId="42456252" w14:textId="7B158E85" w:rsidR="00D837F4" w:rsidRPr="004142EA" w:rsidRDefault="00D837F4" w:rsidP="00D66A20">
            <w:pPr>
              <w:rPr>
                <w:rFonts w:cs="Arial"/>
                <w:sz w:val="16"/>
                <w:szCs w:val="20"/>
                <w:lang w:val="en-US"/>
              </w:rPr>
            </w:pPr>
            <w:r w:rsidRPr="004142EA">
              <w:rPr>
                <w:rFonts w:cs="Arial"/>
                <w:sz w:val="16"/>
                <w:szCs w:val="20"/>
                <w:lang w:val="en-US"/>
              </w:rPr>
              <w:t>Data was retrieved from a National database. HIV testing was not performed routinely in all of these patients (but the prevalence of HIV in the country where the study was conducted is &lt;0</w:t>
            </w:r>
            <w:r w:rsidR="00DB6E75" w:rsidRPr="004142EA">
              <w:rPr>
                <w:rFonts w:cs="Arial"/>
                <w:sz w:val="16"/>
                <w:szCs w:val="20"/>
                <w:lang w:val="en-US"/>
              </w:rPr>
              <w:t>.</w:t>
            </w:r>
            <w:r w:rsidRPr="004142EA">
              <w:rPr>
                <w:rFonts w:cs="Arial"/>
                <w:sz w:val="16"/>
                <w:szCs w:val="20"/>
                <w:lang w:val="en-US"/>
              </w:rPr>
              <w:t xml:space="preserve">5%).   </w:t>
            </w:r>
          </w:p>
          <w:p w14:paraId="7AD9B6A8" w14:textId="77777777" w:rsidR="00D837F4" w:rsidRPr="004142EA" w:rsidRDefault="00D837F4" w:rsidP="00D66A20">
            <w:pPr>
              <w:rPr>
                <w:rFonts w:cs="Arial"/>
                <w:b/>
                <w:sz w:val="16"/>
                <w:szCs w:val="20"/>
                <w:lang w:val="en-US"/>
              </w:rPr>
            </w:pPr>
            <w:r w:rsidRPr="004142EA">
              <w:rPr>
                <w:rFonts w:cs="Arial"/>
                <w:b/>
                <w:sz w:val="16"/>
                <w:szCs w:val="20"/>
                <w:lang w:val="en-US"/>
              </w:rPr>
              <w:t xml:space="preserve">Low-medium risk </w:t>
            </w:r>
          </w:p>
        </w:tc>
        <w:tc>
          <w:tcPr>
            <w:tcW w:w="2003" w:type="dxa"/>
          </w:tcPr>
          <w:p w14:paraId="0D414731" w14:textId="77777777" w:rsidR="00D837F4" w:rsidRPr="004142EA" w:rsidRDefault="00D837F4" w:rsidP="00D66A20">
            <w:pPr>
              <w:rPr>
                <w:rFonts w:cs="Arial"/>
                <w:sz w:val="16"/>
                <w:szCs w:val="20"/>
                <w:lang w:val="en-US"/>
              </w:rPr>
            </w:pPr>
            <w:r w:rsidRPr="004142EA">
              <w:rPr>
                <w:rFonts w:cs="Arial"/>
                <w:sz w:val="16"/>
                <w:szCs w:val="20"/>
                <w:lang w:val="en-US"/>
              </w:rPr>
              <w:t xml:space="preserve">Authors reported data using the TNM definition. </w:t>
            </w:r>
          </w:p>
          <w:p w14:paraId="1C54D588" w14:textId="77777777" w:rsidR="00D837F4" w:rsidRPr="004142EA" w:rsidRDefault="00D837F4" w:rsidP="00D66A20">
            <w:pPr>
              <w:rPr>
                <w:rFonts w:cs="Arial"/>
                <w:sz w:val="16"/>
                <w:szCs w:val="20"/>
                <w:lang w:val="en-US"/>
              </w:rPr>
            </w:pPr>
            <w:r w:rsidRPr="004142EA">
              <w:rPr>
                <w:rFonts w:cs="Arial"/>
                <w:b/>
                <w:sz w:val="16"/>
                <w:szCs w:val="20"/>
                <w:lang w:val="en-US"/>
              </w:rPr>
              <w:t>Low risk</w:t>
            </w:r>
          </w:p>
        </w:tc>
        <w:tc>
          <w:tcPr>
            <w:tcW w:w="2004" w:type="dxa"/>
            <w:shd w:val="clear" w:color="auto" w:fill="D9D9D9" w:themeFill="background1" w:themeFillShade="D9"/>
          </w:tcPr>
          <w:p w14:paraId="7D9074C1" w14:textId="77777777" w:rsidR="00D837F4" w:rsidRPr="004142EA" w:rsidRDefault="00D837F4" w:rsidP="00D66A20">
            <w:pPr>
              <w:rPr>
                <w:rFonts w:cs="Arial"/>
                <w:sz w:val="16"/>
                <w:szCs w:val="20"/>
                <w:lang w:val="en-US"/>
              </w:rPr>
            </w:pPr>
            <w:r w:rsidRPr="004142EA">
              <w:rPr>
                <w:rFonts w:cs="Arial"/>
                <w:sz w:val="16"/>
                <w:szCs w:val="20"/>
                <w:lang w:val="en-US"/>
              </w:rPr>
              <w:t>NA</w:t>
            </w:r>
          </w:p>
        </w:tc>
        <w:tc>
          <w:tcPr>
            <w:tcW w:w="2004" w:type="dxa"/>
            <w:shd w:val="clear" w:color="auto" w:fill="D9D9D9" w:themeFill="background1" w:themeFillShade="D9"/>
          </w:tcPr>
          <w:p w14:paraId="29DC12B7" w14:textId="0785BD44" w:rsidR="00D837F4" w:rsidRPr="004142EA" w:rsidRDefault="00196042" w:rsidP="00D66A20">
            <w:pPr>
              <w:rPr>
                <w:rFonts w:cs="Arial"/>
                <w:sz w:val="16"/>
                <w:szCs w:val="20"/>
                <w:lang w:val="en-US"/>
              </w:rPr>
            </w:pPr>
            <w:r w:rsidRPr="004142EA">
              <w:rPr>
                <w:rFonts w:cs="Arial"/>
                <w:sz w:val="16"/>
                <w:szCs w:val="20"/>
                <w:lang w:val="en-US"/>
              </w:rPr>
              <w:t>NA</w:t>
            </w:r>
          </w:p>
        </w:tc>
        <w:tc>
          <w:tcPr>
            <w:tcW w:w="2097" w:type="dxa"/>
          </w:tcPr>
          <w:p w14:paraId="7AC6C108" w14:textId="77777777" w:rsidR="00D837F4" w:rsidRPr="004142EA" w:rsidRDefault="00D837F4" w:rsidP="00D66A20">
            <w:pPr>
              <w:rPr>
                <w:rFonts w:cs="Arial"/>
                <w:sz w:val="16"/>
                <w:szCs w:val="20"/>
                <w:lang w:val="en-US"/>
              </w:rPr>
            </w:pPr>
            <w:r w:rsidRPr="004142EA">
              <w:rPr>
                <w:rFonts w:cs="Arial"/>
                <w:sz w:val="16"/>
                <w:szCs w:val="20"/>
                <w:lang w:val="en-US"/>
              </w:rPr>
              <w:t xml:space="preserve">Yes: for age, sex, race, stage, year of cancer diagnosis, median household income (by zip code), treatment, type of individual health insurance and treating cancer facility. </w:t>
            </w:r>
          </w:p>
          <w:p w14:paraId="35E845D8" w14:textId="77777777" w:rsidR="00D837F4" w:rsidRPr="004142EA" w:rsidRDefault="00D837F4" w:rsidP="00D66A20">
            <w:pPr>
              <w:rPr>
                <w:rFonts w:cs="Arial"/>
                <w:sz w:val="16"/>
                <w:szCs w:val="20"/>
                <w:lang w:val="en-US"/>
              </w:rPr>
            </w:pPr>
            <w:r w:rsidRPr="004142EA">
              <w:rPr>
                <w:rFonts w:cs="Arial"/>
                <w:b/>
                <w:sz w:val="16"/>
                <w:szCs w:val="20"/>
                <w:lang w:val="en-US"/>
              </w:rPr>
              <w:t>Low risk</w:t>
            </w:r>
          </w:p>
        </w:tc>
      </w:tr>
    </w:tbl>
    <w:p w14:paraId="799B3393" w14:textId="77777777" w:rsidR="006C76AB" w:rsidRPr="00BF210F" w:rsidRDefault="006C76AB" w:rsidP="00D66A20">
      <w:pPr>
        <w:rPr>
          <w:rFonts w:cs="Arial"/>
        </w:rPr>
      </w:pPr>
    </w:p>
    <w:p w14:paraId="52169426" w14:textId="77777777" w:rsidR="00D837F4" w:rsidRPr="00BF210F" w:rsidRDefault="00D837F4" w:rsidP="00D66A20">
      <w:pPr>
        <w:rPr>
          <w:rFonts w:cs="Arial"/>
          <w:color w:val="0070C0"/>
          <w:sz w:val="16"/>
          <w:szCs w:val="16"/>
          <w:lang w:val="en-US"/>
        </w:rPr>
      </w:pPr>
      <w:r w:rsidRPr="00BF210F">
        <w:rPr>
          <w:rFonts w:cs="Arial"/>
          <w:sz w:val="16"/>
          <w:szCs w:val="16"/>
          <w:lang w:val="en-US"/>
        </w:rPr>
        <w:t>ABC-DO=African Breast Cancer - Disparities in Outcomes study. ASCO/CAP=American Society of Clinical Oncology / College of American Pathologists. BC=breast cancer. ER=estrogen receptor. HACM=HIV/AIDS Cancer Match study.</w:t>
      </w:r>
      <w:r w:rsidRPr="00BF210F">
        <w:rPr>
          <w:rFonts w:cs="Arial"/>
          <w:color w:val="0070C0"/>
          <w:sz w:val="16"/>
          <w:szCs w:val="16"/>
          <w:lang w:val="en-US"/>
        </w:rPr>
        <w:t xml:space="preserve"> </w:t>
      </w:r>
      <w:r w:rsidRPr="00BF210F">
        <w:rPr>
          <w:rFonts w:cs="Arial"/>
          <w:sz w:val="16"/>
          <w:szCs w:val="16"/>
        </w:rPr>
        <w:t>NCDB=National Cancer Database. NA=not applicable (variable not evaluated in the study). SABCHO=</w:t>
      </w:r>
      <w:r w:rsidRPr="00BF210F">
        <w:rPr>
          <w:rFonts w:cs="Arial"/>
          <w:sz w:val="16"/>
          <w:szCs w:val="16"/>
          <w:lang w:val="en-US"/>
        </w:rPr>
        <w:t>South African Breast Cancer and HIV Outcomes Study. SEER=</w:t>
      </w:r>
      <w:r w:rsidRPr="00BF210F">
        <w:rPr>
          <w:rFonts w:cs="Arial"/>
          <w:sz w:val="16"/>
          <w:szCs w:val="16"/>
        </w:rPr>
        <w:t xml:space="preserve"> </w:t>
      </w:r>
      <w:r w:rsidRPr="00BF210F">
        <w:rPr>
          <w:rFonts w:cs="Arial"/>
          <w:sz w:val="16"/>
          <w:szCs w:val="16"/>
          <w:lang w:val="en-US"/>
        </w:rPr>
        <w:t>Surveillance, Epidemiology, and End Results Program</w:t>
      </w:r>
      <w:r w:rsidRPr="00BF210F">
        <w:rPr>
          <w:rFonts w:cs="Arial"/>
          <w:color w:val="0070C0"/>
          <w:sz w:val="16"/>
          <w:szCs w:val="16"/>
          <w:lang w:val="en-US"/>
        </w:rPr>
        <w:t>.</w:t>
      </w:r>
    </w:p>
    <w:p w14:paraId="473E587C" w14:textId="77777777" w:rsidR="006C76AB" w:rsidRPr="00BF210F" w:rsidRDefault="006C76AB" w:rsidP="00D66A20">
      <w:pPr>
        <w:rPr>
          <w:rFonts w:cs="Arial"/>
          <w:u w:val="single"/>
          <w:lang w:val="en-US"/>
        </w:rPr>
      </w:pPr>
    </w:p>
    <w:p w14:paraId="3DD56F5A" w14:textId="77777777" w:rsidR="006C76AB" w:rsidRPr="00BF210F" w:rsidRDefault="006C76AB" w:rsidP="00D66A20">
      <w:pPr>
        <w:rPr>
          <w:rFonts w:cs="Arial"/>
          <w:u w:val="single"/>
          <w:lang w:val="en-US"/>
        </w:rPr>
      </w:pPr>
      <w:r w:rsidRPr="00BF210F">
        <w:rPr>
          <w:rFonts w:cs="Arial"/>
          <w:u w:val="single"/>
          <w:lang w:val="en-US"/>
        </w:rPr>
        <w:br w:type="page"/>
      </w:r>
    </w:p>
    <w:p w14:paraId="401DB586" w14:textId="77777777" w:rsidR="00D837F4" w:rsidRPr="00BF210F" w:rsidRDefault="00D837F4" w:rsidP="00D66A20">
      <w:pPr>
        <w:rPr>
          <w:rFonts w:cs="Arial"/>
          <w:u w:val="single"/>
          <w:lang w:val="en-US"/>
        </w:rPr>
        <w:sectPr w:rsidR="00D837F4" w:rsidRPr="00BF210F" w:rsidSect="006C76AB">
          <w:pgSz w:w="16838" w:h="11906" w:orient="landscape"/>
          <w:pgMar w:top="1134" w:right="1134" w:bottom="1134" w:left="1134" w:header="567" w:footer="567" w:gutter="0"/>
          <w:cols w:space="708"/>
          <w:docGrid w:linePitch="360"/>
        </w:sectPr>
      </w:pPr>
    </w:p>
    <w:p w14:paraId="359FDF36" w14:textId="62AB2D34" w:rsidR="00EA43C5" w:rsidRPr="00BF210F" w:rsidRDefault="00BF210F" w:rsidP="00D66A20">
      <w:pPr>
        <w:rPr>
          <w:rFonts w:cs="Arial"/>
          <w:b/>
          <w:sz w:val="24"/>
          <w:szCs w:val="24"/>
          <w:lang w:val="en-US"/>
        </w:rPr>
      </w:pPr>
      <w:r>
        <w:rPr>
          <w:rFonts w:cs="Arial"/>
          <w:b/>
          <w:sz w:val="24"/>
          <w:szCs w:val="24"/>
          <w:lang w:val="en-US"/>
        </w:rPr>
        <w:lastRenderedPageBreak/>
        <w:t xml:space="preserve">Supplementary </w:t>
      </w:r>
      <w:r w:rsidR="00EA43C5" w:rsidRPr="00BF210F">
        <w:rPr>
          <w:rFonts w:cs="Arial"/>
          <w:b/>
          <w:sz w:val="24"/>
          <w:szCs w:val="24"/>
          <w:lang w:val="en-US"/>
        </w:rPr>
        <w:t>Figure 1</w:t>
      </w:r>
      <w:r w:rsidR="0062595D" w:rsidRPr="00BF210F">
        <w:rPr>
          <w:rFonts w:cs="Arial"/>
          <w:b/>
          <w:sz w:val="24"/>
          <w:szCs w:val="24"/>
          <w:lang w:val="en-US"/>
        </w:rPr>
        <w:t xml:space="preserve"> –</w:t>
      </w:r>
      <w:r w:rsidR="0024216B" w:rsidRPr="00BF210F">
        <w:rPr>
          <w:rFonts w:cs="Arial"/>
          <w:b/>
          <w:sz w:val="24"/>
          <w:szCs w:val="24"/>
          <w:lang w:val="en-US"/>
        </w:rPr>
        <w:t xml:space="preserve"> </w:t>
      </w:r>
      <w:r w:rsidR="00EA43C5" w:rsidRPr="00BF210F">
        <w:rPr>
          <w:rFonts w:cs="Arial"/>
          <w:b/>
          <w:sz w:val="24"/>
          <w:szCs w:val="24"/>
          <w:lang w:val="en-US"/>
        </w:rPr>
        <w:t>Funnel plot of publication bias among studies evaluating</w:t>
      </w:r>
      <w:r w:rsidR="00D83992" w:rsidRPr="00BF210F">
        <w:rPr>
          <w:rFonts w:cs="Arial"/>
          <w:b/>
          <w:sz w:val="24"/>
          <w:szCs w:val="24"/>
          <w:lang w:val="en-US"/>
        </w:rPr>
        <w:t xml:space="preserve"> the </w:t>
      </w:r>
      <w:r w:rsidR="0024216B" w:rsidRPr="00BF210F">
        <w:rPr>
          <w:rFonts w:cs="Arial"/>
          <w:b/>
          <w:sz w:val="24"/>
          <w:szCs w:val="24"/>
          <w:lang w:val="en-US"/>
        </w:rPr>
        <w:t xml:space="preserve">likelihood of presenting with </w:t>
      </w:r>
      <w:r w:rsidR="00D83992" w:rsidRPr="00BF210F">
        <w:rPr>
          <w:rFonts w:cs="Arial"/>
          <w:b/>
          <w:sz w:val="24"/>
          <w:szCs w:val="24"/>
          <w:lang w:val="en-US"/>
        </w:rPr>
        <w:t>locally advanced/metastatic</w:t>
      </w:r>
      <w:r w:rsidR="00EA43C5" w:rsidRPr="00BF210F">
        <w:rPr>
          <w:rFonts w:cs="Arial"/>
          <w:b/>
          <w:sz w:val="24"/>
          <w:szCs w:val="24"/>
          <w:lang w:val="en-US"/>
        </w:rPr>
        <w:t xml:space="preserve"> stage </w:t>
      </w:r>
      <w:r w:rsidR="00F44D48" w:rsidRPr="00BF210F">
        <w:rPr>
          <w:rFonts w:cs="Arial"/>
          <w:b/>
          <w:sz w:val="24"/>
          <w:szCs w:val="24"/>
          <w:lang w:val="en-US"/>
        </w:rPr>
        <w:t xml:space="preserve">(III/IV) </w:t>
      </w:r>
      <w:r w:rsidR="00EA43C5" w:rsidRPr="00BF210F">
        <w:rPr>
          <w:rFonts w:cs="Arial"/>
          <w:b/>
          <w:sz w:val="24"/>
          <w:szCs w:val="24"/>
          <w:lang w:val="en-US"/>
        </w:rPr>
        <w:t xml:space="preserve">at diagnosis </w:t>
      </w:r>
      <w:r w:rsidR="00C25E84" w:rsidRPr="00BF210F">
        <w:rPr>
          <w:rFonts w:cs="Arial"/>
          <w:b/>
          <w:sz w:val="24"/>
          <w:szCs w:val="24"/>
          <w:lang w:val="en-US"/>
        </w:rPr>
        <w:t xml:space="preserve">among </w:t>
      </w:r>
      <w:r w:rsidR="009258FF">
        <w:rPr>
          <w:rFonts w:cs="Arial"/>
          <w:b/>
          <w:sz w:val="24"/>
          <w:szCs w:val="24"/>
          <w:lang w:val="en-US"/>
        </w:rPr>
        <w:t>WLWH</w:t>
      </w:r>
      <w:r w:rsidR="00C25E84"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EA43C5" w:rsidRPr="00BF210F">
        <w:rPr>
          <w:rFonts w:cs="Arial"/>
          <w:b/>
          <w:sz w:val="24"/>
          <w:szCs w:val="24"/>
          <w:lang w:val="en-US"/>
        </w:rPr>
        <w:t>.</w:t>
      </w:r>
    </w:p>
    <w:p w14:paraId="5142DA3B" w14:textId="77777777" w:rsidR="00EA43C5" w:rsidRPr="00BF210F" w:rsidRDefault="00EA43C5" w:rsidP="00D66A20">
      <w:pPr>
        <w:jc w:val="center"/>
        <w:rPr>
          <w:rFonts w:cs="Arial"/>
        </w:rPr>
      </w:pPr>
      <w:r w:rsidRPr="00BF210F">
        <w:rPr>
          <w:rFonts w:cs="Arial"/>
          <w:noProof/>
          <w:lang w:val="pt-PT" w:eastAsia="pt-PT"/>
        </w:rPr>
        <w:drawing>
          <wp:inline distT="0" distB="0" distL="0" distR="0" wp14:anchorId="0261926D" wp14:editId="743B061C">
            <wp:extent cx="5114925" cy="37433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CBAEB71" w14:textId="77777777" w:rsidR="00EA43C5" w:rsidRPr="00BF210F" w:rsidRDefault="00EA43C5" w:rsidP="00D66A20">
      <w:pPr>
        <w:rPr>
          <w:rFonts w:cs="Arial"/>
          <w:sz w:val="16"/>
          <w:szCs w:val="16"/>
        </w:rPr>
      </w:pPr>
      <w:r w:rsidRPr="00BF210F">
        <w:rPr>
          <w:rFonts w:cs="Arial"/>
          <w:sz w:val="16"/>
          <w:szCs w:val="16"/>
        </w:rPr>
        <w:t>Egger’s test: p=0</w:t>
      </w:r>
      <w:r w:rsidR="00C25E84" w:rsidRPr="00BF210F">
        <w:rPr>
          <w:rFonts w:cs="Arial"/>
          <w:sz w:val="16"/>
          <w:szCs w:val="16"/>
        </w:rPr>
        <w:t>.</w:t>
      </w:r>
      <w:r w:rsidRPr="00BF210F">
        <w:rPr>
          <w:rFonts w:cs="Arial"/>
          <w:sz w:val="16"/>
          <w:szCs w:val="16"/>
        </w:rPr>
        <w:t>543</w:t>
      </w:r>
    </w:p>
    <w:p w14:paraId="79E71800" w14:textId="1B6BFA67" w:rsidR="00EA43C5" w:rsidRPr="00BF210F" w:rsidRDefault="00EA43C5" w:rsidP="00D66A20">
      <w:pPr>
        <w:rPr>
          <w:rFonts w:cs="Arial"/>
        </w:rPr>
      </w:pPr>
    </w:p>
    <w:p w14:paraId="3190C2EB" w14:textId="696B8C74" w:rsidR="00EA43C5" w:rsidRPr="00BF210F" w:rsidRDefault="00BF210F" w:rsidP="00D66A20">
      <w:pPr>
        <w:rPr>
          <w:rFonts w:cs="Arial"/>
          <w:b/>
          <w:sz w:val="24"/>
          <w:szCs w:val="24"/>
          <w:lang w:val="en-US"/>
        </w:rPr>
      </w:pPr>
      <w:r>
        <w:rPr>
          <w:rFonts w:cs="Arial"/>
          <w:b/>
          <w:sz w:val="24"/>
          <w:szCs w:val="24"/>
          <w:lang w:val="en-US"/>
        </w:rPr>
        <w:t xml:space="preserve">Supplementary </w:t>
      </w:r>
      <w:r w:rsidR="00347453" w:rsidRPr="00BF210F">
        <w:rPr>
          <w:rFonts w:cs="Arial"/>
          <w:b/>
          <w:sz w:val="24"/>
          <w:szCs w:val="24"/>
          <w:lang w:val="en-US"/>
        </w:rPr>
        <w:t>Figure 2</w:t>
      </w:r>
      <w:r w:rsidR="0062595D" w:rsidRPr="00BF210F">
        <w:rPr>
          <w:rFonts w:cs="Arial"/>
          <w:b/>
          <w:sz w:val="24"/>
          <w:szCs w:val="24"/>
          <w:lang w:val="en-US"/>
        </w:rPr>
        <w:t xml:space="preserve"> –</w:t>
      </w:r>
      <w:r w:rsidR="00EA43C5" w:rsidRPr="00BF210F">
        <w:rPr>
          <w:rFonts w:cs="Arial"/>
          <w:b/>
          <w:sz w:val="24"/>
          <w:szCs w:val="24"/>
          <w:lang w:val="en-US"/>
        </w:rPr>
        <w:t xml:space="preserve"> Funnel plot of publication bias among studies evaluating </w:t>
      </w:r>
      <w:r w:rsidR="0024216B" w:rsidRPr="00BF210F">
        <w:rPr>
          <w:rFonts w:cs="Arial"/>
          <w:b/>
          <w:sz w:val="24"/>
          <w:szCs w:val="24"/>
          <w:lang w:val="en-US"/>
        </w:rPr>
        <w:t>the likelihood of presenting with</w:t>
      </w:r>
      <w:r w:rsidR="00EA43C5" w:rsidRPr="00BF210F">
        <w:rPr>
          <w:rFonts w:cs="Arial"/>
          <w:b/>
          <w:sz w:val="24"/>
          <w:szCs w:val="24"/>
          <w:lang w:val="en-US"/>
        </w:rPr>
        <w:t xml:space="preserve"> ER-positive/HER2-negative subtype </w:t>
      </w:r>
      <w:r w:rsidR="00C25E84"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EA43C5" w:rsidRPr="00BF210F">
        <w:rPr>
          <w:rFonts w:cs="Arial"/>
          <w:b/>
          <w:sz w:val="24"/>
          <w:szCs w:val="24"/>
          <w:lang w:val="en-US"/>
        </w:rPr>
        <w:t>.</w:t>
      </w:r>
    </w:p>
    <w:p w14:paraId="19928239" w14:textId="77777777" w:rsidR="00EA43C5" w:rsidRPr="00BF210F" w:rsidRDefault="00EA43C5" w:rsidP="00D66A20">
      <w:pPr>
        <w:jc w:val="center"/>
        <w:rPr>
          <w:rFonts w:cs="Arial"/>
          <w:lang w:val="en-US"/>
        </w:rPr>
      </w:pPr>
      <w:r w:rsidRPr="00BF210F">
        <w:rPr>
          <w:rFonts w:cs="Arial"/>
          <w:noProof/>
          <w:lang w:val="pt-PT" w:eastAsia="pt-PT"/>
        </w:rPr>
        <w:drawing>
          <wp:inline distT="0" distB="0" distL="0" distR="0" wp14:anchorId="176647F4" wp14:editId="49E315B6">
            <wp:extent cx="5114925" cy="37433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249A77CF" w14:textId="77777777" w:rsidR="00EA43C5" w:rsidRPr="00BF210F" w:rsidRDefault="00EA43C5" w:rsidP="00D66A20">
      <w:pPr>
        <w:rPr>
          <w:rFonts w:cs="Arial"/>
          <w:sz w:val="16"/>
          <w:szCs w:val="16"/>
        </w:rPr>
      </w:pPr>
      <w:r w:rsidRPr="00BF210F">
        <w:rPr>
          <w:rFonts w:cs="Arial"/>
          <w:sz w:val="16"/>
          <w:szCs w:val="16"/>
        </w:rPr>
        <w:t>Egger’s test: p=0</w:t>
      </w:r>
      <w:r w:rsidR="00C25E84" w:rsidRPr="00BF210F">
        <w:rPr>
          <w:rFonts w:cs="Arial"/>
          <w:sz w:val="16"/>
          <w:szCs w:val="16"/>
        </w:rPr>
        <w:t>.</w:t>
      </w:r>
      <w:r w:rsidRPr="00BF210F">
        <w:rPr>
          <w:rFonts w:cs="Arial"/>
          <w:sz w:val="16"/>
          <w:szCs w:val="16"/>
        </w:rPr>
        <w:t>383</w:t>
      </w:r>
    </w:p>
    <w:p w14:paraId="54F31564" w14:textId="77777777" w:rsidR="002A09C8" w:rsidRPr="00BF210F" w:rsidRDefault="002A09C8" w:rsidP="00D66A20">
      <w:pPr>
        <w:rPr>
          <w:rFonts w:cs="Arial"/>
          <w:sz w:val="20"/>
        </w:rPr>
      </w:pPr>
    </w:p>
    <w:p w14:paraId="0C888B54" w14:textId="77777777" w:rsidR="00EA43C5" w:rsidRPr="00BF210F" w:rsidRDefault="00EA43C5" w:rsidP="00D66A20">
      <w:pPr>
        <w:rPr>
          <w:rFonts w:cs="Arial"/>
          <w:lang w:val="en-US"/>
        </w:rPr>
      </w:pPr>
    </w:p>
    <w:p w14:paraId="6DCA8046" w14:textId="77777777" w:rsidR="009258FF" w:rsidRPr="00BF210F" w:rsidRDefault="00BF210F" w:rsidP="009258FF">
      <w:pPr>
        <w:rPr>
          <w:rFonts w:cs="Arial"/>
          <w:b/>
          <w:sz w:val="24"/>
          <w:szCs w:val="24"/>
          <w:lang w:val="en-US"/>
        </w:rPr>
      </w:pPr>
      <w:r>
        <w:rPr>
          <w:rFonts w:cs="Arial"/>
          <w:b/>
          <w:sz w:val="24"/>
          <w:szCs w:val="24"/>
          <w:lang w:val="en-US"/>
        </w:rPr>
        <w:t xml:space="preserve">Supplementary </w:t>
      </w:r>
      <w:r w:rsidR="00347453" w:rsidRPr="00BF210F">
        <w:rPr>
          <w:rFonts w:cs="Arial"/>
          <w:b/>
          <w:sz w:val="24"/>
          <w:szCs w:val="24"/>
          <w:lang w:val="en-US"/>
        </w:rPr>
        <w:t>Figure 3</w:t>
      </w:r>
      <w:r w:rsidR="0062595D" w:rsidRPr="00BF210F">
        <w:rPr>
          <w:rFonts w:cs="Arial"/>
          <w:b/>
          <w:sz w:val="24"/>
          <w:szCs w:val="24"/>
          <w:lang w:val="en-US"/>
        </w:rPr>
        <w:t xml:space="preserve"> – </w:t>
      </w:r>
      <w:r w:rsidR="0024216B" w:rsidRPr="00BF210F">
        <w:rPr>
          <w:rFonts w:cs="Arial"/>
          <w:b/>
          <w:sz w:val="24"/>
          <w:szCs w:val="24"/>
          <w:lang w:val="en-US"/>
        </w:rPr>
        <w:t>Funnel plot of publication bias among studies evaluating the likelihood of presenting with</w:t>
      </w:r>
      <w:r w:rsidR="00EA43C5" w:rsidRPr="00BF210F">
        <w:rPr>
          <w:rFonts w:cs="Arial"/>
          <w:b/>
          <w:sz w:val="24"/>
          <w:szCs w:val="24"/>
          <w:lang w:val="en-US"/>
        </w:rPr>
        <w:t xml:space="preserve"> HER2-positive subtype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p>
    <w:p w14:paraId="0D07213A" w14:textId="294C439C" w:rsidR="00EA43C5" w:rsidRPr="00BF210F" w:rsidRDefault="00EA43C5" w:rsidP="009258FF">
      <w:pPr>
        <w:rPr>
          <w:rFonts w:cs="Arial"/>
          <w:lang w:val="en-US"/>
        </w:rPr>
      </w:pPr>
      <w:r w:rsidRPr="00BF210F">
        <w:rPr>
          <w:rFonts w:cs="Arial"/>
          <w:noProof/>
          <w:lang w:val="pt-PT" w:eastAsia="pt-PT"/>
        </w:rPr>
        <w:drawing>
          <wp:inline distT="0" distB="0" distL="0" distR="0" wp14:anchorId="27C4B831" wp14:editId="40DAF7CF">
            <wp:extent cx="5114925" cy="37433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5926E22" w14:textId="77777777" w:rsidR="00EA43C5" w:rsidRPr="00BF210F" w:rsidRDefault="00EA43C5" w:rsidP="00D66A20">
      <w:pPr>
        <w:rPr>
          <w:rFonts w:cs="Arial"/>
          <w:sz w:val="16"/>
          <w:szCs w:val="20"/>
        </w:rPr>
      </w:pPr>
      <w:r w:rsidRPr="00BF210F">
        <w:rPr>
          <w:rFonts w:cs="Arial"/>
          <w:sz w:val="16"/>
          <w:szCs w:val="20"/>
        </w:rPr>
        <w:t>Egger’s test: p=0</w:t>
      </w:r>
      <w:r w:rsidR="00C25E84" w:rsidRPr="00BF210F">
        <w:rPr>
          <w:rFonts w:cs="Arial"/>
          <w:sz w:val="16"/>
          <w:szCs w:val="20"/>
        </w:rPr>
        <w:t>.</w:t>
      </w:r>
      <w:r w:rsidRPr="00BF210F">
        <w:rPr>
          <w:rFonts w:cs="Arial"/>
          <w:sz w:val="16"/>
          <w:szCs w:val="20"/>
        </w:rPr>
        <w:t>111</w:t>
      </w:r>
    </w:p>
    <w:p w14:paraId="3D97F3CE" w14:textId="134FCAE2" w:rsidR="00EA43C5" w:rsidRPr="00BF210F" w:rsidRDefault="00EA43C5" w:rsidP="00D66A20">
      <w:pPr>
        <w:rPr>
          <w:rFonts w:cs="Arial"/>
          <w:lang w:val="en-US"/>
        </w:rPr>
      </w:pPr>
    </w:p>
    <w:p w14:paraId="0970FD6E" w14:textId="59395C85" w:rsidR="00EA43C5" w:rsidRPr="009258FF" w:rsidRDefault="00BF210F" w:rsidP="00D66A20">
      <w:pPr>
        <w:rPr>
          <w:rFonts w:cs="Arial"/>
          <w:b/>
          <w:sz w:val="24"/>
          <w:szCs w:val="24"/>
          <w:lang w:val="en-US"/>
        </w:rPr>
      </w:pPr>
      <w:r>
        <w:rPr>
          <w:rFonts w:cs="Arial"/>
          <w:b/>
          <w:sz w:val="24"/>
          <w:szCs w:val="24"/>
          <w:lang w:val="en-US"/>
        </w:rPr>
        <w:t xml:space="preserve">Supplementary </w:t>
      </w:r>
      <w:r w:rsidR="00347453" w:rsidRPr="00BF210F">
        <w:rPr>
          <w:rFonts w:cs="Arial"/>
          <w:b/>
          <w:sz w:val="24"/>
          <w:lang w:val="en-US"/>
        </w:rPr>
        <w:t>Figure 4</w:t>
      </w:r>
      <w:r w:rsidR="0062595D" w:rsidRPr="00BF210F">
        <w:rPr>
          <w:rFonts w:cs="Arial"/>
          <w:b/>
          <w:sz w:val="24"/>
          <w:lang w:val="en-US"/>
        </w:rPr>
        <w:t xml:space="preserve"> –</w:t>
      </w:r>
      <w:r w:rsidR="00EA43C5" w:rsidRPr="00BF210F">
        <w:rPr>
          <w:rFonts w:cs="Arial"/>
          <w:b/>
          <w:sz w:val="24"/>
          <w:lang w:val="en-US"/>
        </w:rPr>
        <w:t xml:space="preserve"> </w:t>
      </w:r>
      <w:r w:rsidR="0024216B" w:rsidRPr="00BF210F">
        <w:rPr>
          <w:rFonts w:cs="Arial"/>
          <w:b/>
          <w:sz w:val="24"/>
          <w:szCs w:val="24"/>
          <w:lang w:val="en-US"/>
        </w:rPr>
        <w:t xml:space="preserve">Funnel plot of publication bias among studies evaluating the likelihood of presenting with </w:t>
      </w:r>
      <w:r w:rsidR="00EA43C5" w:rsidRPr="00BF210F">
        <w:rPr>
          <w:rFonts w:cs="Arial"/>
          <w:b/>
          <w:sz w:val="24"/>
          <w:lang w:val="en-US"/>
        </w:rPr>
        <w:t>triple-negative subtype</w:t>
      </w:r>
      <w:r w:rsidR="005331A3" w:rsidRPr="00BF210F">
        <w:rPr>
          <w:rFonts w:cs="Arial"/>
          <w:b/>
          <w:sz w:val="24"/>
          <w:lang w:val="en-US"/>
        </w:rPr>
        <w:t xml:space="preserve"> / basal-like subtype</w:t>
      </w:r>
      <w:r w:rsidR="00EA43C5" w:rsidRPr="00BF210F">
        <w:rPr>
          <w:rFonts w:cs="Arial"/>
          <w:b/>
          <w:sz w:val="24"/>
          <w:lang w:val="en-US"/>
        </w:rPr>
        <w:t xml:space="preserve">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p>
    <w:p w14:paraId="4EB72566" w14:textId="77777777" w:rsidR="00EA43C5" w:rsidRPr="00BF210F" w:rsidRDefault="00EA43C5" w:rsidP="00D66A20">
      <w:pPr>
        <w:jc w:val="center"/>
        <w:rPr>
          <w:rFonts w:cs="Arial"/>
          <w:lang w:val="en-US"/>
        </w:rPr>
      </w:pPr>
      <w:r w:rsidRPr="00BF210F">
        <w:rPr>
          <w:rFonts w:cs="Arial"/>
          <w:noProof/>
          <w:lang w:val="pt-PT" w:eastAsia="pt-PT"/>
        </w:rPr>
        <w:drawing>
          <wp:inline distT="0" distB="0" distL="0" distR="0" wp14:anchorId="2B618908" wp14:editId="57D2C0A9">
            <wp:extent cx="5114925" cy="37433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37C754E" w14:textId="77777777" w:rsidR="0000403B" w:rsidRPr="00BF210F" w:rsidRDefault="00EA43C5" w:rsidP="00D66A20">
      <w:pPr>
        <w:rPr>
          <w:rFonts w:cs="Arial"/>
          <w:sz w:val="16"/>
          <w:szCs w:val="16"/>
        </w:rPr>
      </w:pPr>
      <w:r w:rsidRPr="00BF210F">
        <w:rPr>
          <w:rFonts w:cs="Arial"/>
          <w:sz w:val="16"/>
          <w:szCs w:val="16"/>
        </w:rPr>
        <w:t>Egger’s test: p=0</w:t>
      </w:r>
      <w:r w:rsidR="00C25E84" w:rsidRPr="00BF210F">
        <w:rPr>
          <w:rFonts w:cs="Arial"/>
          <w:sz w:val="16"/>
          <w:szCs w:val="16"/>
        </w:rPr>
        <w:t>.</w:t>
      </w:r>
      <w:r w:rsidRPr="00BF210F">
        <w:rPr>
          <w:rFonts w:cs="Arial"/>
          <w:sz w:val="16"/>
          <w:szCs w:val="16"/>
        </w:rPr>
        <w:t>594</w:t>
      </w:r>
    </w:p>
    <w:p w14:paraId="4F55DCF9" w14:textId="63400A83" w:rsidR="005331A3" w:rsidRPr="009258FF" w:rsidRDefault="00BF210F" w:rsidP="00D66A20">
      <w:pPr>
        <w:rPr>
          <w:rFonts w:cs="Arial"/>
          <w:b/>
          <w:sz w:val="24"/>
          <w:szCs w:val="24"/>
          <w:lang w:val="en-US"/>
        </w:rPr>
      </w:pPr>
      <w:r>
        <w:rPr>
          <w:rFonts w:cs="Arial"/>
          <w:b/>
          <w:sz w:val="24"/>
          <w:szCs w:val="24"/>
          <w:lang w:val="en-US"/>
        </w:rPr>
        <w:lastRenderedPageBreak/>
        <w:t xml:space="preserve">Supplementary </w:t>
      </w:r>
      <w:r w:rsidR="00347453" w:rsidRPr="00BF210F">
        <w:rPr>
          <w:rFonts w:cs="Arial"/>
          <w:b/>
          <w:sz w:val="24"/>
          <w:lang w:val="en-US"/>
        </w:rPr>
        <w:t>Figure 5</w:t>
      </w:r>
      <w:r w:rsidR="0062595D" w:rsidRPr="00BF210F">
        <w:rPr>
          <w:rFonts w:cs="Arial"/>
          <w:b/>
          <w:sz w:val="24"/>
          <w:lang w:val="en-US"/>
        </w:rPr>
        <w:t xml:space="preserve"> –</w:t>
      </w:r>
      <w:r w:rsidR="005331A3" w:rsidRPr="00BF210F">
        <w:rPr>
          <w:rFonts w:cs="Arial"/>
          <w:b/>
          <w:sz w:val="24"/>
          <w:lang w:val="en-US"/>
        </w:rPr>
        <w:t xml:space="preserve"> </w:t>
      </w:r>
      <w:r w:rsidR="0024216B" w:rsidRPr="00BF210F">
        <w:rPr>
          <w:rFonts w:cs="Arial"/>
          <w:b/>
          <w:sz w:val="24"/>
          <w:szCs w:val="24"/>
          <w:lang w:val="en-US"/>
        </w:rPr>
        <w:t xml:space="preserve">Funnel plot of publication bias among studies evaluating the likelihood of presenting with </w:t>
      </w:r>
      <w:r w:rsidR="005331A3" w:rsidRPr="00BF210F">
        <w:rPr>
          <w:rFonts w:cs="Arial"/>
          <w:b/>
          <w:sz w:val="24"/>
          <w:lang w:val="en-US"/>
        </w:rPr>
        <w:t xml:space="preserve">Luminal A-like subtype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p>
    <w:p w14:paraId="2C0B0B82" w14:textId="77777777" w:rsidR="005331A3" w:rsidRPr="00BF210F" w:rsidRDefault="005331A3" w:rsidP="00D66A20">
      <w:pPr>
        <w:jc w:val="center"/>
        <w:rPr>
          <w:rFonts w:cs="Arial"/>
          <w:lang w:val="en-US"/>
        </w:rPr>
      </w:pPr>
      <w:r w:rsidRPr="00BF210F">
        <w:rPr>
          <w:rFonts w:cs="Arial"/>
          <w:noProof/>
          <w:lang w:val="pt-PT" w:eastAsia="pt-PT"/>
        </w:rPr>
        <w:drawing>
          <wp:inline distT="0" distB="0" distL="0" distR="0" wp14:anchorId="4B35FB8B" wp14:editId="70FFEFC4">
            <wp:extent cx="5114925" cy="37433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3EC545E8" w14:textId="77777777" w:rsidR="005331A3" w:rsidRPr="00BF210F" w:rsidRDefault="00C25E84" w:rsidP="00D66A20">
      <w:pPr>
        <w:rPr>
          <w:rFonts w:cs="Arial"/>
          <w:sz w:val="16"/>
        </w:rPr>
      </w:pPr>
      <w:r w:rsidRPr="00BF210F">
        <w:rPr>
          <w:rFonts w:cs="Arial"/>
          <w:sz w:val="16"/>
        </w:rPr>
        <w:t>Egger’s test: p=0.</w:t>
      </w:r>
      <w:r w:rsidR="005331A3" w:rsidRPr="00BF210F">
        <w:rPr>
          <w:rFonts w:cs="Arial"/>
          <w:sz w:val="16"/>
        </w:rPr>
        <w:t>865</w:t>
      </w:r>
    </w:p>
    <w:p w14:paraId="31179A4B" w14:textId="75C51593" w:rsidR="005331A3" w:rsidRPr="00BF210F" w:rsidRDefault="005331A3" w:rsidP="00D66A20">
      <w:pPr>
        <w:rPr>
          <w:rFonts w:cs="Arial"/>
          <w:sz w:val="20"/>
          <w:lang w:val="en-US"/>
        </w:rPr>
      </w:pPr>
    </w:p>
    <w:p w14:paraId="7186EDE2" w14:textId="66D4744B" w:rsidR="005331A3" w:rsidRPr="009258FF" w:rsidRDefault="00BF210F" w:rsidP="00D66A20">
      <w:pPr>
        <w:rPr>
          <w:rFonts w:cs="Arial"/>
          <w:b/>
          <w:sz w:val="24"/>
          <w:szCs w:val="24"/>
          <w:lang w:val="en-US"/>
        </w:rPr>
      </w:pPr>
      <w:r>
        <w:rPr>
          <w:rFonts w:cs="Arial"/>
          <w:b/>
          <w:sz w:val="24"/>
          <w:szCs w:val="24"/>
          <w:lang w:val="en-US"/>
        </w:rPr>
        <w:t xml:space="preserve">Supplementary </w:t>
      </w:r>
      <w:r w:rsidR="005331A3" w:rsidRPr="00BF210F">
        <w:rPr>
          <w:rFonts w:cs="Arial"/>
          <w:b/>
          <w:sz w:val="24"/>
          <w:lang w:val="en-US"/>
        </w:rPr>
        <w:t xml:space="preserve">Figure </w:t>
      </w:r>
      <w:r w:rsidR="00347453" w:rsidRPr="00BF210F">
        <w:rPr>
          <w:rFonts w:cs="Arial"/>
          <w:b/>
          <w:sz w:val="24"/>
          <w:lang w:val="en-US"/>
        </w:rPr>
        <w:t>6</w:t>
      </w:r>
      <w:r w:rsidR="0062595D" w:rsidRPr="00BF210F">
        <w:rPr>
          <w:rFonts w:cs="Arial"/>
          <w:b/>
          <w:sz w:val="24"/>
          <w:lang w:val="en-US"/>
        </w:rPr>
        <w:t xml:space="preserve"> –</w:t>
      </w:r>
      <w:r w:rsidR="005331A3" w:rsidRPr="00BF210F">
        <w:rPr>
          <w:rFonts w:cs="Arial"/>
          <w:b/>
          <w:sz w:val="24"/>
          <w:lang w:val="en-US"/>
        </w:rPr>
        <w:t xml:space="preserve"> Funnel plot of publication bias among studies evaluating </w:t>
      </w:r>
      <w:r w:rsidR="00F54B90" w:rsidRPr="00BF210F">
        <w:rPr>
          <w:rFonts w:cs="Arial"/>
          <w:b/>
          <w:sz w:val="24"/>
          <w:lang w:val="en-US"/>
        </w:rPr>
        <w:t xml:space="preserve">the likelihood of presenting with </w:t>
      </w:r>
      <w:r w:rsidR="005331A3" w:rsidRPr="00BF210F">
        <w:rPr>
          <w:rFonts w:cs="Arial"/>
          <w:b/>
          <w:sz w:val="24"/>
          <w:lang w:val="en-US"/>
        </w:rPr>
        <w:t xml:space="preserve">Luminal B-like subtype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p>
    <w:p w14:paraId="6060F19C" w14:textId="77777777" w:rsidR="005331A3" w:rsidRPr="00BF210F" w:rsidRDefault="005331A3" w:rsidP="00D66A20">
      <w:pPr>
        <w:jc w:val="center"/>
        <w:rPr>
          <w:rFonts w:cs="Arial"/>
          <w:lang w:val="en-US"/>
        </w:rPr>
      </w:pPr>
      <w:r w:rsidRPr="00BF210F">
        <w:rPr>
          <w:rFonts w:cs="Arial"/>
          <w:noProof/>
          <w:lang w:val="pt-PT" w:eastAsia="pt-PT"/>
        </w:rPr>
        <w:drawing>
          <wp:inline distT="0" distB="0" distL="0" distR="0" wp14:anchorId="259E1E1A" wp14:editId="3DF59480">
            <wp:extent cx="5114925" cy="37433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221C6EA" w14:textId="77777777" w:rsidR="005331A3" w:rsidRPr="00BF210F" w:rsidRDefault="005331A3" w:rsidP="00D66A20">
      <w:pPr>
        <w:rPr>
          <w:rFonts w:cs="Arial"/>
          <w:sz w:val="16"/>
          <w:lang w:val="en-US"/>
        </w:rPr>
      </w:pPr>
      <w:r w:rsidRPr="00BF210F">
        <w:rPr>
          <w:rFonts w:cs="Arial"/>
          <w:sz w:val="16"/>
          <w:lang w:val="en-US"/>
        </w:rPr>
        <w:t>Egger’s test: p=0</w:t>
      </w:r>
      <w:r w:rsidR="00C25E84" w:rsidRPr="00BF210F">
        <w:rPr>
          <w:rFonts w:cs="Arial"/>
          <w:sz w:val="16"/>
        </w:rPr>
        <w:t>.</w:t>
      </w:r>
      <w:r w:rsidRPr="00BF210F">
        <w:rPr>
          <w:rFonts w:cs="Arial"/>
          <w:sz w:val="16"/>
          <w:lang w:val="en-US"/>
        </w:rPr>
        <w:t>530</w:t>
      </w:r>
    </w:p>
    <w:p w14:paraId="6C858FC8" w14:textId="77777777" w:rsidR="00347453" w:rsidRPr="00BF210F" w:rsidRDefault="00347453">
      <w:pPr>
        <w:spacing w:after="120"/>
        <w:rPr>
          <w:rFonts w:cs="Arial"/>
          <w:b/>
          <w:sz w:val="20"/>
          <w:lang w:val="en-US"/>
        </w:rPr>
      </w:pPr>
      <w:r w:rsidRPr="00BF210F">
        <w:rPr>
          <w:rFonts w:cs="Arial"/>
          <w:b/>
          <w:sz w:val="20"/>
          <w:lang w:val="en-US"/>
        </w:rPr>
        <w:br w:type="page"/>
      </w:r>
    </w:p>
    <w:p w14:paraId="6A2F9A9B" w14:textId="02B3385B" w:rsidR="005331A3" w:rsidRPr="009258FF" w:rsidRDefault="00BF210F" w:rsidP="00D66A20">
      <w:pPr>
        <w:rPr>
          <w:rFonts w:cs="Arial"/>
          <w:b/>
          <w:sz w:val="24"/>
          <w:szCs w:val="24"/>
          <w:lang w:val="en-US"/>
        </w:rPr>
      </w:pPr>
      <w:r>
        <w:rPr>
          <w:rFonts w:cs="Arial"/>
          <w:b/>
          <w:sz w:val="24"/>
          <w:szCs w:val="24"/>
          <w:lang w:val="en-US"/>
        </w:rPr>
        <w:lastRenderedPageBreak/>
        <w:t xml:space="preserve">Supplementary </w:t>
      </w:r>
      <w:r w:rsidR="005331A3" w:rsidRPr="00BF210F">
        <w:rPr>
          <w:rFonts w:cs="Arial"/>
          <w:b/>
          <w:sz w:val="24"/>
          <w:lang w:val="en-US"/>
        </w:rPr>
        <w:t xml:space="preserve">Figure </w:t>
      </w:r>
      <w:r w:rsidR="00347453" w:rsidRPr="00BF210F">
        <w:rPr>
          <w:rFonts w:cs="Arial"/>
          <w:b/>
          <w:sz w:val="24"/>
          <w:lang w:val="en-US"/>
        </w:rPr>
        <w:t>7</w:t>
      </w:r>
      <w:r w:rsidR="0062595D" w:rsidRPr="00BF210F">
        <w:rPr>
          <w:rFonts w:cs="Arial"/>
          <w:b/>
          <w:sz w:val="24"/>
          <w:lang w:val="en-US"/>
        </w:rPr>
        <w:t xml:space="preserve"> –</w:t>
      </w:r>
      <w:r w:rsidR="005331A3" w:rsidRPr="00BF210F">
        <w:rPr>
          <w:rFonts w:cs="Arial"/>
          <w:b/>
          <w:sz w:val="24"/>
          <w:lang w:val="en-US"/>
        </w:rPr>
        <w:t xml:space="preserve"> Funnel plot of publication bias among studies evaluating </w:t>
      </w:r>
      <w:r w:rsidR="00F54B90" w:rsidRPr="00BF210F">
        <w:rPr>
          <w:rFonts w:cs="Arial"/>
          <w:b/>
          <w:sz w:val="24"/>
          <w:lang w:val="en-US"/>
        </w:rPr>
        <w:t>the likelihood of presenting with</w:t>
      </w:r>
      <w:r w:rsidR="005331A3" w:rsidRPr="00BF210F">
        <w:rPr>
          <w:rFonts w:cs="Arial"/>
          <w:b/>
          <w:sz w:val="24"/>
          <w:lang w:val="en-US"/>
        </w:rPr>
        <w:t xml:space="preserve"> HER2-enriched subtype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p>
    <w:p w14:paraId="3F4B0E8A" w14:textId="77777777" w:rsidR="005331A3" w:rsidRPr="00BF210F" w:rsidRDefault="005331A3" w:rsidP="00D66A20">
      <w:pPr>
        <w:jc w:val="center"/>
        <w:rPr>
          <w:rFonts w:cs="Arial"/>
          <w:lang w:val="en-US"/>
        </w:rPr>
      </w:pPr>
      <w:r w:rsidRPr="00BF210F">
        <w:rPr>
          <w:rFonts w:cs="Arial"/>
          <w:noProof/>
          <w:lang w:val="pt-PT" w:eastAsia="pt-PT"/>
        </w:rPr>
        <w:drawing>
          <wp:inline distT="0" distB="0" distL="0" distR="0" wp14:anchorId="114ED02A" wp14:editId="179490AF">
            <wp:extent cx="5114925" cy="37433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3D79A2FE" w14:textId="77777777" w:rsidR="005331A3" w:rsidRPr="00BF210F" w:rsidRDefault="005331A3" w:rsidP="0000403B">
      <w:pPr>
        <w:rPr>
          <w:rFonts w:cs="Arial"/>
          <w:sz w:val="16"/>
          <w:lang w:val="en-US"/>
        </w:rPr>
      </w:pPr>
      <w:r w:rsidRPr="00BF210F">
        <w:rPr>
          <w:rFonts w:cs="Arial"/>
          <w:sz w:val="16"/>
          <w:lang w:val="en-US"/>
        </w:rPr>
        <w:t>Egger’s test: p=0</w:t>
      </w:r>
      <w:r w:rsidR="00C25E84" w:rsidRPr="00BF210F">
        <w:rPr>
          <w:rFonts w:cs="Arial"/>
          <w:sz w:val="16"/>
        </w:rPr>
        <w:t>.</w:t>
      </w:r>
      <w:r w:rsidRPr="00BF210F">
        <w:rPr>
          <w:rFonts w:cs="Arial"/>
          <w:sz w:val="16"/>
          <w:lang w:val="en-US"/>
        </w:rPr>
        <w:t>767</w:t>
      </w:r>
    </w:p>
    <w:p w14:paraId="7E6EC276" w14:textId="77777777" w:rsidR="005331A3" w:rsidRPr="00BF210F" w:rsidRDefault="005331A3" w:rsidP="0000403B">
      <w:pPr>
        <w:rPr>
          <w:rFonts w:cs="Arial"/>
          <w:sz w:val="20"/>
          <w:lang w:val="en-US"/>
        </w:rPr>
      </w:pPr>
    </w:p>
    <w:p w14:paraId="0EE5D3C9" w14:textId="359FD5A0" w:rsidR="001E03EE" w:rsidRPr="009258FF" w:rsidRDefault="00BF210F" w:rsidP="0000403B">
      <w:pPr>
        <w:rPr>
          <w:rFonts w:cs="Arial"/>
          <w:b/>
          <w:sz w:val="24"/>
          <w:szCs w:val="24"/>
          <w:lang w:val="en-US"/>
        </w:rPr>
      </w:pPr>
      <w:r>
        <w:rPr>
          <w:rFonts w:cs="Arial"/>
          <w:b/>
          <w:sz w:val="24"/>
          <w:szCs w:val="24"/>
          <w:lang w:val="en-US"/>
        </w:rPr>
        <w:t xml:space="preserve">Supplementary </w:t>
      </w:r>
      <w:r w:rsidR="001E03EE" w:rsidRPr="00BF210F">
        <w:rPr>
          <w:rFonts w:cs="Arial"/>
          <w:b/>
          <w:sz w:val="24"/>
          <w:lang w:val="en-US"/>
        </w:rPr>
        <w:t xml:space="preserve">Figure </w:t>
      </w:r>
      <w:r w:rsidR="00347453" w:rsidRPr="00BF210F">
        <w:rPr>
          <w:rFonts w:cs="Arial"/>
          <w:b/>
          <w:sz w:val="24"/>
          <w:lang w:val="en-US"/>
        </w:rPr>
        <w:t>8</w:t>
      </w:r>
      <w:r w:rsidR="0062595D" w:rsidRPr="00BF210F">
        <w:rPr>
          <w:rFonts w:cs="Arial"/>
          <w:b/>
          <w:sz w:val="24"/>
          <w:lang w:val="en-US"/>
        </w:rPr>
        <w:t xml:space="preserve"> –</w:t>
      </w:r>
      <w:r w:rsidR="001E03EE" w:rsidRPr="00BF210F">
        <w:rPr>
          <w:rFonts w:cs="Arial"/>
          <w:b/>
          <w:sz w:val="24"/>
          <w:lang w:val="en-US"/>
        </w:rPr>
        <w:t xml:space="preserve"> Funnel plot of publication bias among studies evaluating adjusted Overall Survival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p>
    <w:p w14:paraId="21FA7321" w14:textId="77777777" w:rsidR="001E03EE" w:rsidRPr="00BF210F" w:rsidRDefault="001E03EE" w:rsidP="00D66A20">
      <w:pPr>
        <w:jc w:val="center"/>
        <w:rPr>
          <w:rFonts w:cs="Arial"/>
          <w:lang w:val="en-US"/>
        </w:rPr>
      </w:pPr>
      <w:r w:rsidRPr="00BF210F">
        <w:rPr>
          <w:rFonts w:cs="Arial"/>
          <w:noProof/>
          <w:lang w:val="pt-PT" w:eastAsia="pt-PT"/>
        </w:rPr>
        <w:drawing>
          <wp:inline distT="0" distB="0" distL="0" distR="0" wp14:anchorId="397F509B" wp14:editId="676D5205">
            <wp:extent cx="5114925" cy="37433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201F79CE" w14:textId="77777777" w:rsidR="001E03EE" w:rsidRPr="00BF210F" w:rsidRDefault="001E03EE" w:rsidP="00D66A20">
      <w:pPr>
        <w:rPr>
          <w:rFonts w:cs="Arial"/>
          <w:sz w:val="16"/>
          <w:lang w:val="en-US"/>
        </w:rPr>
      </w:pPr>
      <w:r w:rsidRPr="00BF210F">
        <w:rPr>
          <w:rFonts w:cs="Arial"/>
          <w:sz w:val="16"/>
          <w:lang w:val="en-US"/>
        </w:rPr>
        <w:t>Egger’s test: p=0</w:t>
      </w:r>
      <w:r w:rsidR="00C25E84" w:rsidRPr="00BF210F">
        <w:rPr>
          <w:rFonts w:cs="Arial"/>
          <w:sz w:val="16"/>
        </w:rPr>
        <w:t>.</w:t>
      </w:r>
      <w:r w:rsidRPr="00BF210F">
        <w:rPr>
          <w:rFonts w:cs="Arial"/>
          <w:sz w:val="16"/>
          <w:lang w:val="en-US"/>
        </w:rPr>
        <w:t>936</w:t>
      </w:r>
    </w:p>
    <w:p w14:paraId="72908BE1" w14:textId="77777777" w:rsidR="001E03EE" w:rsidRPr="00BF210F" w:rsidRDefault="001E03EE" w:rsidP="00D66A20">
      <w:pPr>
        <w:rPr>
          <w:rFonts w:cs="Arial"/>
          <w:b/>
          <w:sz w:val="20"/>
          <w:lang w:val="en-US"/>
        </w:rPr>
      </w:pPr>
    </w:p>
    <w:p w14:paraId="2E5331D9" w14:textId="77777777" w:rsidR="002A09C8" w:rsidRPr="00BF210F" w:rsidRDefault="002A09C8" w:rsidP="00D66A20">
      <w:pPr>
        <w:rPr>
          <w:rFonts w:cs="Arial"/>
          <w:b/>
          <w:sz w:val="20"/>
          <w:lang w:val="en-US"/>
        </w:rPr>
      </w:pPr>
    </w:p>
    <w:p w14:paraId="48AC1617" w14:textId="43699731" w:rsidR="001E03EE" w:rsidRPr="009258FF" w:rsidRDefault="00BF210F" w:rsidP="00D66A20">
      <w:pPr>
        <w:rPr>
          <w:rFonts w:cs="Arial"/>
          <w:b/>
          <w:sz w:val="24"/>
          <w:szCs w:val="24"/>
          <w:lang w:val="en-US"/>
        </w:rPr>
      </w:pPr>
      <w:r>
        <w:rPr>
          <w:rFonts w:cs="Arial"/>
          <w:b/>
          <w:sz w:val="24"/>
          <w:szCs w:val="24"/>
          <w:lang w:val="en-US"/>
        </w:rPr>
        <w:lastRenderedPageBreak/>
        <w:t xml:space="preserve">Supplementary </w:t>
      </w:r>
      <w:r w:rsidR="001E03EE" w:rsidRPr="00BF210F">
        <w:rPr>
          <w:rFonts w:cs="Arial"/>
          <w:b/>
          <w:sz w:val="24"/>
          <w:lang w:val="en-US"/>
        </w:rPr>
        <w:t xml:space="preserve">Figure </w:t>
      </w:r>
      <w:r w:rsidR="00347453" w:rsidRPr="00BF210F">
        <w:rPr>
          <w:rFonts w:cs="Arial"/>
          <w:b/>
          <w:sz w:val="24"/>
          <w:lang w:val="en-US"/>
        </w:rPr>
        <w:t>9</w:t>
      </w:r>
      <w:r w:rsidR="00636756" w:rsidRPr="00BF210F">
        <w:rPr>
          <w:rFonts w:cs="Arial"/>
          <w:b/>
          <w:sz w:val="24"/>
          <w:lang w:val="en-US"/>
        </w:rPr>
        <w:t xml:space="preserve"> –</w:t>
      </w:r>
      <w:r w:rsidR="001E03EE" w:rsidRPr="00BF210F">
        <w:rPr>
          <w:rFonts w:cs="Arial"/>
          <w:b/>
          <w:sz w:val="24"/>
          <w:lang w:val="en-US"/>
        </w:rPr>
        <w:t xml:space="preserve"> Funnel plot of publication bias among studies evaluating unadjusted Overall Survival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p>
    <w:p w14:paraId="0CD85C68" w14:textId="77777777" w:rsidR="001E03EE" w:rsidRPr="00BF210F" w:rsidRDefault="001E03EE" w:rsidP="00D66A20">
      <w:pPr>
        <w:jc w:val="center"/>
        <w:rPr>
          <w:rFonts w:cs="Arial"/>
          <w:lang w:val="en-US"/>
        </w:rPr>
      </w:pPr>
      <w:r w:rsidRPr="00BF210F">
        <w:rPr>
          <w:rFonts w:cs="Arial"/>
          <w:noProof/>
          <w:lang w:val="pt-PT" w:eastAsia="pt-PT"/>
        </w:rPr>
        <w:drawing>
          <wp:inline distT="0" distB="0" distL="0" distR="0" wp14:anchorId="264B0A8C" wp14:editId="27E059C7">
            <wp:extent cx="5114925" cy="3743325"/>
            <wp:effectExtent l="0" t="0" r="0"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35DB268" w14:textId="77777777" w:rsidR="001E03EE" w:rsidRPr="00BF210F" w:rsidRDefault="001E03EE" w:rsidP="00D66A20">
      <w:pPr>
        <w:rPr>
          <w:rFonts w:cs="Arial"/>
          <w:sz w:val="16"/>
          <w:lang w:val="en-US"/>
        </w:rPr>
      </w:pPr>
      <w:r w:rsidRPr="00BF210F">
        <w:rPr>
          <w:rFonts w:cs="Arial"/>
          <w:sz w:val="16"/>
          <w:lang w:val="en-US"/>
        </w:rPr>
        <w:t>Egger’s test: p=0</w:t>
      </w:r>
      <w:r w:rsidR="00C25E84" w:rsidRPr="00BF210F">
        <w:rPr>
          <w:rFonts w:cs="Arial"/>
          <w:sz w:val="16"/>
        </w:rPr>
        <w:t>.</w:t>
      </w:r>
      <w:r w:rsidRPr="00BF210F">
        <w:rPr>
          <w:rFonts w:cs="Arial"/>
          <w:sz w:val="16"/>
          <w:lang w:val="en-US"/>
        </w:rPr>
        <w:t>201</w:t>
      </w:r>
    </w:p>
    <w:p w14:paraId="000E9019" w14:textId="77777777" w:rsidR="00347453" w:rsidRPr="00BF210F" w:rsidRDefault="00347453" w:rsidP="00D66A20">
      <w:pPr>
        <w:rPr>
          <w:rFonts w:cs="Arial"/>
          <w:lang w:val="en-US"/>
        </w:rPr>
      </w:pPr>
    </w:p>
    <w:p w14:paraId="7A71B4C6" w14:textId="77777777" w:rsidR="009258FF" w:rsidRPr="00BF210F" w:rsidRDefault="00BF210F" w:rsidP="009258FF">
      <w:pPr>
        <w:rPr>
          <w:rFonts w:cs="Arial"/>
          <w:b/>
          <w:sz w:val="24"/>
          <w:szCs w:val="24"/>
          <w:lang w:val="en-US"/>
        </w:rPr>
      </w:pPr>
      <w:r>
        <w:rPr>
          <w:rFonts w:cs="Arial"/>
          <w:b/>
          <w:sz w:val="24"/>
          <w:szCs w:val="24"/>
          <w:lang w:val="en-US"/>
        </w:rPr>
        <w:t xml:space="preserve">Supplementary </w:t>
      </w:r>
      <w:r w:rsidR="001E03EE" w:rsidRPr="00BF210F">
        <w:rPr>
          <w:rFonts w:cs="Arial"/>
          <w:b/>
          <w:sz w:val="24"/>
          <w:lang w:val="en-US"/>
        </w:rPr>
        <w:t>Figure 1</w:t>
      </w:r>
      <w:r w:rsidR="00347453" w:rsidRPr="00BF210F">
        <w:rPr>
          <w:rFonts w:cs="Arial"/>
          <w:b/>
          <w:sz w:val="24"/>
          <w:lang w:val="en-US"/>
        </w:rPr>
        <w:t>0</w:t>
      </w:r>
      <w:r w:rsidR="00636756" w:rsidRPr="00BF210F">
        <w:rPr>
          <w:rFonts w:cs="Arial"/>
          <w:b/>
          <w:sz w:val="24"/>
          <w:lang w:val="en-US"/>
        </w:rPr>
        <w:t xml:space="preserve"> –</w:t>
      </w:r>
      <w:r w:rsidR="001E03EE" w:rsidRPr="00BF210F">
        <w:rPr>
          <w:rFonts w:cs="Arial"/>
          <w:b/>
          <w:sz w:val="24"/>
          <w:lang w:val="en-US"/>
        </w:rPr>
        <w:t xml:space="preserve"> Funnel plot of publication bias among studies evaluating</w:t>
      </w:r>
      <w:r w:rsidR="00F54B90" w:rsidRPr="00BF210F">
        <w:rPr>
          <w:rFonts w:cs="Arial"/>
          <w:b/>
          <w:sz w:val="24"/>
          <w:lang w:val="en-US"/>
        </w:rPr>
        <w:t xml:space="preserve"> the likelihood of presenting with</w:t>
      </w:r>
      <w:r w:rsidR="001E03EE" w:rsidRPr="00BF210F">
        <w:rPr>
          <w:rFonts w:cs="Arial"/>
          <w:b/>
          <w:sz w:val="24"/>
          <w:lang w:val="en-US"/>
        </w:rPr>
        <w:t xml:space="preserve"> </w:t>
      </w:r>
      <w:r w:rsidR="006413F8" w:rsidRPr="00BF210F">
        <w:rPr>
          <w:rFonts w:cs="Arial"/>
          <w:b/>
          <w:sz w:val="24"/>
          <w:lang w:val="en-US"/>
        </w:rPr>
        <w:t>each stage (0/I</w:t>
      </w:r>
      <w:r w:rsidR="00F54B90" w:rsidRPr="00BF210F">
        <w:rPr>
          <w:rFonts w:cs="Arial"/>
          <w:b/>
          <w:sz w:val="24"/>
          <w:lang w:val="en-US"/>
        </w:rPr>
        <w:t>,</w:t>
      </w:r>
      <w:r w:rsidR="001E03EE" w:rsidRPr="00BF210F">
        <w:rPr>
          <w:rFonts w:cs="Arial"/>
          <w:b/>
          <w:sz w:val="24"/>
          <w:lang w:val="en-US"/>
        </w:rPr>
        <w:t xml:space="preserve"> </w:t>
      </w:r>
      <w:r w:rsidR="006413F8" w:rsidRPr="00BF210F">
        <w:rPr>
          <w:rFonts w:cs="Arial"/>
          <w:b/>
          <w:sz w:val="24"/>
          <w:lang w:val="en-US"/>
        </w:rPr>
        <w:t>II</w:t>
      </w:r>
      <w:r w:rsidR="00F54B90" w:rsidRPr="00BF210F">
        <w:rPr>
          <w:rFonts w:cs="Arial"/>
          <w:b/>
          <w:sz w:val="24"/>
          <w:lang w:val="en-US"/>
        </w:rPr>
        <w:t>,</w:t>
      </w:r>
      <w:r w:rsidR="006413F8" w:rsidRPr="00BF210F">
        <w:rPr>
          <w:rFonts w:cs="Arial"/>
          <w:b/>
          <w:sz w:val="24"/>
          <w:lang w:val="en-US"/>
        </w:rPr>
        <w:t xml:space="preserve"> III </w:t>
      </w:r>
      <w:r w:rsidR="00F54B90" w:rsidRPr="00BF210F">
        <w:rPr>
          <w:rFonts w:cs="Arial"/>
          <w:b/>
          <w:sz w:val="24"/>
          <w:lang w:val="en-US"/>
        </w:rPr>
        <w:t>and</w:t>
      </w:r>
      <w:r w:rsidR="006413F8" w:rsidRPr="00BF210F">
        <w:rPr>
          <w:rFonts w:cs="Arial"/>
          <w:b/>
          <w:sz w:val="24"/>
          <w:lang w:val="en-US"/>
        </w:rPr>
        <w:t xml:space="preserve"> IV)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p>
    <w:p w14:paraId="7CAF6E2E" w14:textId="44DA0153" w:rsidR="00EA43C5" w:rsidRPr="00BF210F" w:rsidRDefault="006413F8" w:rsidP="009258FF">
      <w:pPr>
        <w:rPr>
          <w:rFonts w:cs="Arial"/>
          <w:lang w:val="en-US"/>
        </w:rPr>
      </w:pPr>
      <w:r w:rsidRPr="00BF210F">
        <w:rPr>
          <w:rFonts w:cs="Arial"/>
          <w:noProof/>
          <w:lang w:val="pt-PT" w:eastAsia="pt-PT"/>
        </w:rPr>
        <w:drawing>
          <wp:inline distT="0" distB="0" distL="0" distR="0" wp14:anchorId="64E0F49E" wp14:editId="25153C9F">
            <wp:extent cx="5113020" cy="3745230"/>
            <wp:effectExtent l="0" t="0" r="0" b="762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p>
    <w:p w14:paraId="7122DF8E" w14:textId="0F8374DF" w:rsidR="00EA43C5" w:rsidRPr="00BF210F" w:rsidRDefault="00EA43C5" w:rsidP="00D66A20">
      <w:pPr>
        <w:rPr>
          <w:rFonts w:cs="Arial"/>
          <w:sz w:val="16"/>
        </w:rPr>
      </w:pPr>
      <w:r w:rsidRPr="00BF210F">
        <w:rPr>
          <w:rFonts w:cs="Arial"/>
          <w:sz w:val="16"/>
        </w:rPr>
        <w:t>Egger’s test: p=0</w:t>
      </w:r>
      <w:r w:rsidR="00C25E84" w:rsidRPr="00BF210F">
        <w:rPr>
          <w:rFonts w:cs="Arial"/>
          <w:sz w:val="16"/>
        </w:rPr>
        <w:t>.</w:t>
      </w:r>
      <w:r w:rsidR="006413F8" w:rsidRPr="00BF210F">
        <w:rPr>
          <w:rFonts w:cs="Arial"/>
          <w:sz w:val="16"/>
        </w:rPr>
        <w:t>843</w:t>
      </w:r>
    </w:p>
    <w:p w14:paraId="61E74CBC" w14:textId="77777777" w:rsidR="00EA43C5" w:rsidRPr="00BF210F" w:rsidRDefault="00EA43C5" w:rsidP="00D66A20">
      <w:pPr>
        <w:rPr>
          <w:rFonts w:cs="Arial"/>
          <w:sz w:val="20"/>
          <w:lang w:val="en-US"/>
        </w:rPr>
      </w:pPr>
    </w:p>
    <w:p w14:paraId="2271D7AC" w14:textId="77777777" w:rsidR="00347453" w:rsidRPr="00BF210F" w:rsidRDefault="00347453">
      <w:pPr>
        <w:spacing w:after="120"/>
        <w:rPr>
          <w:rFonts w:cs="Arial"/>
          <w:b/>
          <w:sz w:val="20"/>
          <w:lang w:val="en-US"/>
        </w:rPr>
      </w:pPr>
      <w:r w:rsidRPr="00BF210F">
        <w:rPr>
          <w:rFonts w:cs="Arial"/>
          <w:b/>
          <w:sz w:val="20"/>
          <w:lang w:val="en-US"/>
        </w:rPr>
        <w:br w:type="page"/>
      </w:r>
    </w:p>
    <w:p w14:paraId="52A410B5" w14:textId="25A096D5" w:rsidR="00EA43C5" w:rsidRPr="009258FF" w:rsidRDefault="00BF210F" w:rsidP="009258FF">
      <w:pPr>
        <w:rPr>
          <w:rFonts w:cs="Arial"/>
          <w:b/>
          <w:sz w:val="24"/>
          <w:szCs w:val="24"/>
          <w:lang w:val="en-US"/>
        </w:rPr>
      </w:pPr>
      <w:r>
        <w:rPr>
          <w:rFonts w:cs="Arial"/>
          <w:b/>
          <w:sz w:val="24"/>
          <w:szCs w:val="24"/>
          <w:lang w:val="en-US"/>
        </w:rPr>
        <w:lastRenderedPageBreak/>
        <w:t xml:space="preserve">Supplementary </w:t>
      </w:r>
      <w:r w:rsidR="001E03EE" w:rsidRPr="00BF210F">
        <w:rPr>
          <w:rFonts w:cs="Arial"/>
          <w:b/>
          <w:sz w:val="24"/>
          <w:lang w:val="en-US"/>
        </w:rPr>
        <w:t>Figure 1</w:t>
      </w:r>
      <w:r w:rsidR="00347453" w:rsidRPr="00BF210F">
        <w:rPr>
          <w:rFonts w:cs="Arial"/>
          <w:b/>
          <w:sz w:val="24"/>
          <w:lang w:val="en-US"/>
        </w:rPr>
        <w:t>1</w:t>
      </w:r>
      <w:r w:rsidR="00636756" w:rsidRPr="00BF210F">
        <w:rPr>
          <w:rFonts w:cs="Arial"/>
          <w:b/>
          <w:sz w:val="24"/>
          <w:lang w:val="en-US"/>
        </w:rPr>
        <w:t xml:space="preserve"> –</w:t>
      </w:r>
      <w:r w:rsidR="001E03EE" w:rsidRPr="00BF210F">
        <w:rPr>
          <w:rFonts w:cs="Arial"/>
          <w:b/>
          <w:sz w:val="24"/>
          <w:lang w:val="en-US"/>
        </w:rPr>
        <w:t xml:space="preserve"> Funnel plot of publication bias among studies evaluating</w:t>
      </w:r>
      <w:r w:rsidR="00F54B90" w:rsidRPr="00BF210F">
        <w:rPr>
          <w:rFonts w:cs="Arial"/>
          <w:b/>
          <w:sz w:val="24"/>
          <w:lang w:val="en-US"/>
        </w:rPr>
        <w:t xml:space="preserve"> the</w:t>
      </w:r>
      <w:r w:rsidR="001E03EE" w:rsidRPr="00BF210F">
        <w:rPr>
          <w:rFonts w:cs="Arial"/>
          <w:b/>
          <w:sz w:val="24"/>
          <w:lang w:val="en-US"/>
        </w:rPr>
        <w:t xml:space="preserve"> </w:t>
      </w:r>
      <w:r w:rsidR="00F54B90" w:rsidRPr="00BF210F">
        <w:rPr>
          <w:rFonts w:cs="Arial"/>
          <w:b/>
          <w:sz w:val="24"/>
          <w:lang w:val="en-US"/>
        </w:rPr>
        <w:t xml:space="preserve">likelihood of presenting with </w:t>
      </w:r>
      <w:r w:rsidR="001E03EE" w:rsidRPr="00BF210F">
        <w:rPr>
          <w:rFonts w:cs="Arial"/>
          <w:b/>
          <w:sz w:val="24"/>
          <w:lang w:val="en-US"/>
        </w:rPr>
        <w:t xml:space="preserve">estrogen receptor-positive status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9258FF">
        <w:rPr>
          <w:rFonts w:cs="Arial"/>
          <w:b/>
          <w:sz w:val="24"/>
          <w:szCs w:val="24"/>
          <w:lang w:val="en-US"/>
        </w:rPr>
        <w:t>.</w:t>
      </w:r>
      <w:r w:rsidR="00EA43C5" w:rsidRPr="00BF210F">
        <w:rPr>
          <w:rFonts w:cs="Arial"/>
          <w:noProof/>
          <w:lang w:val="pt-PT" w:eastAsia="pt-PT"/>
        </w:rPr>
        <w:drawing>
          <wp:inline distT="0" distB="0" distL="0" distR="0" wp14:anchorId="3AC376D4" wp14:editId="77B27F66">
            <wp:extent cx="5114925" cy="37433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5D6FF929" w14:textId="2D3D6655" w:rsidR="00EA43C5" w:rsidRDefault="00EA43C5" w:rsidP="00D66A20">
      <w:pPr>
        <w:rPr>
          <w:rFonts w:cs="Arial"/>
          <w:sz w:val="16"/>
          <w:lang w:val="en-US"/>
        </w:rPr>
      </w:pPr>
      <w:r w:rsidRPr="00BF210F">
        <w:rPr>
          <w:rFonts w:cs="Arial"/>
          <w:sz w:val="16"/>
          <w:lang w:val="en-US"/>
        </w:rPr>
        <w:t>Egger’s test: p=0</w:t>
      </w:r>
      <w:r w:rsidR="00A324DC" w:rsidRPr="00BF210F">
        <w:rPr>
          <w:rFonts w:cs="Arial"/>
          <w:sz w:val="16"/>
          <w:lang w:val="en-US"/>
        </w:rPr>
        <w:t>.</w:t>
      </w:r>
      <w:r w:rsidRPr="00BF210F">
        <w:rPr>
          <w:rFonts w:cs="Arial"/>
          <w:sz w:val="16"/>
          <w:lang w:val="en-US"/>
        </w:rPr>
        <w:t>047</w:t>
      </w:r>
    </w:p>
    <w:p w14:paraId="278B8925" w14:textId="77777777" w:rsidR="009258FF" w:rsidRPr="00BF210F" w:rsidRDefault="009258FF" w:rsidP="00D66A20">
      <w:pPr>
        <w:rPr>
          <w:rFonts w:cs="Arial"/>
          <w:lang w:val="en-US"/>
        </w:rPr>
      </w:pPr>
    </w:p>
    <w:p w14:paraId="5016448F" w14:textId="440F6560" w:rsidR="005A0738" w:rsidRPr="00BF210F" w:rsidRDefault="00BF210F" w:rsidP="00D66A20">
      <w:pPr>
        <w:rPr>
          <w:rFonts w:cs="Arial"/>
          <w:b/>
          <w:sz w:val="24"/>
          <w:szCs w:val="24"/>
          <w:lang w:val="en-US"/>
        </w:rPr>
      </w:pPr>
      <w:r>
        <w:rPr>
          <w:rFonts w:cs="Arial"/>
          <w:b/>
          <w:sz w:val="24"/>
          <w:szCs w:val="24"/>
          <w:lang w:val="en-US"/>
        </w:rPr>
        <w:t xml:space="preserve">Supplementary </w:t>
      </w:r>
      <w:r w:rsidR="00D66A20" w:rsidRPr="00BF210F">
        <w:rPr>
          <w:rFonts w:cs="Arial"/>
          <w:b/>
          <w:sz w:val="24"/>
          <w:szCs w:val="24"/>
          <w:lang w:val="en-US"/>
        </w:rPr>
        <w:t xml:space="preserve">Table </w:t>
      </w:r>
      <w:r w:rsidR="00347453" w:rsidRPr="00BF210F">
        <w:rPr>
          <w:rFonts w:cs="Arial"/>
          <w:b/>
          <w:sz w:val="24"/>
          <w:szCs w:val="24"/>
          <w:lang w:val="en-US"/>
        </w:rPr>
        <w:t>2</w:t>
      </w:r>
      <w:r w:rsidR="005A0738" w:rsidRPr="00BF210F">
        <w:rPr>
          <w:rFonts w:cs="Arial"/>
          <w:sz w:val="24"/>
          <w:szCs w:val="24"/>
          <w:lang w:val="en-US"/>
        </w:rPr>
        <w:t xml:space="preserve"> </w:t>
      </w:r>
      <w:r w:rsidR="005A0738" w:rsidRPr="00BF210F">
        <w:rPr>
          <w:rFonts w:cs="Arial"/>
          <w:b/>
          <w:sz w:val="24"/>
          <w:szCs w:val="24"/>
          <w:lang w:val="en-US"/>
        </w:rPr>
        <w:t xml:space="preserve">– Sensitivity analysis of </w:t>
      </w:r>
      <w:r w:rsidR="00F54B90" w:rsidRPr="00BF210F">
        <w:rPr>
          <w:rFonts w:cs="Arial"/>
          <w:b/>
          <w:sz w:val="24"/>
          <w:szCs w:val="24"/>
          <w:lang w:val="en-US"/>
        </w:rPr>
        <w:t xml:space="preserve">the odds of presenting with locally advanced/metastatic stage (III/IV) at diagnosis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9258FF">
        <w:rPr>
          <w:rFonts w:cs="Arial"/>
          <w:b/>
          <w:sz w:val="24"/>
          <w:szCs w:val="24"/>
          <w:lang w:val="en-US"/>
        </w:rPr>
        <w:t xml:space="preserve"> </w:t>
      </w:r>
      <w:r w:rsidR="00573809" w:rsidRPr="00BF210F">
        <w:rPr>
          <w:rFonts w:cs="Arial"/>
          <w:b/>
          <w:sz w:val="24"/>
          <w:szCs w:val="24"/>
          <w:lang w:val="en-US"/>
        </w:rPr>
        <w:t>(all studies)</w:t>
      </w:r>
      <w:r w:rsidR="005A0738" w:rsidRPr="00BF210F">
        <w:rPr>
          <w:rFonts w:cs="Arial"/>
          <w:b/>
          <w:sz w:val="24"/>
          <w:szCs w:val="24"/>
          <w:lang w:val="en-US"/>
        </w:rPr>
        <w:t>.</w:t>
      </w:r>
    </w:p>
    <w:p w14:paraId="44EC45D9" w14:textId="77777777" w:rsidR="00814DB9" w:rsidRPr="00BF210F" w:rsidRDefault="00814DB9" w:rsidP="00D66A20">
      <w:pPr>
        <w:rPr>
          <w:rFonts w:cs="Arial"/>
          <w:sz w:val="24"/>
          <w:szCs w:val="24"/>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814DB9" w:rsidRPr="00BF210F" w14:paraId="67521647" w14:textId="77777777" w:rsidTr="00045D96">
        <w:tc>
          <w:tcPr>
            <w:tcW w:w="2098" w:type="dxa"/>
            <w:vMerge w:val="restart"/>
          </w:tcPr>
          <w:p w14:paraId="68CBFFD7" w14:textId="77777777" w:rsidR="00814DB9" w:rsidRPr="00BF210F" w:rsidRDefault="00814DB9" w:rsidP="00045D96">
            <w:pPr>
              <w:jc w:val="center"/>
              <w:rPr>
                <w:rFonts w:cs="Arial"/>
                <w:b/>
                <w:sz w:val="20"/>
                <w:szCs w:val="20"/>
              </w:rPr>
            </w:pPr>
            <w:r w:rsidRPr="00BF210F">
              <w:rPr>
                <w:rFonts w:cs="Arial"/>
                <w:b/>
                <w:sz w:val="20"/>
                <w:szCs w:val="20"/>
              </w:rPr>
              <w:t>Study excluded</w:t>
            </w:r>
          </w:p>
        </w:tc>
        <w:tc>
          <w:tcPr>
            <w:tcW w:w="4086" w:type="dxa"/>
            <w:gridSpan w:val="3"/>
          </w:tcPr>
          <w:p w14:paraId="7522C773" w14:textId="77777777" w:rsidR="00814DB9" w:rsidRPr="00BF210F" w:rsidRDefault="00814DB9" w:rsidP="00045D96">
            <w:pPr>
              <w:jc w:val="center"/>
              <w:rPr>
                <w:rFonts w:cs="Arial"/>
                <w:b/>
                <w:sz w:val="20"/>
                <w:szCs w:val="20"/>
              </w:rPr>
            </w:pPr>
            <w:r w:rsidRPr="00BF210F">
              <w:rPr>
                <w:rFonts w:cs="Arial"/>
                <w:b/>
                <w:sz w:val="20"/>
                <w:szCs w:val="20"/>
              </w:rPr>
              <w:t>Random effect</w:t>
            </w:r>
          </w:p>
        </w:tc>
        <w:tc>
          <w:tcPr>
            <w:tcW w:w="1539" w:type="dxa"/>
            <w:vMerge w:val="restart"/>
          </w:tcPr>
          <w:p w14:paraId="524A79A4" w14:textId="77777777" w:rsidR="00814DB9" w:rsidRPr="00BF210F" w:rsidRDefault="00814DB9" w:rsidP="00045D96">
            <w:pPr>
              <w:jc w:val="center"/>
              <w:rPr>
                <w:rFonts w:cs="Arial"/>
                <w:b/>
                <w:sz w:val="20"/>
                <w:szCs w:val="20"/>
              </w:rPr>
            </w:pPr>
            <w:r w:rsidRPr="00BF210F">
              <w:rPr>
                <w:rFonts w:cs="Arial"/>
                <w:b/>
                <w:sz w:val="20"/>
                <w:szCs w:val="20"/>
              </w:rPr>
              <w:t>I-squared (%)</w:t>
            </w:r>
          </w:p>
        </w:tc>
        <w:tc>
          <w:tcPr>
            <w:tcW w:w="1446" w:type="dxa"/>
            <w:vMerge w:val="restart"/>
          </w:tcPr>
          <w:p w14:paraId="0E2973F4" w14:textId="77777777" w:rsidR="00814DB9" w:rsidRPr="00BF210F" w:rsidRDefault="00814DB9" w:rsidP="00045D96">
            <w:pPr>
              <w:jc w:val="center"/>
              <w:rPr>
                <w:rFonts w:cs="Arial"/>
                <w:b/>
                <w:sz w:val="20"/>
                <w:szCs w:val="20"/>
              </w:rPr>
            </w:pPr>
            <w:r w:rsidRPr="00BF210F">
              <w:rPr>
                <w:rFonts w:cs="Arial"/>
                <w:b/>
                <w:sz w:val="20"/>
                <w:szCs w:val="20"/>
              </w:rPr>
              <w:t>I-sq. P-value</w:t>
            </w:r>
          </w:p>
        </w:tc>
      </w:tr>
      <w:tr w:rsidR="00814DB9" w:rsidRPr="00BF210F" w14:paraId="3238FE69" w14:textId="77777777" w:rsidTr="00814DB9">
        <w:tc>
          <w:tcPr>
            <w:tcW w:w="2098" w:type="dxa"/>
            <w:vMerge/>
          </w:tcPr>
          <w:p w14:paraId="532D9C4D" w14:textId="77777777" w:rsidR="00814DB9" w:rsidRPr="00BF210F" w:rsidRDefault="00814DB9" w:rsidP="00045D96">
            <w:pPr>
              <w:jc w:val="center"/>
              <w:rPr>
                <w:rFonts w:cs="Arial"/>
                <w:b/>
                <w:sz w:val="20"/>
                <w:szCs w:val="20"/>
              </w:rPr>
            </w:pPr>
          </w:p>
        </w:tc>
        <w:tc>
          <w:tcPr>
            <w:tcW w:w="1362" w:type="dxa"/>
          </w:tcPr>
          <w:p w14:paraId="17D20F24" w14:textId="57434FF2" w:rsidR="00814DB9" w:rsidRPr="00BF210F" w:rsidRDefault="00814DB9" w:rsidP="00045D96">
            <w:pPr>
              <w:jc w:val="center"/>
              <w:rPr>
                <w:rFonts w:cs="Arial"/>
                <w:b/>
                <w:sz w:val="20"/>
                <w:szCs w:val="20"/>
              </w:rPr>
            </w:pPr>
            <w:r w:rsidRPr="00BF210F">
              <w:rPr>
                <w:rFonts w:cs="Arial"/>
                <w:b/>
                <w:sz w:val="20"/>
                <w:szCs w:val="20"/>
              </w:rPr>
              <w:t>Pooled OR</w:t>
            </w:r>
          </w:p>
        </w:tc>
        <w:tc>
          <w:tcPr>
            <w:tcW w:w="1362" w:type="dxa"/>
          </w:tcPr>
          <w:p w14:paraId="709B9165" w14:textId="77777777" w:rsidR="00814DB9" w:rsidRPr="00BF210F" w:rsidRDefault="00814DB9" w:rsidP="00045D96">
            <w:pPr>
              <w:jc w:val="center"/>
              <w:rPr>
                <w:rFonts w:cs="Arial"/>
                <w:b/>
                <w:sz w:val="20"/>
                <w:szCs w:val="20"/>
              </w:rPr>
            </w:pPr>
            <w:r w:rsidRPr="00BF210F">
              <w:rPr>
                <w:rFonts w:cs="Arial"/>
                <w:b/>
                <w:sz w:val="20"/>
                <w:szCs w:val="20"/>
              </w:rPr>
              <w:t>95% CI</w:t>
            </w:r>
          </w:p>
        </w:tc>
        <w:tc>
          <w:tcPr>
            <w:tcW w:w="1362" w:type="dxa"/>
          </w:tcPr>
          <w:p w14:paraId="1B25CE2C" w14:textId="77777777" w:rsidR="00814DB9" w:rsidRPr="00BF210F" w:rsidRDefault="00814DB9" w:rsidP="00045D96">
            <w:pPr>
              <w:jc w:val="center"/>
              <w:rPr>
                <w:rFonts w:cs="Arial"/>
                <w:b/>
                <w:sz w:val="20"/>
                <w:szCs w:val="20"/>
              </w:rPr>
            </w:pPr>
            <w:r w:rsidRPr="00BF210F">
              <w:rPr>
                <w:rFonts w:cs="Arial"/>
                <w:b/>
                <w:sz w:val="20"/>
                <w:szCs w:val="20"/>
              </w:rPr>
              <w:t>P-value</w:t>
            </w:r>
          </w:p>
        </w:tc>
        <w:tc>
          <w:tcPr>
            <w:tcW w:w="1539" w:type="dxa"/>
            <w:vMerge/>
          </w:tcPr>
          <w:p w14:paraId="146338D7" w14:textId="77777777" w:rsidR="00814DB9" w:rsidRPr="00BF210F" w:rsidRDefault="00814DB9" w:rsidP="00045D96">
            <w:pPr>
              <w:jc w:val="center"/>
              <w:rPr>
                <w:rFonts w:cs="Arial"/>
                <w:b/>
                <w:sz w:val="20"/>
                <w:szCs w:val="20"/>
              </w:rPr>
            </w:pPr>
          </w:p>
        </w:tc>
        <w:tc>
          <w:tcPr>
            <w:tcW w:w="1446" w:type="dxa"/>
            <w:vMerge/>
          </w:tcPr>
          <w:p w14:paraId="3D885531" w14:textId="77777777" w:rsidR="00814DB9" w:rsidRPr="00BF210F" w:rsidRDefault="00814DB9" w:rsidP="00045D96">
            <w:pPr>
              <w:jc w:val="center"/>
              <w:rPr>
                <w:rFonts w:cs="Arial"/>
                <w:b/>
                <w:sz w:val="20"/>
                <w:szCs w:val="20"/>
              </w:rPr>
            </w:pPr>
          </w:p>
        </w:tc>
      </w:tr>
      <w:tr w:rsidR="00814DB9" w:rsidRPr="00BF210F" w14:paraId="6F1D5982" w14:textId="77777777" w:rsidTr="00814DB9">
        <w:tc>
          <w:tcPr>
            <w:tcW w:w="2098" w:type="dxa"/>
          </w:tcPr>
          <w:p w14:paraId="4F84D22B" w14:textId="77777777" w:rsidR="00814DB9" w:rsidRPr="00BF210F" w:rsidRDefault="00814DB9" w:rsidP="00045D96">
            <w:pPr>
              <w:jc w:val="center"/>
              <w:rPr>
                <w:rFonts w:cs="Arial"/>
                <w:sz w:val="20"/>
                <w:szCs w:val="20"/>
              </w:rPr>
            </w:pPr>
            <w:r w:rsidRPr="00BF210F">
              <w:rPr>
                <w:rFonts w:cs="Arial"/>
                <w:sz w:val="20"/>
                <w:szCs w:val="20"/>
              </w:rPr>
              <w:t>Sseggwanyi 2011</w:t>
            </w:r>
          </w:p>
        </w:tc>
        <w:tc>
          <w:tcPr>
            <w:tcW w:w="1362" w:type="dxa"/>
          </w:tcPr>
          <w:p w14:paraId="357F9529" w14:textId="77777777" w:rsidR="00814DB9" w:rsidRPr="00BF210F" w:rsidRDefault="00814DB9" w:rsidP="00045D96">
            <w:pPr>
              <w:jc w:val="center"/>
              <w:rPr>
                <w:rFonts w:cs="Arial"/>
                <w:sz w:val="20"/>
                <w:szCs w:val="20"/>
              </w:rPr>
            </w:pPr>
            <w:r w:rsidRPr="00BF210F">
              <w:rPr>
                <w:rFonts w:cs="Arial"/>
                <w:sz w:val="20"/>
                <w:szCs w:val="20"/>
              </w:rPr>
              <w:t>1.40</w:t>
            </w:r>
          </w:p>
        </w:tc>
        <w:tc>
          <w:tcPr>
            <w:tcW w:w="1362" w:type="dxa"/>
          </w:tcPr>
          <w:p w14:paraId="7A8A220E" w14:textId="77777777" w:rsidR="00814DB9" w:rsidRPr="00BF210F" w:rsidRDefault="00814DB9" w:rsidP="00045D96">
            <w:pPr>
              <w:jc w:val="center"/>
              <w:rPr>
                <w:rFonts w:cs="Arial"/>
                <w:sz w:val="20"/>
                <w:szCs w:val="20"/>
              </w:rPr>
            </w:pPr>
            <w:r w:rsidRPr="00BF210F">
              <w:rPr>
                <w:rFonts w:cs="Arial"/>
                <w:sz w:val="20"/>
                <w:szCs w:val="20"/>
              </w:rPr>
              <w:t>1.21-1.64</w:t>
            </w:r>
          </w:p>
        </w:tc>
        <w:tc>
          <w:tcPr>
            <w:tcW w:w="1362" w:type="dxa"/>
          </w:tcPr>
          <w:p w14:paraId="20495CF6"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3980162B" w14:textId="77777777" w:rsidR="00814DB9" w:rsidRPr="00BF210F" w:rsidRDefault="00814DB9" w:rsidP="00045D96">
            <w:pPr>
              <w:jc w:val="center"/>
              <w:rPr>
                <w:rFonts w:cs="Arial"/>
                <w:sz w:val="20"/>
                <w:szCs w:val="20"/>
              </w:rPr>
            </w:pPr>
            <w:r w:rsidRPr="00BF210F">
              <w:rPr>
                <w:rFonts w:cs="Arial"/>
                <w:sz w:val="20"/>
                <w:szCs w:val="20"/>
              </w:rPr>
              <w:t>47.5</w:t>
            </w:r>
          </w:p>
        </w:tc>
        <w:tc>
          <w:tcPr>
            <w:tcW w:w="1446" w:type="dxa"/>
          </w:tcPr>
          <w:p w14:paraId="01DF506F" w14:textId="77777777" w:rsidR="00814DB9" w:rsidRPr="00BF210F" w:rsidRDefault="00814DB9" w:rsidP="00045D96">
            <w:pPr>
              <w:jc w:val="center"/>
              <w:rPr>
                <w:rFonts w:cs="Arial"/>
                <w:sz w:val="20"/>
                <w:szCs w:val="20"/>
              </w:rPr>
            </w:pPr>
            <w:r w:rsidRPr="00BF210F">
              <w:rPr>
                <w:rFonts w:cs="Arial"/>
                <w:sz w:val="20"/>
                <w:szCs w:val="20"/>
              </w:rPr>
              <w:t>0.025</w:t>
            </w:r>
          </w:p>
        </w:tc>
      </w:tr>
      <w:tr w:rsidR="00814DB9" w:rsidRPr="00BF210F" w14:paraId="4A4741C2" w14:textId="77777777" w:rsidTr="00814DB9">
        <w:tc>
          <w:tcPr>
            <w:tcW w:w="2098" w:type="dxa"/>
          </w:tcPr>
          <w:p w14:paraId="53FFD05B" w14:textId="77777777" w:rsidR="00814DB9" w:rsidRPr="00BF210F" w:rsidRDefault="00814DB9" w:rsidP="00045D96">
            <w:pPr>
              <w:jc w:val="center"/>
              <w:rPr>
                <w:rFonts w:cs="Arial"/>
                <w:sz w:val="20"/>
                <w:szCs w:val="20"/>
              </w:rPr>
            </w:pPr>
            <w:r w:rsidRPr="00BF210F">
              <w:rPr>
                <w:rFonts w:cs="Arial"/>
                <w:sz w:val="20"/>
                <w:szCs w:val="20"/>
              </w:rPr>
              <w:t>Cubasch 2013</w:t>
            </w:r>
          </w:p>
        </w:tc>
        <w:tc>
          <w:tcPr>
            <w:tcW w:w="1362" w:type="dxa"/>
          </w:tcPr>
          <w:p w14:paraId="17E914D8" w14:textId="77777777" w:rsidR="00814DB9" w:rsidRPr="00BF210F" w:rsidRDefault="00814DB9" w:rsidP="00045D96">
            <w:pPr>
              <w:jc w:val="center"/>
              <w:rPr>
                <w:rFonts w:cs="Arial"/>
                <w:sz w:val="20"/>
                <w:szCs w:val="20"/>
              </w:rPr>
            </w:pPr>
            <w:r w:rsidRPr="00BF210F">
              <w:rPr>
                <w:rFonts w:cs="Arial"/>
                <w:sz w:val="20"/>
                <w:szCs w:val="20"/>
              </w:rPr>
              <w:t>1.47</w:t>
            </w:r>
          </w:p>
        </w:tc>
        <w:tc>
          <w:tcPr>
            <w:tcW w:w="1362" w:type="dxa"/>
          </w:tcPr>
          <w:p w14:paraId="63D15784" w14:textId="77777777" w:rsidR="00814DB9" w:rsidRPr="00BF210F" w:rsidRDefault="00814DB9" w:rsidP="00045D96">
            <w:pPr>
              <w:jc w:val="center"/>
              <w:rPr>
                <w:rFonts w:cs="Arial"/>
                <w:sz w:val="20"/>
                <w:szCs w:val="20"/>
              </w:rPr>
            </w:pPr>
            <w:r w:rsidRPr="00BF210F">
              <w:rPr>
                <w:rFonts w:cs="Arial"/>
                <w:sz w:val="20"/>
                <w:szCs w:val="20"/>
              </w:rPr>
              <w:t>1.26-1.72</w:t>
            </w:r>
          </w:p>
        </w:tc>
        <w:tc>
          <w:tcPr>
            <w:tcW w:w="1362" w:type="dxa"/>
          </w:tcPr>
          <w:p w14:paraId="711753DE"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26F96196" w14:textId="77777777" w:rsidR="00814DB9" w:rsidRPr="00BF210F" w:rsidRDefault="00814DB9" w:rsidP="00045D96">
            <w:pPr>
              <w:jc w:val="center"/>
              <w:rPr>
                <w:rFonts w:cs="Arial"/>
                <w:sz w:val="20"/>
                <w:szCs w:val="20"/>
              </w:rPr>
            </w:pPr>
            <w:r w:rsidRPr="00BF210F">
              <w:rPr>
                <w:rFonts w:cs="Arial"/>
                <w:sz w:val="20"/>
                <w:szCs w:val="20"/>
              </w:rPr>
              <w:t>44.5</w:t>
            </w:r>
          </w:p>
        </w:tc>
        <w:tc>
          <w:tcPr>
            <w:tcW w:w="1446" w:type="dxa"/>
          </w:tcPr>
          <w:p w14:paraId="48218DBC" w14:textId="77777777" w:rsidR="00814DB9" w:rsidRPr="00BF210F" w:rsidRDefault="00814DB9" w:rsidP="00045D96">
            <w:pPr>
              <w:jc w:val="center"/>
              <w:rPr>
                <w:rFonts w:cs="Arial"/>
                <w:sz w:val="20"/>
                <w:szCs w:val="20"/>
              </w:rPr>
            </w:pPr>
            <w:r w:rsidRPr="00BF210F">
              <w:rPr>
                <w:rFonts w:cs="Arial"/>
                <w:sz w:val="20"/>
                <w:szCs w:val="20"/>
              </w:rPr>
              <w:t>0.037</w:t>
            </w:r>
          </w:p>
        </w:tc>
      </w:tr>
      <w:tr w:rsidR="00814DB9" w:rsidRPr="00BF210F" w14:paraId="5DE8CC96" w14:textId="77777777" w:rsidTr="00814DB9">
        <w:tc>
          <w:tcPr>
            <w:tcW w:w="2098" w:type="dxa"/>
          </w:tcPr>
          <w:p w14:paraId="2AB28EDD" w14:textId="77777777" w:rsidR="00814DB9" w:rsidRPr="00BF210F" w:rsidRDefault="00814DB9" w:rsidP="00045D96">
            <w:pPr>
              <w:jc w:val="center"/>
              <w:rPr>
                <w:rFonts w:cs="Arial"/>
                <w:sz w:val="20"/>
                <w:szCs w:val="20"/>
              </w:rPr>
            </w:pPr>
            <w:r w:rsidRPr="00BF210F">
              <w:rPr>
                <w:rFonts w:cs="Arial"/>
                <w:sz w:val="20"/>
                <w:szCs w:val="20"/>
              </w:rPr>
              <w:t>Shiels 2015</w:t>
            </w:r>
          </w:p>
        </w:tc>
        <w:tc>
          <w:tcPr>
            <w:tcW w:w="1362" w:type="dxa"/>
          </w:tcPr>
          <w:p w14:paraId="1F1F7088" w14:textId="77777777" w:rsidR="00814DB9" w:rsidRPr="00BF210F" w:rsidRDefault="00814DB9" w:rsidP="00045D96">
            <w:pPr>
              <w:jc w:val="center"/>
              <w:rPr>
                <w:rFonts w:cs="Arial"/>
                <w:sz w:val="20"/>
                <w:szCs w:val="20"/>
              </w:rPr>
            </w:pPr>
            <w:r w:rsidRPr="00BF210F">
              <w:rPr>
                <w:rFonts w:cs="Arial"/>
                <w:sz w:val="20"/>
                <w:szCs w:val="20"/>
              </w:rPr>
              <w:t>1.37</w:t>
            </w:r>
          </w:p>
        </w:tc>
        <w:tc>
          <w:tcPr>
            <w:tcW w:w="1362" w:type="dxa"/>
          </w:tcPr>
          <w:p w14:paraId="142CC662" w14:textId="77777777" w:rsidR="00814DB9" w:rsidRPr="00BF210F" w:rsidRDefault="00814DB9" w:rsidP="00045D96">
            <w:pPr>
              <w:jc w:val="center"/>
              <w:rPr>
                <w:rFonts w:cs="Arial"/>
                <w:sz w:val="20"/>
                <w:szCs w:val="20"/>
              </w:rPr>
            </w:pPr>
            <w:r w:rsidRPr="00BF210F">
              <w:rPr>
                <w:rFonts w:cs="Arial"/>
                <w:sz w:val="20"/>
                <w:szCs w:val="20"/>
              </w:rPr>
              <w:t>1.15-1.64</w:t>
            </w:r>
          </w:p>
        </w:tc>
        <w:tc>
          <w:tcPr>
            <w:tcW w:w="1362" w:type="dxa"/>
          </w:tcPr>
          <w:p w14:paraId="14C36131"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26744222" w14:textId="77777777" w:rsidR="00814DB9" w:rsidRPr="00BF210F" w:rsidRDefault="00814DB9" w:rsidP="00045D96">
            <w:pPr>
              <w:jc w:val="center"/>
              <w:rPr>
                <w:rFonts w:cs="Arial"/>
                <w:sz w:val="20"/>
                <w:szCs w:val="20"/>
              </w:rPr>
            </w:pPr>
            <w:r w:rsidRPr="00BF210F">
              <w:rPr>
                <w:rFonts w:cs="Arial"/>
                <w:sz w:val="20"/>
                <w:szCs w:val="20"/>
              </w:rPr>
              <w:t>48.1</w:t>
            </w:r>
          </w:p>
        </w:tc>
        <w:tc>
          <w:tcPr>
            <w:tcW w:w="1446" w:type="dxa"/>
          </w:tcPr>
          <w:p w14:paraId="5519E812" w14:textId="77777777" w:rsidR="00814DB9" w:rsidRPr="00BF210F" w:rsidRDefault="00814DB9" w:rsidP="00045D96">
            <w:pPr>
              <w:jc w:val="center"/>
              <w:rPr>
                <w:rFonts w:cs="Arial"/>
                <w:sz w:val="20"/>
                <w:szCs w:val="20"/>
              </w:rPr>
            </w:pPr>
            <w:r w:rsidRPr="00BF210F">
              <w:rPr>
                <w:rFonts w:cs="Arial"/>
                <w:sz w:val="20"/>
                <w:szCs w:val="20"/>
              </w:rPr>
              <w:t>0.023</w:t>
            </w:r>
          </w:p>
        </w:tc>
      </w:tr>
      <w:tr w:rsidR="00814DB9" w:rsidRPr="00BF210F" w14:paraId="612644CB" w14:textId="77777777" w:rsidTr="00814DB9">
        <w:tc>
          <w:tcPr>
            <w:tcW w:w="2098" w:type="dxa"/>
          </w:tcPr>
          <w:p w14:paraId="46FD6C5C" w14:textId="77777777" w:rsidR="00814DB9" w:rsidRPr="00BF210F" w:rsidRDefault="00814DB9" w:rsidP="00045D96">
            <w:pPr>
              <w:jc w:val="center"/>
              <w:rPr>
                <w:rFonts w:cs="Arial"/>
                <w:sz w:val="20"/>
                <w:szCs w:val="20"/>
              </w:rPr>
            </w:pPr>
            <w:r w:rsidRPr="00BF210F">
              <w:rPr>
                <w:rFonts w:cs="Arial"/>
                <w:sz w:val="20"/>
                <w:szCs w:val="20"/>
              </w:rPr>
              <w:t>Traore 2015</w:t>
            </w:r>
          </w:p>
        </w:tc>
        <w:tc>
          <w:tcPr>
            <w:tcW w:w="1362" w:type="dxa"/>
          </w:tcPr>
          <w:p w14:paraId="0332E569" w14:textId="77777777" w:rsidR="00814DB9" w:rsidRPr="00BF210F" w:rsidRDefault="00814DB9" w:rsidP="00045D96">
            <w:pPr>
              <w:jc w:val="center"/>
              <w:rPr>
                <w:rFonts w:cs="Arial"/>
                <w:sz w:val="20"/>
                <w:szCs w:val="20"/>
              </w:rPr>
            </w:pPr>
            <w:r w:rsidRPr="00BF210F">
              <w:rPr>
                <w:rFonts w:cs="Arial"/>
                <w:sz w:val="20"/>
                <w:szCs w:val="20"/>
              </w:rPr>
              <w:t>1.42</w:t>
            </w:r>
          </w:p>
        </w:tc>
        <w:tc>
          <w:tcPr>
            <w:tcW w:w="1362" w:type="dxa"/>
          </w:tcPr>
          <w:p w14:paraId="52979468" w14:textId="77777777" w:rsidR="00814DB9" w:rsidRPr="00BF210F" w:rsidRDefault="00814DB9" w:rsidP="00045D96">
            <w:pPr>
              <w:jc w:val="center"/>
              <w:rPr>
                <w:rFonts w:cs="Arial"/>
                <w:sz w:val="20"/>
                <w:szCs w:val="20"/>
              </w:rPr>
            </w:pPr>
            <w:r w:rsidRPr="00BF210F">
              <w:rPr>
                <w:rFonts w:cs="Arial"/>
                <w:sz w:val="20"/>
                <w:szCs w:val="20"/>
              </w:rPr>
              <w:t>1.21-1.67</w:t>
            </w:r>
          </w:p>
        </w:tc>
        <w:tc>
          <w:tcPr>
            <w:tcW w:w="1362" w:type="dxa"/>
          </w:tcPr>
          <w:p w14:paraId="1C253A85"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5B42B78A" w14:textId="77777777" w:rsidR="00814DB9" w:rsidRPr="00BF210F" w:rsidRDefault="00814DB9" w:rsidP="00045D96">
            <w:pPr>
              <w:jc w:val="center"/>
              <w:rPr>
                <w:rFonts w:cs="Arial"/>
                <w:sz w:val="20"/>
                <w:szCs w:val="20"/>
              </w:rPr>
            </w:pPr>
            <w:r w:rsidRPr="00BF210F">
              <w:rPr>
                <w:rFonts w:cs="Arial"/>
                <w:sz w:val="20"/>
                <w:szCs w:val="20"/>
              </w:rPr>
              <w:t>52.8</w:t>
            </w:r>
          </w:p>
        </w:tc>
        <w:tc>
          <w:tcPr>
            <w:tcW w:w="1446" w:type="dxa"/>
          </w:tcPr>
          <w:p w14:paraId="2987FDF4" w14:textId="77777777" w:rsidR="00814DB9" w:rsidRPr="00BF210F" w:rsidRDefault="00814DB9" w:rsidP="00045D96">
            <w:pPr>
              <w:jc w:val="center"/>
              <w:rPr>
                <w:rFonts w:cs="Arial"/>
                <w:sz w:val="20"/>
                <w:szCs w:val="20"/>
              </w:rPr>
            </w:pPr>
            <w:r w:rsidRPr="00BF210F">
              <w:rPr>
                <w:rFonts w:cs="Arial"/>
                <w:sz w:val="20"/>
                <w:szCs w:val="20"/>
              </w:rPr>
              <w:t>0.011</w:t>
            </w:r>
          </w:p>
        </w:tc>
      </w:tr>
      <w:tr w:rsidR="00814DB9" w:rsidRPr="00BF210F" w14:paraId="1E5D5663" w14:textId="77777777" w:rsidTr="00814DB9">
        <w:tc>
          <w:tcPr>
            <w:tcW w:w="2098" w:type="dxa"/>
          </w:tcPr>
          <w:p w14:paraId="142A00B5" w14:textId="77777777" w:rsidR="00814DB9" w:rsidRPr="00BF210F" w:rsidRDefault="00814DB9" w:rsidP="00045D96">
            <w:pPr>
              <w:jc w:val="center"/>
              <w:rPr>
                <w:rFonts w:cs="Arial"/>
                <w:sz w:val="20"/>
                <w:szCs w:val="20"/>
              </w:rPr>
            </w:pPr>
            <w:r w:rsidRPr="00BF210F">
              <w:rPr>
                <w:rFonts w:cs="Arial"/>
                <w:sz w:val="20"/>
                <w:szCs w:val="20"/>
              </w:rPr>
              <w:t>Langenhoven 2016</w:t>
            </w:r>
          </w:p>
        </w:tc>
        <w:tc>
          <w:tcPr>
            <w:tcW w:w="1362" w:type="dxa"/>
          </w:tcPr>
          <w:p w14:paraId="2A69D4E1" w14:textId="77777777" w:rsidR="00814DB9" w:rsidRPr="00BF210F" w:rsidRDefault="00814DB9" w:rsidP="00045D96">
            <w:pPr>
              <w:jc w:val="center"/>
              <w:rPr>
                <w:rFonts w:cs="Arial"/>
                <w:sz w:val="20"/>
                <w:szCs w:val="20"/>
              </w:rPr>
            </w:pPr>
            <w:r w:rsidRPr="00BF210F">
              <w:rPr>
                <w:rFonts w:cs="Arial"/>
                <w:sz w:val="20"/>
                <w:szCs w:val="20"/>
              </w:rPr>
              <w:t>1.41</w:t>
            </w:r>
          </w:p>
        </w:tc>
        <w:tc>
          <w:tcPr>
            <w:tcW w:w="1362" w:type="dxa"/>
          </w:tcPr>
          <w:p w14:paraId="39188D43" w14:textId="77777777" w:rsidR="00814DB9" w:rsidRPr="00BF210F" w:rsidRDefault="00814DB9" w:rsidP="00045D96">
            <w:pPr>
              <w:jc w:val="center"/>
              <w:rPr>
                <w:rFonts w:cs="Arial"/>
                <w:sz w:val="20"/>
                <w:szCs w:val="20"/>
              </w:rPr>
            </w:pPr>
            <w:r w:rsidRPr="00BF210F">
              <w:rPr>
                <w:rFonts w:cs="Arial"/>
                <w:sz w:val="20"/>
                <w:szCs w:val="20"/>
              </w:rPr>
              <w:t>1.20-1.66</w:t>
            </w:r>
          </w:p>
        </w:tc>
        <w:tc>
          <w:tcPr>
            <w:tcW w:w="1362" w:type="dxa"/>
          </w:tcPr>
          <w:p w14:paraId="7DF00ECA"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7D745836" w14:textId="77777777" w:rsidR="00814DB9" w:rsidRPr="00BF210F" w:rsidRDefault="00814DB9" w:rsidP="00045D96">
            <w:pPr>
              <w:jc w:val="center"/>
              <w:rPr>
                <w:rFonts w:cs="Arial"/>
                <w:sz w:val="20"/>
                <w:szCs w:val="20"/>
              </w:rPr>
            </w:pPr>
            <w:r w:rsidRPr="00BF210F">
              <w:rPr>
                <w:rFonts w:cs="Arial"/>
                <w:sz w:val="20"/>
                <w:szCs w:val="20"/>
              </w:rPr>
              <w:t>52.5</w:t>
            </w:r>
          </w:p>
        </w:tc>
        <w:tc>
          <w:tcPr>
            <w:tcW w:w="1446" w:type="dxa"/>
          </w:tcPr>
          <w:p w14:paraId="73690121" w14:textId="77777777" w:rsidR="00814DB9" w:rsidRPr="00BF210F" w:rsidRDefault="00814DB9" w:rsidP="00045D96">
            <w:pPr>
              <w:jc w:val="center"/>
              <w:rPr>
                <w:rFonts w:cs="Arial"/>
                <w:sz w:val="20"/>
                <w:szCs w:val="20"/>
              </w:rPr>
            </w:pPr>
            <w:r w:rsidRPr="00BF210F">
              <w:rPr>
                <w:rFonts w:cs="Arial"/>
                <w:sz w:val="20"/>
                <w:szCs w:val="20"/>
              </w:rPr>
              <w:t>0.011</w:t>
            </w:r>
          </w:p>
        </w:tc>
      </w:tr>
      <w:tr w:rsidR="00814DB9" w:rsidRPr="00BF210F" w14:paraId="460B6323" w14:textId="77777777" w:rsidTr="00814DB9">
        <w:tc>
          <w:tcPr>
            <w:tcW w:w="2098" w:type="dxa"/>
          </w:tcPr>
          <w:p w14:paraId="7DC7D021" w14:textId="77777777" w:rsidR="00814DB9" w:rsidRPr="00BF210F" w:rsidRDefault="00814DB9" w:rsidP="00045D96">
            <w:pPr>
              <w:jc w:val="center"/>
              <w:rPr>
                <w:rFonts w:cs="Arial"/>
                <w:sz w:val="20"/>
                <w:szCs w:val="20"/>
              </w:rPr>
            </w:pPr>
            <w:r w:rsidRPr="00BF210F">
              <w:rPr>
                <w:rFonts w:cs="Arial"/>
                <w:sz w:val="20"/>
                <w:szCs w:val="20"/>
              </w:rPr>
              <w:t>Phakathi 2016</w:t>
            </w:r>
          </w:p>
        </w:tc>
        <w:tc>
          <w:tcPr>
            <w:tcW w:w="1362" w:type="dxa"/>
          </w:tcPr>
          <w:p w14:paraId="75887CB8" w14:textId="77777777" w:rsidR="00814DB9" w:rsidRPr="00BF210F" w:rsidRDefault="00814DB9" w:rsidP="00045D96">
            <w:pPr>
              <w:jc w:val="center"/>
              <w:rPr>
                <w:rFonts w:cs="Arial"/>
                <w:sz w:val="20"/>
                <w:szCs w:val="20"/>
              </w:rPr>
            </w:pPr>
            <w:r w:rsidRPr="00BF210F">
              <w:rPr>
                <w:rFonts w:cs="Arial"/>
                <w:sz w:val="20"/>
                <w:szCs w:val="20"/>
              </w:rPr>
              <w:t>1.43</w:t>
            </w:r>
          </w:p>
        </w:tc>
        <w:tc>
          <w:tcPr>
            <w:tcW w:w="1362" w:type="dxa"/>
          </w:tcPr>
          <w:p w14:paraId="10258D11" w14:textId="77777777" w:rsidR="00814DB9" w:rsidRPr="00BF210F" w:rsidRDefault="00814DB9" w:rsidP="00045D96">
            <w:pPr>
              <w:jc w:val="center"/>
              <w:rPr>
                <w:rFonts w:cs="Arial"/>
                <w:sz w:val="20"/>
                <w:szCs w:val="20"/>
              </w:rPr>
            </w:pPr>
            <w:r w:rsidRPr="00BF210F">
              <w:rPr>
                <w:rFonts w:cs="Arial"/>
                <w:sz w:val="20"/>
                <w:szCs w:val="20"/>
              </w:rPr>
              <w:t>1.21-1.68</w:t>
            </w:r>
          </w:p>
        </w:tc>
        <w:tc>
          <w:tcPr>
            <w:tcW w:w="1362" w:type="dxa"/>
          </w:tcPr>
          <w:p w14:paraId="0BA18026"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4DBDE368" w14:textId="77777777" w:rsidR="00814DB9" w:rsidRPr="00BF210F" w:rsidRDefault="00814DB9" w:rsidP="00045D96">
            <w:pPr>
              <w:jc w:val="center"/>
              <w:rPr>
                <w:rFonts w:cs="Arial"/>
                <w:sz w:val="20"/>
                <w:szCs w:val="20"/>
              </w:rPr>
            </w:pPr>
            <w:r w:rsidRPr="00BF210F">
              <w:rPr>
                <w:rFonts w:cs="Arial"/>
                <w:sz w:val="20"/>
                <w:szCs w:val="20"/>
              </w:rPr>
              <w:t>52.7</w:t>
            </w:r>
          </w:p>
        </w:tc>
        <w:tc>
          <w:tcPr>
            <w:tcW w:w="1446" w:type="dxa"/>
          </w:tcPr>
          <w:p w14:paraId="08C9F011" w14:textId="77777777" w:rsidR="00814DB9" w:rsidRPr="00BF210F" w:rsidRDefault="00814DB9" w:rsidP="00045D96">
            <w:pPr>
              <w:jc w:val="center"/>
              <w:rPr>
                <w:rFonts w:cs="Arial"/>
                <w:sz w:val="20"/>
                <w:szCs w:val="20"/>
              </w:rPr>
            </w:pPr>
            <w:r w:rsidRPr="00BF210F">
              <w:rPr>
                <w:rFonts w:cs="Arial"/>
                <w:sz w:val="20"/>
                <w:szCs w:val="20"/>
              </w:rPr>
              <w:t>0.011</w:t>
            </w:r>
          </w:p>
        </w:tc>
      </w:tr>
      <w:tr w:rsidR="00814DB9" w:rsidRPr="00BF210F" w14:paraId="3B9B10F3" w14:textId="77777777" w:rsidTr="00814DB9">
        <w:tc>
          <w:tcPr>
            <w:tcW w:w="2098" w:type="dxa"/>
          </w:tcPr>
          <w:p w14:paraId="3DE720F0" w14:textId="77777777" w:rsidR="00814DB9" w:rsidRPr="00BF210F" w:rsidRDefault="00814DB9" w:rsidP="00045D96">
            <w:pPr>
              <w:jc w:val="center"/>
              <w:rPr>
                <w:rFonts w:cs="Arial"/>
                <w:sz w:val="20"/>
                <w:szCs w:val="20"/>
              </w:rPr>
            </w:pPr>
            <w:r w:rsidRPr="00BF210F">
              <w:rPr>
                <w:rFonts w:cs="Arial"/>
                <w:sz w:val="20"/>
                <w:szCs w:val="20"/>
              </w:rPr>
              <w:t>Ngidi 2017</w:t>
            </w:r>
          </w:p>
        </w:tc>
        <w:tc>
          <w:tcPr>
            <w:tcW w:w="1362" w:type="dxa"/>
          </w:tcPr>
          <w:p w14:paraId="66E76E41" w14:textId="77777777" w:rsidR="00814DB9" w:rsidRPr="00BF210F" w:rsidRDefault="00814DB9" w:rsidP="00045D96">
            <w:pPr>
              <w:jc w:val="center"/>
              <w:rPr>
                <w:rFonts w:cs="Arial"/>
                <w:sz w:val="20"/>
                <w:szCs w:val="20"/>
              </w:rPr>
            </w:pPr>
            <w:r w:rsidRPr="00BF210F">
              <w:rPr>
                <w:rFonts w:cs="Arial"/>
                <w:sz w:val="20"/>
                <w:szCs w:val="20"/>
              </w:rPr>
              <w:t>1.42</w:t>
            </w:r>
          </w:p>
        </w:tc>
        <w:tc>
          <w:tcPr>
            <w:tcW w:w="1362" w:type="dxa"/>
          </w:tcPr>
          <w:p w14:paraId="577D9000" w14:textId="77777777" w:rsidR="00814DB9" w:rsidRPr="00BF210F" w:rsidRDefault="00814DB9" w:rsidP="00045D96">
            <w:pPr>
              <w:jc w:val="center"/>
              <w:rPr>
                <w:rFonts w:cs="Arial"/>
                <w:sz w:val="20"/>
                <w:szCs w:val="20"/>
              </w:rPr>
            </w:pPr>
            <w:r w:rsidRPr="00BF210F">
              <w:rPr>
                <w:rFonts w:cs="Arial"/>
                <w:sz w:val="20"/>
                <w:szCs w:val="20"/>
              </w:rPr>
              <w:t>1.21-1.66</w:t>
            </w:r>
          </w:p>
        </w:tc>
        <w:tc>
          <w:tcPr>
            <w:tcW w:w="1362" w:type="dxa"/>
          </w:tcPr>
          <w:p w14:paraId="070A286B"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2BBD513C" w14:textId="77777777" w:rsidR="00814DB9" w:rsidRPr="00BF210F" w:rsidRDefault="00814DB9" w:rsidP="00045D96">
            <w:pPr>
              <w:jc w:val="center"/>
              <w:rPr>
                <w:rFonts w:cs="Arial"/>
                <w:sz w:val="20"/>
                <w:szCs w:val="20"/>
              </w:rPr>
            </w:pPr>
            <w:r w:rsidRPr="00BF210F">
              <w:rPr>
                <w:rFonts w:cs="Arial"/>
                <w:sz w:val="20"/>
                <w:szCs w:val="20"/>
              </w:rPr>
              <w:t>51.6</w:t>
            </w:r>
          </w:p>
        </w:tc>
        <w:tc>
          <w:tcPr>
            <w:tcW w:w="1446" w:type="dxa"/>
          </w:tcPr>
          <w:p w14:paraId="18E245C3" w14:textId="77777777" w:rsidR="00814DB9" w:rsidRPr="00BF210F" w:rsidRDefault="00814DB9" w:rsidP="00045D96">
            <w:pPr>
              <w:jc w:val="center"/>
              <w:rPr>
                <w:rFonts w:cs="Arial"/>
                <w:sz w:val="20"/>
                <w:szCs w:val="20"/>
              </w:rPr>
            </w:pPr>
            <w:r w:rsidRPr="00BF210F">
              <w:rPr>
                <w:rFonts w:cs="Arial"/>
                <w:sz w:val="20"/>
                <w:szCs w:val="20"/>
              </w:rPr>
              <w:t>0.013</w:t>
            </w:r>
          </w:p>
        </w:tc>
      </w:tr>
      <w:tr w:rsidR="00814DB9" w:rsidRPr="00BF210F" w14:paraId="06FE1883" w14:textId="77777777" w:rsidTr="00814DB9">
        <w:tc>
          <w:tcPr>
            <w:tcW w:w="2098" w:type="dxa"/>
          </w:tcPr>
          <w:p w14:paraId="46E5FC37" w14:textId="77777777" w:rsidR="00814DB9" w:rsidRPr="00BF210F" w:rsidRDefault="00814DB9" w:rsidP="00045D96">
            <w:pPr>
              <w:jc w:val="center"/>
              <w:rPr>
                <w:rFonts w:cs="Arial"/>
                <w:sz w:val="20"/>
                <w:szCs w:val="20"/>
              </w:rPr>
            </w:pPr>
            <w:r w:rsidRPr="00BF210F">
              <w:rPr>
                <w:rFonts w:cs="Arial"/>
                <w:sz w:val="20"/>
                <w:szCs w:val="20"/>
              </w:rPr>
              <w:t>Presti 2017</w:t>
            </w:r>
          </w:p>
        </w:tc>
        <w:tc>
          <w:tcPr>
            <w:tcW w:w="1362" w:type="dxa"/>
          </w:tcPr>
          <w:p w14:paraId="00099DD4" w14:textId="77777777" w:rsidR="00814DB9" w:rsidRPr="00BF210F" w:rsidRDefault="00814DB9" w:rsidP="00045D96">
            <w:pPr>
              <w:jc w:val="center"/>
              <w:rPr>
                <w:rFonts w:cs="Arial"/>
                <w:sz w:val="20"/>
                <w:szCs w:val="20"/>
              </w:rPr>
            </w:pPr>
            <w:r w:rsidRPr="00BF210F">
              <w:rPr>
                <w:rFonts w:cs="Arial"/>
                <w:sz w:val="20"/>
                <w:szCs w:val="20"/>
              </w:rPr>
              <w:t>1.42</w:t>
            </w:r>
          </w:p>
        </w:tc>
        <w:tc>
          <w:tcPr>
            <w:tcW w:w="1362" w:type="dxa"/>
          </w:tcPr>
          <w:p w14:paraId="0BF88B4F" w14:textId="77777777" w:rsidR="00814DB9" w:rsidRPr="00BF210F" w:rsidRDefault="00814DB9" w:rsidP="00045D96">
            <w:pPr>
              <w:jc w:val="center"/>
              <w:rPr>
                <w:rFonts w:cs="Arial"/>
                <w:sz w:val="20"/>
                <w:szCs w:val="20"/>
              </w:rPr>
            </w:pPr>
            <w:r w:rsidRPr="00BF210F">
              <w:rPr>
                <w:rFonts w:cs="Arial"/>
                <w:sz w:val="20"/>
                <w:szCs w:val="20"/>
              </w:rPr>
              <w:t>1.20-1.67</w:t>
            </w:r>
          </w:p>
        </w:tc>
        <w:tc>
          <w:tcPr>
            <w:tcW w:w="1362" w:type="dxa"/>
          </w:tcPr>
          <w:p w14:paraId="59051F81"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34967C23" w14:textId="77777777" w:rsidR="00814DB9" w:rsidRPr="00BF210F" w:rsidRDefault="00814DB9" w:rsidP="00045D96">
            <w:pPr>
              <w:jc w:val="center"/>
              <w:rPr>
                <w:rFonts w:cs="Arial"/>
                <w:sz w:val="20"/>
                <w:szCs w:val="20"/>
              </w:rPr>
            </w:pPr>
            <w:r w:rsidRPr="00BF210F">
              <w:rPr>
                <w:rFonts w:cs="Arial"/>
                <w:sz w:val="20"/>
                <w:szCs w:val="20"/>
              </w:rPr>
              <w:t>52.7</w:t>
            </w:r>
          </w:p>
        </w:tc>
        <w:tc>
          <w:tcPr>
            <w:tcW w:w="1446" w:type="dxa"/>
          </w:tcPr>
          <w:p w14:paraId="0C251E0A" w14:textId="77777777" w:rsidR="00814DB9" w:rsidRPr="00BF210F" w:rsidRDefault="00814DB9" w:rsidP="00045D96">
            <w:pPr>
              <w:jc w:val="center"/>
              <w:rPr>
                <w:rFonts w:cs="Arial"/>
                <w:sz w:val="20"/>
                <w:szCs w:val="20"/>
              </w:rPr>
            </w:pPr>
            <w:r w:rsidRPr="00BF210F">
              <w:rPr>
                <w:rFonts w:cs="Arial"/>
                <w:sz w:val="20"/>
                <w:szCs w:val="20"/>
              </w:rPr>
              <w:t>0.011</w:t>
            </w:r>
          </w:p>
        </w:tc>
      </w:tr>
      <w:tr w:rsidR="00814DB9" w:rsidRPr="00BF210F" w14:paraId="080A7952" w14:textId="77777777" w:rsidTr="00814DB9">
        <w:tc>
          <w:tcPr>
            <w:tcW w:w="2098" w:type="dxa"/>
          </w:tcPr>
          <w:p w14:paraId="5CFF19E0" w14:textId="77777777" w:rsidR="00814DB9" w:rsidRPr="00BF210F" w:rsidRDefault="00814DB9" w:rsidP="00045D96">
            <w:pPr>
              <w:jc w:val="center"/>
              <w:rPr>
                <w:rFonts w:cs="Arial"/>
                <w:sz w:val="20"/>
                <w:szCs w:val="20"/>
              </w:rPr>
            </w:pPr>
            <w:r w:rsidRPr="00BF210F">
              <w:rPr>
                <w:rFonts w:cs="Arial"/>
                <w:sz w:val="20"/>
                <w:szCs w:val="20"/>
              </w:rPr>
              <w:t>McKenzie 2018</w:t>
            </w:r>
          </w:p>
        </w:tc>
        <w:tc>
          <w:tcPr>
            <w:tcW w:w="1362" w:type="dxa"/>
          </w:tcPr>
          <w:p w14:paraId="4190A0BC" w14:textId="77777777" w:rsidR="00814DB9" w:rsidRPr="00BF210F" w:rsidRDefault="00814DB9" w:rsidP="00045D96">
            <w:pPr>
              <w:jc w:val="center"/>
              <w:rPr>
                <w:rFonts w:cs="Arial"/>
                <w:sz w:val="20"/>
                <w:szCs w:val="20"/>
              </w:rPr>
            </w:pPr>
            <w:r w:rsidRPr="00BF210F">
              <w:rPr>
                <w:rFonts w:cs="Arial"/>
                <w:sz w:val="20"/>
                <w:szCs w:val="20"/>
              </w:rPr>
              <w:t>1.46</w:t>
            </w:r>
          </w:p>
        </w:tc>
        <w:tc>
          <w:tcPr>
            <w:tcW w:w="1362" w:type="dxa"/>
          </w:tcPr>
          <w:p w14:paraId="64731786" w14:textId="77777777" w:rsidR="00814DB9" w:rsidRPr="00BF210F" w:rsidRDefault="00814DB9" w:rsidP="00045D96">
            <w:pPr>
              <w:jc w:val="center"/>
              <w:rPr>
                <w:rFonts w:cs="Arial"/>
                <w:sz w:val="20"/>
                <w:szCs w:val="20"/>
              </w:rPr>
            </w:pPr>
            <w:r w:rsidRPr="00BF210F">
              <w:rPr>
                <w:rFonts w:cs="Arial"/>
                <w:sz w:val="20"/>
                <w:szCs w:val="20"/>
              </w:rPr>
              <w:t>1.25-1.71</w:t>
            </w:r>
          </w:p>
        </w:tc>
        <w:tc>
          <w:tcPr>
            <w:tcW w:w="1362" w:type="dxa"/>
          </w:tcPr>
          <w:p w14:paraId="2E5A579B"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5ADFACAC" w14:textId="77777777" w:rsidR="00814DB9" w:rsidRPr="00BF210F" w:rsidRDefault="00814DB9" w:rsidP="00045D96">
            <w:pPr>
              <w:jc w:val="center"/>
              <w:rPr>
                <w:rFonts w:cs="Arial"/>
                <w:sz w:val="20"/>
                <w:szCs w:val="20"/>
              </w:rPr>
            </w:pPr>
            <w:r w:rsidRPr="00BF210F">
              <w:rPr>
                <w:rFonts w:cs="Arial"/>
                <w:sz w:val="20"/>
                <w:szCs w:val="20"/>
              </w:rPr>
              <w:t>47.6</w:t>
            </w:r>
          </w:p>
        </w:tc>
        <w:tc>
          <w:tcPr>
            <w:tcW w:w="1446" w:type="dxa"/>
          </w:tcPr>
          <w:p w14:paraId="51F03ABE" w14:textId="77777777" w:rsidR="00814DB9" w:rsidRPr="00BF210F" w:rsidRDefault="00814DB9" w:rsidP="00045D96">
            <w:pPr>
              <w:jc w:val="center"/>
              <w:rPr>
                <w:rFonts w:cs="Arial"/>
                <w:sz w:val="20"/>
                <w:szCs w:val="20"/>
              </w:rPr>
            </w:pPr>
            <w:r w:rsidRPr="00BF210F">
              <w:rPr>
                <w:rFonts w:cs="Arial"/>
                <w:sz w:val="20"/>
                <w:szCs w:val="20"/>
              </w:rPr>
              <w:t>0.024</w:t>
            </w:r>
          </w:p>
        </w:tc>
      </w:tr>
      <w:tr w:rsidR="00814DB9" w:rsidRPr="00BF210F" w14:paraId="1A6E5EBF" w14:textId="77777777" w:rsidTr="00814DB9">
        <w:tc>
          <w:tcPr>
            <w:tcW w:w="2098" w:type="dxa"/>
          </w:tcPr>
          <w:p w14:paraId="14DD00A7" w14:textId="77777777" w:rsidR="00814DB9" w:rsidRPr="00BF210F" w:rsidRDefault="00814DB9" w:rsidP="00045D96">
            <w:pPr>
              <w:jc w:val="center"/>
              <w:rPr>
                <w:rFonts w:cs="Arial"/>
                <w:sz w:val="20"/>
                <w:szCs w:val="20"/>
              </w:rPr>
            </w:pPr>
            <w:r w:rsidRPr="00BF210F">
              <w:rPr>
                <w:rFonts w:cs="Arial"/>
                <w:sz w:val="20"/>
                <w:szCs w:val="20"/>
              </w:rPr>
              <w:t>Van Zyl 2018</w:t>
            </w:r>
          </w:p>
        </w:tc>
        <w:tc>
          <w:tcPr>
            <w:tcW w:w="1362" w:type="dxa"/>
          </w:tcPr>
          <w:p w14:paraId="7D6ED38A" w14:textId="77777777" w:rsidR="00814DB9" w:rsidRPr="00BF210F" w:rsidRDefault="00814DB9" w:rsidP="00045D96">
            <w:pPr>
              <w:jc w:val="center"/>
              <w:rPr>
                <w:rFonts w:cs="Arial"/>
                <w:sz w:val="20"/>
                <w:szCs w:val="20"/>
              </w:rPr>
            </w:pPr>
            <w:r w:rsidRPr="00BF210F">
              <w:rPr>
                <w:rFonts w:cs="Arial"/>
                <w:sz w:val="20"/>
                <w:szCs w:val="20"/>
              </w:rPr>
              <w:t>1.44</w:t>
            </w:r>
          </w:p>
        </w:tc>
        <w:tc>
          <w:tcPr>
            <w:tcW w:w="1362" w:type="dxa"/>
          </w:tcPr>
          <w:p w14:paraId="1FB66346" w14:textId="77777777" w:rsidR="00814DB9" w:rsidRPr="00BF210F" w:rsidRDefault="00814DB9" w:rsidP="00045D96">
            <w:pPr>
              <w:jc w:val="center"/>
              <w:rPr>
                <w:rFonts w:cs="Arial"/>
                <w:sz w:val="20"/>
                <w:szCs w:val="20"/>
              </w:rPr>
            </w:pPr>
            <w:r w:rsidRPr="00BF210F">
              <w:rPr>
                <w:rFonts w:cs="Arial"/>
                <w:sz w:val="20"/>
                <w:szCs w:val="20"/>
              </w:rPr>
              <w:t>1.22-1.69</w:t>
            </w:r>
          </w:p>
        </w:tc>
        <w:tc>
          <w:tcPr>
            <w:tcW w:w="1362" w:type="dxa"/>
          </w:tcPr>
          <w:p w14:paraId="330B3DEF"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5153DAEE" w14:textId="77777777" w:rsidR="00814DB9" w:rsidRPr="00BF210F" w:rsidRDefault="00814DB9" w:rsidP="00045D96">
            <w:pPr>
              <w:jc w:val="center"/>
              <w:rPr>
                <w:rFonts w:cs="Arial"/>
                <w:sz w:val="20"/>
                <w:szCs w:val="20"/>
              </w:rPr>
            </w:pPr>
            <w:r w:rsidRPr="00BF210F">
              <w:rPr>
                <w:rFonts w:cs="Arial"/>
                <w:sz w:val="20"/>
                <w:szCs w:val="20"/>
              </w:rPr>
              <w:t>51.9</w:t>
            </w:r>
          </w:p>
        </w:tc>
        <w:tc>
          <w:tcPr>
            <w:tcW w:w="1446" w:type="dxa"/>
          </w:tcPr>
          <w:p w14:paraId="1902C5E3" w14:textId="77777777" w:rsidR="00814DB9" w:rsidRPr="00BF210F" w:rsidRDefault="00814DB9" w:rsidP="00045D96">
            <w:pPr>
              <w:jc w:val="center"/>
              <w:rPr>
                <w:rFonts w:cs="Arial"/>
                <w:sz w:val="20"/>
                <w:szCs w:val="20"/>
              </w:rPr>
            </w:pPr>
            <w:r w:rsidRPr="00BF210F">
              <w:rPr>
                <w:rFonts w:cs="Arial"/>
                <w:sz w:val="20"/>
                <w:szCs w:val="20"/>
              </w:rPr>
              <w:t>0.012</w:t>
            </w:r>
          </w:p>
        </w:tc>
      </w:tr>
      <w:tr w:rsidR="00814DB9" w:rsidRPr="00BF210F" w14:paraId="751C6900" w14:textId="77777777" w:rsidTr="00814DB9">
        <w:tc>
          <w:tcPr>
            <w:tcW w:w="2098" w:type="dxa"/>
          </w:tcPr>
          <w:p w14:paraId="17359197" w14:textId="77777777" w:rsidR="00814DB9" w:rsidRPr="00BF210F" w:rsidRDefault="00814DB9" w:rsidP="00045D96">
            <w:pPr>
              <w:jc w:val="center"/>
              <w:rPr>
                <w:rFonts w:cs="Arial"/>
                <w:sz w:val="20"/>
                <w:szCs w:val="20"/>
              </w:rPr>
            </w:pPr>
            <w:r w:rsidRPr="00BF210F">
              <w:rPr>
                <w:rFonts w:cs="Arial"/>
                <w:sz w:val="20"/>
                <w:szCs w:val="20"/>
              </w:rPr>
              <w:t>Ayeni 2019</w:t>
            </w:r>
          </w:p>
        </w:tc>
        <w:tc>
          <w:tcPr>
            <w:tcW w:w="1362" w:type="dxa"/>
          </w:tcPr>
          <w:p w14:paraId="7D1F1D47" w14:textId="77777777" w:rsidR="00814DB9" w:rsidRPr="00BF210F" w:rsidRDefault="00814DB9" w:rsidP="00045D96">
            <w:pPr>
              <w:jc w:val="center"/>
              <w:rPr>
                <w:rFonts w:cs="Arial"/>
                <w:sz w:val="20"/>
                <w:szCs w:val="20"/>
              </w:rPr>
            </w:pPr>
            <w:r w:rsidRPr="00BF210F">
              <w:rPr>
                <w:rFonts w:cs="Arial"/>
                <w:sz w:val="20"/>
                <w:szCs w:val="20"/>
              </w:rPr>
              <w:t>1.51</w:t>
            </w:r>
          </w:p>
        </w:tc>
        <w:tc>
          <w:tcPr>
            <w:tcW w:w="1362" w:type="dxa"/>
          </w:tcPr>
          <w:p w14:paraId="2DB31B50" w14:textId="77777777" w:rsidR="00814DB9" w:rsidRPr="00BF210F" w:rsidRDefault="00814DB9" w:rsidP="00045D96">
            <w:pPr>
              <w:jc w:val="center"/>
              <w:rPr>
                <w:rFonts w:cs="Arial"/>
                <w:sz w:val="20"/>
                <w:szCs w:val="20"/>
              </w:rPr>
            </w:pPr>
            <w:r w:rsidRPr="00BF210F">
              <w:rPr>
                <w:rFonts w:cs="Arial"/>
                <w:sz w:val="20"/>
                <w:szCs w:val="20"/>
              </w:rPr>
              <w:t>1.31-1.74</w:t>
            </w:r>
          </w:p>
        </w:tc>
        <w:tc>
          <w:tcPr>
            <w:tcW w:w="1362" w:type="dxa"/>
          </w:tcPr>
          <w:p w14:paraId="4B2BA2E7"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641565C3" w14:textId="77777777" w:rsidR="00814DB9" w:rsidRPr="00BF210F" w:rsidRDefault="00814DB9" w:rsidP="00045D96">
            <w:pPr>
              <w:jc w:val="center"/>
              <w:rPr>
                <w:rFonts w:cs="Arial"/>
                <w:sz w:val="20"/>
                <w:szCs w:val="20"/>
              </w:rPr>
            </w:pPr>
            <w:r w:rsidRPr="00BF210F">
              <w:rPr>
                <w:rFonts w:cs="Arial"/>
                <w:sz w:val="20"/>
                <w:szCs w:val="20"/>
              </w:rPr>
              <w:t>30.3</w:t>
            </w:r>
          </w:p>
        </w:tc>
        <w:tc>
          <w:tcPr>
            <w:tcW w:w="1446" w:type="dxa"/>
          </w:tcPr>
          <w:p w14:paraId="23EDCE9F" w14:textId="77777777" w:rsidR="00814DB9" w:rsidRPr="00BF210F" w:rsidRDefault="00814DB9" w:rsidP="00045D96">
            <w:pPr>
              <w:jc w:val="center"/>
              <w:rPr>
                <w:rFonts w:cs="Arial"/>
                <w:sz w:val="20"/>
                <w:szCs w:val="20"/>
              </w:rPr>
            </w:pPr>
            <w:r w:rsidRPr="00BF210F">
              <w:rPr>
                <w:rFonts w:cs="Arial"/>
                <w:sz w:val="20"/>
                <w:szCs w:val="20"/>
              </w:rPr>
              <w:t>0.134</w:t>
            </w:r>
          </w:p>
        </w:tc>
      </w:tr>
      <w:tr w:rsidR="00814DB9" w:rsidRPr="00BF210F" w14:paraId="6A8CF63E" w14:textId="77777777" w:rsidTr="00814DB9">
        <w:tc>
          <w:tcPr>
            <w:tcW w:w="2098" w:type="dxa"/>
          </w:tcPr>
          <w:p w14:paraId="5DF50A87" w14:textId="77777777" w:rsidR="00814DB9" w:rsidRPr="00BF210F" w:rsidRDefault="00814DB9" w:rsidP="00045D96">
            <w:pPr>
              <w:jc w:val="center"/>
              <w:rPr>
                <w:rFonts w:cs="Arial"/>
                <w:sz w:val="20"/>
                <w:szCs w:val="20"/>
              </w:rPr>
            </w:pPr>
            <w:r w:rsidRPr="00BF210F">
              <w:rPr>
                <w:rFonts w:cs="Arial"/>
                <w:sz w:val="20"/>
                <w:szCs w:val="20"/>
              </w:rPr>
              <w:t>Brandao 2019</w:t>
            </w:r>
          </w:p>
        </w:tc>
        <w:tc>
          <w:tcPr>
            <w:tcW w:w="1362" w:type="dxa"/>
          </w:tcPr>
          <w:p w14:paraId="1CA1BBAE" w14:textId="77777777" w:rsidR="00814DB9" w:rsidRPr="00BF210F" w:rsidRDefault="00814DB9" w:rsidP="00045D96">
            <w:pPr>
              <w:jc w:val="center"/>
              <w:rPr>
                <w:rFonts w:cs="Arial"/>
                <w:sz w:val="20"/>
                <w:szCs w:val="20"/>
              </w:rPr>
            </w:pPr>
            <w:r w:rsidRPr="00BF210F">
              <w:rPr>
                <w:rFonts w:cs="Arial"/>
                <w:sz w:val="20"/>
                <w:szCs w:val="20"/>
              </w:rPr>
              <w:t>1.41</w:t>
            </w:r>
          </w:p>
        </w:tc>
        <w:tc>
          <w:tcPr>
            <w:tcW w:w="1362" w:type="dxa"/>
          </w:tcPr>
          <w:p w14:paraId="03A9C580" w14:textId="77777777" w:rsidR="00814DB9" w:rsidRPr="00BF210F" w:rsidRDefault="00814DB9" w:rsidP="00045D96">
            <w:pPr>
              <w:jc w:val="center"/>
              <w:rPr>
                <w:rFonts w:cs="Arial"/>
                <w:sz w:val="20"/>
                <w:szCs w:val="20"/>
              </w:rPr>
            </w:pPr>
            <w:r w:rsidRPr="00BF210F">
              <w:rPr>
                <w:rFonts w:cs="Arial"/>
                <w:sz w:val="20"/>
                <w:szCs w:val="20"/>
              </w:rPr>
              <w:t>1.20-1.67</w:t>
            </w:r>
          </w:p>
        </w:tc>
        <w:tc>
          <w:tcPr>
            <w:tcW w:w="1362" w:type="dxa"/>
          </w:tcPr>
          <w:p w14:paraId="230A7753"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63906AFD" w14:textId="77777777" w:rsidR="00814DB9" w:rsidRPr="00BF210F" w:rsidRDefault="00814DB9" w:rsidP="00045D96">
            <w:pPr>
              <w:jc w:val="center"/>
              <w:rPr>
                <w:rFonts w:cs="Arial"/>
                <w:sz w:val="20"/>
                <w:szCs w:val="20"/>
              </w:rPr>
            </w:pPr>
            <w:r w:rsidRPr="00BF210F">
              <w:rPr>
                <w:rFonts w:cs="Arial"/>
                <w:sz w:val="20"/>
                <w:szCs w:val="20"/>
              </w:rPr>
              <w:t>52.6</w:t>
            </w:r>
          </w:p>
        </w:tc>
        <w:tc>
          <w:tcPr>
            <w:tcW w:w="1446" w:type="dxa"/>
          </w:tcPr>
          <w:p w14:paraId="366562D2" w14:textId="77777777" w:rsidR="00814DB9" w:rsidRPr="00BF210F" w:rsidRDefault="00814DB9" w:rsidP="00045D96">
            <w:pPr>
              <w:jc w:val="center"/>
              <w:rPr>
                <w:rFonts w:cs="Arial"/>
                <w:sz w:val="20"/>
                <w:szCs w:val="20"/>
              </w:rPr>
            </w:pPr>
            <w:r w:rsidRPr="00BF210F">
              <w:rPr>
                <w:rFonts w:cs="Arial"/>
                <w:sz w:val="20"/>
                <w:szCs w:val="20"/>
              </w:rPr>
              <w:t>0.011</w:t>
            </w:r>
          </w:p>
        </w:tc>
      </w:tr>
      <w:tr w:rsidR="00814DB9" w:rsidRPr="00BF210F" w14:paraId="59807EC3" w14:textId="77777777" w:rsidTr="00814DB9">
        <w:tc>
          <w:tcPr>
            <w:tcW w:w="2098" w:type="dxa"/>
          </w:tcPr>
          <w:p w14:paraId="3CCF8E34" w14:textId="77777777" w:rsidR="00814DB9" w:rsidRPr="00BF210F" w:rsidRDefault="00814DB9" w:rsidP="00045D96">
            <w:pPr>
              <w:jc w:val="center"/>
              <w:rPr>
                <w:rFonts w:cs="Arial"/>
                <w:sz w:val="20"/>
                <w:szCs w:val="20"/>
              </w:rPr>
            </w:pPr>
            <w:r w:rsidRPr="00BF210F">
              <w:rPr>
                <w:rFonts w:cs="Arial"/>
                <w:sz w:val="20"/>
                <w:szCs w:val="20"/>
              </w:rPr>
              <w:t>Coghill 2019</w:t>
            </w:r>
          </w:p>
        </w:tc>
        <w:tc>
          <w:tcPr>
            <w:tcW w:w="1362" w:type="dxa"/>
          </w:tcPr>
          <w:p w14:paraId="018F2707" w14:textId="77777777" w:rsidR="00814DB9" w:rsidRPr="00BF210F" w:rsidRDefault="00814DB9" w:rsidP="00045D96">
            <w:pPr>
              <w:jc w:val="center"/>
              <w:rPr>
                <w:rFonts w:cs="Arial"/>
                <w:sz w:val="20"/>
                <w:szCs w:val="20"/>
              </w:rPr>
            </w:pPr>
            <w:r w:rsidRPr="00BF210F">
              <w:rPr>
                <w:rFonts w:cs="Arial"/>
                <w:sz w:val="20"/>
                <w:szCs w:val="20"/>
              </w:rPr>
              <w:t>1.37</w:t>
            </w:r>
          </w:p>
        </w:tc>
        <w:tc>
          <w:tcPr>
            <w:tcW w:w="1362" w:type="dxa"/>
          </w:tcPr>
          <w:p w14:paraId="6BD8EB9E" w14:textId="77777777" w:rsidR="00814DB9" w:rsidRPr="00BF210F" w:rsidRDefault="00814DB9" w:rsidP="00045D96">
            <w:pPr>
              <w:jc w:val="center"/>
              <w:rPr>
                <w:rFonts w:cs="Arial"/>
                <w:sz w:val="20"/>
                <w:szCs w:val="20"/>
              </w:rPr>
            </w:pPr>
            <w:r w:rsidRPr="00BF210F">
              <w:rPr>
                <w:rFonts w:cs="Arial"/>
                <w:sz w:val="20"/>
                <w:szCs w:val="20"/>
              </w:rPr>
              <w:t>1.15-1.62</w:t>
            </w:r>
          </w:p>
        </w:tc>
        <w:tc>
          <w:tcPr>
            <w:tcW w:w="1362" w:type="dxa"/>
          </w:tcPr>
          <w:p w14:paraId="7BD3EF74"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0C961F78" w14:textId="77777777" w:rsidR="00814DB9" w:rsidRPr="00BF210F" w:rsidRDefault="00814DB9" w:rsidP="00045D96">
            <w:pPr>
              <w:jc w:val="center"/>
              <w:rPr>
                <w:rFonts w:cs="Arial"/>
                <w:sz w:val="20"/>
                <w:szCs w:val="20"/>
              </w:rPr>
            </w:pPr>
            <w:r w:rsidRPr="00BF210F">
              <w:rPr>
                <w:rFonts w:cs="Arial"/>
                <w:sz w:val="20"/>
                <w:szCs w:val="20"/>
              </w:rPr>
              <w:t>37.2</w:t>
            </w:r>
          </w:p>
        </w:tc>
        <w:tc>
          <w:tcPr>
            <w:tcW w:w="1446" w:type="dxa"/>
          </w:tcPr>
          <w:p w14:paraId="7641E87A" w14:textId="77777777" w:rsidR="00814DB9" w:rsidRPr="00BF210F" w:rsidRDefault="00814DB9" w:rsidP="00045D96">
            <w:pPr>
              <w:jc w:val="center"/>
              <w:rPr>
                <w:rFonts w:cs="Arial"/>
                <w:sz w:val="20"/>
                <w:szCs w:val="20"/>
              </w:rPr>
            </w:pPr>
            <w:r w:rsidRPr="00BF210F">
              <w:rPr>
                <w:rFonts w:cs="Arial"/>
                <w:sz w:val="20"/>
                <w:szCs w:val="20"/>
              </w:rPr>
              <w:t>0.079</w:t>
            </w:r>
          </w:p>
        </w:tc>
      </w:tr>
      <w:tr w:rsidR="00814DB9" w:rsidRPr="00BF210F" w14:paraId="0FBBCC16" w14:textId="77777777" w:rsidTr="00814DB9">
        <w:tc>
          <w:tcPr>
            <w:tcW w:w="2098" w:type="dxa"/>
          </w:tcPr>
          <w:p w14:paraId="318BF527" w14:textId="77777777" w:rsidR="00814DB9" w:rsidRPr="00BF210F" w:rsidRDefault="00814DB9" w:rsidP="00045D96">
            <w:pPr>
              <w:jc w:val="center"/>
              <w:rPr>
                <w:rFonts w:cs="Arial"/>
                <w:sz w:val="20"/>
                <w:szCs w:val="20"/>
              </w:rPr>
            </w:pPr>
            <w:r w:rsidRPr="00BF210F">
              <w:rPr>
                <w:rFonts w:cs="Arial"/>
                <w:sz w:val="20"/>
                <w:szCs w:val="20"/>
              </w:rPr>
              <w:t>Phakathi 2019</w:t>
            </w:r>
          </w:p>
        </w:tc>
        <w:tc>
          <w:tcPr>
            <w:tcW w:w="1362" w:type="dxa"/>
          </w:tcPr>
          <w:p w14:paraId="6148ABBD" w14:textId="77777777" w:rsidR="00814DB9" w:rsidRPr="00BF210F" w:rsidRDefault="00814DB9" w:rsidP="00045D96">
            <w:pPr>
              <w:jc w:val="center"/>
              <w:rPr>
                <w:rFonts w:cs="Arial"/>
                <w:sz w:val="20"/>
                <w:szCs w:val="20"/>
              </w:rPr>
            </w:pPr>
            <w:r w:rsidRPr="00BF210F">
              <w:rPr>
                <w:rFonts w:cs="Arial"/>
                <w:sz w:val="20"/>
                <w:szCs w:val="20"/>
              </w:rPr>
              <w:t>1.42</w:t>
            </w:r>
          </w:p>
        </w:tc>
        <w:tc>
          <w:tcPr>
            <w:tcW w:w="1362" w:type="dxa"/>
          </w:tcPr>
          <w:p w14:paraId="3BF151F2" w14:textId="77777777" w:rsidR="00814DB9" w:rsidRPr="00BF210F" w:rsidRDefault="00814DB9" w:rsidP="00045D96">
            <w:pPr>
              <w:jc w:val="center"/>
              <w:rPr>
                <w:rFonts w:cs="Arial"/>
                <w:sz w:val="20"/>
                <w:szCs w:val="20"/>
              </w:rPr>
            </w:pPr>
            <w:r w:rsidRPr="00BF210F">
              <w:rPr>
                <w:rFonts w:cs="Arial"/>
                <w:sz w:val="20"/>
                <w:szCs w:val="20"/>
              </w:rPr>
              <w:t>1.19-1.69</w:t>
            </w:r>
          </w:p>
        </w:tc>
        <w:tc>
          <w:tcPr>
            <w:tcW w:w="1362" w:type="dxa"/>
          </w:tcPr>
          <w:p w14:paraId="33E1740D"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6B2DE6F8" w14:textId="77777777" w:rsidR="00814DB9" w:rsidRPr="00BF210F" w:rsidRDefault="00814DB9" w:rsidP="00045D96">
            <w:pPr>
              <w:jc w:val="center"/>
              <w:rPr>
                <w:rFonts w:cs="Arial"/>
                <w:sz w:val="20"/>
                <w:szCs w:val="20"/>
              </w:rPr>
            </w:pPr>
            <w:r w:rsidRPr="00BF210F">
              <w:rPr>
                <w:rFonts w:cs="Arial"/>
                <w:sz w:val="20"/>
                <w:szCs w:val="20"/>
              </w:rPr>
              <w:t>52.7</w:t>
            </w:r>
          </w:p>
        </w:tc>
        <w:tc>
          <w:tcPr>
            <w:tcW w:w="1446" w:type="dxa"/>
          </w:tcPr>
          <w:p w14:paraId="5B02A689" w14:textId="77777777" w:rsidR="00814DB9" w:rsidRPr="00BF210F" w:rsidRDefault="00814DB9" w:rsidP="00045D96">
            <w:pPr>
              <w:jc w:val="center"/>
              <w:rPr>
                <w:rFonts w:cs="Arial"/>
                <w:sz w:val="20"/>
                <w:szCs w:val="20"/>
              </w:rPr>
            </w:pPr>
            <w:r w:rsidRPr="00BF210F">
              <w:rPr>
                <w:rFonts w:cs="Arial"/>
                <w:sz w:val="20"/>
                <w:szCs w:val="20"/>
              </w:rPr>
              <w:t>0.011</w:t>
            </w:r>
          </w:p>
        </w:tc>
      </w:tr>
      <w:tr w:rsidR="00814DB9" w:rsidRPr="00BF210F" w14:paraId="033C646B" w14:textId="77777777" w:rsidTr="00814DB9">
        <w:tc>
          <w:tcPr>
            <w:tcW w:w="2098" w:type="dxa"/>
          </w:tcPr>
          <w:p w14:paraId="32911433" w14:textId="77777777" w:rsidR="00814DB9" w:rsidRPr="00BF210F" w:rsidRDefault="00814DB9" w:rsidP="00045D96">
            <w:pPr>
              <w:jc w:val="center"/>
              <w:rPr>
                <w:rFonts w:cs="Arial"/>
                <w:sz w:val="20"/>
                <w:szCs w:val="20"/>
              </w:rPr>
            </w:pPr>
            <w:r w:rsidRPr="00BF210F">
              <w:rPr>
                <w:rFonts w:cs="Arial"/>
                <w:sz w:val="20"/>
                <w:szCs w:val="20"/>
              </w:rPr>
              <w:t>Sadigh 2019</w:t>
            </w:r>
          </w:p>
        </w:tc>
        <w:tc>
          <w:tcPr>
            <w:tcW w:w="1362" w:type="dxa"/>
          </w:tcPr>
          <w:p w14:paraId="02C0C8D0" w14:textId="77777777" w:rsidR="00814DB9" w:rsidRPr="00BF210F" w:rsidRDefault="00814DB9" w:rsidP="00045D96">
            <w:pPr>
              <w:jc w:val="center"/>
              <w:rPr>
                <w:rFonts w:cs="Arial"/>
                <w:sz w:val="20"/>
                <w:szCs w:val="20"/>
              </w:rPr>
            </w:pPr>
            <w:r w:rsidRPr="00BF210F">
              <w:rPr>
                <w:rFonts w:cs="Arial"/>
                <w:sz w:val="20"/>
                <w:szCs w:val="20"/>
              </w:rPr>
              <w:t>1.46</w:t>
            </w:r>
          </w:p>
        </w:tc>
        <w:tc>
          <w:tcPr>
            <w:tcW w:w="1362" w:type="dxa"/>
          </w:tcPr>
          <w:p w14:paraId="38E496B3" w14:textId="77777777" w:rsidR="00814DB9" w:rsidRPr="00BF210F" w:rsidRDefault="00814DB9" w:rsidP="00045D96">
            <w:pPr>
              <w:jc w:val="center"/>
              <w:rPr>
                <w:rFonts w:cs="Arial"/>
                <w:sz w:val="20"/>
                <w:szCs w:val="20"/>
              </w:rPr>
            </w:pPr>
            <w:r w:rsidRPr="00BF210F">
              <w:rPr>
                <w:rFonts w:cs="Arial"/>
                <w:sz w:val="20"/>
                <w:szCs w:val="20"/>
              </w:rPr>
              <w:t>1.25-1.72</w:t>
            </w:r>
          </w:p>
        </w:tc>
        <w:tc>
          <w:tcPr>
            <w:tcW w:w="1362" w:type="dxa"/>
          </w:tcPr>
          <w:p w14:paraId="34762147" w14:textId="77777777" w:rsidR="00814DB9" w:rsidRPr="00BF210F" w:rsidRDefault="00814DB9" w:rsidP="00045D96">
            <w:pPr>
              <w:jc w:val="center"/>
              <w:rPr>
                <w:rFonts w:cs="Arial"/>
                <w:sz w:val="20"/>
                <w:szCs w:val="20"/>
              </w:rPr>
            </w:pPr>
            <w:r w:rsidRPr="00BF210F">
              <w:rPr>
                <w:rFonts w:cs="Arial"/>
                <w:sz w:val="20"/>
                <w:szCs w:val="20"/>
              </w:rPr>
              <w:t>&lt;0.001</w:t>
            </w:r>
          </w:p>
        </w:tc>
        <w:tc>
          <w:tcPr>
            <w:tcW w:w="1539" w:type="dxa"/>
          </w:tcPr>
          <w:p w14:paraId="32E77FE1" w14:textId="77777777" w:rsidR="00814DB9" w:rsidRPr="00BF210F" w:rsidRDefault="00814DB9" w:rsidP="00045D96">
            <w:pPr>
              <w:jc w:val="center"/>
              <w:rPr>
                <w:rFonts w:cs="Arial"/>
                <w:sz w:val="20"/>
                <w:szCs w:val="20"/>
              </w:rPr>
            </w:pPr>
            <w:r w:rsidRPr="00BF210F">
              <w:rPr>
                <w:rFonts w:cs="Arial"/>
                <w:sz w:val="20"/>
                <w:szCs w:val="20"/>
              </w:rPr>
              <w:t>47.0</w:t>
            </w:r>
          </w:p>
        </w:tc>
        <w:tc>
          <w:tcPr>
            <w:tcW w:w="1446" w:type="dxa"/>
          </w:tcPr>
          <w:p w14:paraId="7621A178" w14:textId="77777777" w:rsidR="00814DB9" w:rsidRPr="00BF210F" w:rsidRDefault="00814DB9" w:rsidP="00045D96">
            <w:pPr>
              <w:jc w:val="center"/>
              <w:rPr>
                <w:rFonts w:cs="Arial"/>
                <w:sz w:val="20"/>
                <w:szCs w:val="20"/>
              </w:rPr>
            </w:pPr>
            <w:r w:rsidRPr="00BF210F">
              <w:rPr>
                <w:rFonts w:cs="Arial"/>
                <w:sz w:val="20"/>
                <w:szCs w:val="20"/>
              </w:rPr>
              <w:t>0.027</w:t>
            </w:r>
          </w:p>
        </w:tc>
      </w:tr>
    </w:tbl>
    <w:p w14:paraId="696480C0" w14:textId="31514979" w:rsidR="00D65742" w:rsidRPr="00BF210F" w:rsidRDefault="005E698C" w:rsidP="00D66A20">
      <w:pPr>
        <w:rPr>
          <w:rFonts w:cs="Arial"/>
          <w:sz w:val="16"/>
          <w:lang w:val="en-US"/>
        </w:rPr>
      </w:pPr>
      <w:r w:rsidRPr="00BF210F">
        <w:rPr>
          <w:rFonts w:cs="Arial"/>
          <w:sz w:val="16"/>
          <w:lang w:val="en-US"/>
        </w:rPr>
        <w:t>CI: confidence interval; OR: odds ratio.</w:t>
      </w:r>
    </w:p>
    <w:p w14:paraId="6FDC7CD1" w14:textId="7DB606ED" w:rsidR="005E698C" w:rsidRPr="00BF210F" w:rsidRDefault="005E698C" w:rsidP="00D66A20">
      <w:pPr>
        <w:rPr>
          <w:rFonts w:cs="Arial"/>
          <w:b/>
          <w:sz w:val="20"/>
          <w:szCs w:val="20"/>
          <w:lang w:val="en-US"/>
        </w:rPr>
      </w:pPr>
    </w:p>
    <w:p w14:paraId="27DEC431" w14:textId="77777777" w:rsidR="009258FF" w:rsidRDefault="009258FF">
      <w:pPr>
        <w:spacing w:after="120"/>
        <w:rPr>
          <w:rFonts w:cs="Arial"/>
          <w:b/>
          <w:sz w:val="24"/>
          <w:szCs w:val="24"/>
          <w:lang w:val="en-US"/>
        </w:rPr>
      </w:pPr>
      <w:r>
        <w:rPr>
          <w:rFonts w:cs="Arial"/>
          <w:b/>
          <w:sz w:val="24"/>
          <w:szCs w:val="24"/>
          <w:lang w:val="en-US"/>
        </w:rPr>
        <w:br w:type="page"/>
      </w:r>
    </w:p>
    <w:p w14:paraId="20493228" w14:textId="39B26D9C" w:rsidR="00056B1D" w:rsidRPr="009258FF" w:rsidRDefault="00BF210F" w:rsidP="00056B1D">
      <w:pPr>
        <w:rPr>
          <w:rFonts w:cs="Arial"/>
          <w:b/>
          <w:sz w:val="24"/>
          <w:szCs w:val="24"/>
          <w:lang w:val="en-US"/>
        </w:rPr>
      </w:pPr>
      <w:r>
        <w:rPr>
          <w:rFonts w:cs="Arial"/>
          <w:b/>
          <w:sz w:val="24"/>
          <w:szCs w:val="24"/>
          <w:lang w:val="en-US"/>
        </w:rPr>
        <w:lastRenderedPageBreak/>
        <w:t xml:space="preserve">Supplementary </w:t>
      </w:r>
      <w:r w:rsidR="00056B1D" w:rsidRPr="00BF210F">
        <w:rPr>
          <w:rFonts w:cs="Arial"/>
          <w:b/>
          <w:sz w:val="24"/>
          <w:lang w:val="en-US"/>
        </w:rPr>
        <w:t>Table 3</w:t>
      </w:r>
      <w:r w:rsidR="00056B1D" w:rsidRPr="00BF210F">
        <w:rPr>
          <w:rFonts w:cs="Arial"/>
          <w:sz w:val="24"/>
          <w:lang w:val="en-US"/>
        </w:rPr>
        <w:t xml:space="preserve"> </w:t>
      </w:r>
      <w:r w:rsidR="00056B1D" w:rsidRPr="00BF210F">
        <w:rPr>
          <w:rFonts w:cs="Arial"/>
          <w:b/>
          <w:sz w:val="24"/>
          <w:lang w:val="en-US"/>
        </w:rPr>
        <w:t xml:space="preserve">– </w:t>
      </w:r>
      <w:r w:rsidR="00056B1D" w:rsidRPr="00BF210F">
        <w:rPr>
          <w:rFonts w:cs="Arial"/>
          <w:b/>
          <w:sz w:val="24"/>
          <w:szCs w:val="24"/>
          <w:lang w:val="en-US"/>
        </w:rPr>
        <w:t xml:space="preserve">Sensitivity analysis of the odds of presenting with locally advanced/metastatic stage (III/IV) at diagnosis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056B1D" w:rsidRPr="00BF210F">
        <w:rPr>
          <w:rFonts w:cs="Arial"/>
          <w:b/>
          <w:sz w:val="24"/>
          <w:lang w:val="en-US"/>
        </w:rPr>
        <w:t xml:space="preserve"> (North American studies).</w:t>
      </w:r>
    </w:p>
    <w:p w14:paraId="3315E35A" w14:textId="77777777" w:rsidR="00056B1D" w:rsidRPr="00BF210F" w:rsidRDefault="00056B1D" w:rsidP="00056B1D">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056B1D" w:rsidRPr="00BF210F" w14:paraId="78B1776D" w14:textId="77777777" w:rsidTr="003B65D9">
        <w:tc>
          <w:tcPr>
            <w:tcW w:w="2098" w:type="dxa"/>
            <w:vMerge w:val="restart"/>
          </w:tcPr>
          <w:p w14:paraId="69BFBDB9" w14:textId="77777777" w:rsidR="00056B1D" w:rsidRPr="00BF210F" w:rsidRDefault="00056B1D" w:rsidP="003B65D9">
            <w:pPr>
              <w:jc w:val="center"/>
              <w:rPr>
                <w:rFonts w:cs="Arial"/>
                <w:b/>
                <w:sz w:val="20"/>
                <w:szCs w:val="16"/>
              </w:rPr>
            </w:pPr>
            <w:r w:rsidRPr="00BF210F">
              <w:rPr>
                <w:rFonts w:cs="Arial"/>
                <w:b/>
                <w:sz w:val="20"/>
                <w:szCs w:val="16"/>
              </w:rPr>
              <w:t>Study excluded</w:t>
            </w:r>
          </w:p>
        </w:tc>
        <w:tc>
          <w:tcPr>
            <w:tcW w:w="4086" w:type="dxa"/>
            <w:gridSpan w:val="3"/>
          </w:tcPr>
          <w:p w14:paraId="7BDE4DBA" w14:textId="77777777" w:rsidR="00056B1D" w:rsidRPr="00BF210F" w:rsidRDefault="00056B1D" w:rsidP="003B65D9">
            <w:pPr>
              <w:jc w:val="center"/>
              <w:rPr>
                <w:rFonts w:cs="Arial"/>
                <w:b/>
                <w:sz w:val="20"/>
                <w:szCs w:val="16"/>
              </w:rPr>
            </w:pPr>
            <w:r w:rsidRPr="00BF210F">
              <w:rPr>
                <w:rFonts w:cs="Arial"/>
                <w:b/>
                <w:sz w:val="20"/>
                <w:szCs w:val="16"/>
              </w:rPr>
              <w:t>Random effect</w:t>
            </w:r>
          </w:p>
        </w:tc>
        <w:tc>
          <w:tcPr>
            <w:tcW w:w="1539" w:type="dxa"/>
            <w:vMerge w:val="restart"/>
          </w:tcPr>
          <w:p w14:paraId="1A58CB83" w14:textId="77777777" w:rsidR="00056B1D" w:rsidRPr="00BF210F" w:rsidRDefault="00056B1D" w:rsidP="003B65D9">
            <w:pPr>
              <w:jc w:val="center"/>
              <w:rPr>
                <w:rFonts w:cs="Arial"/>
                <w:b/>
                <w:sz w:val="20"/>
                <w:szCs w:val="16"/>
              </w:rPr>
            </w:pPr>
            <w:r w:rsidRPr="00BF210F">
              <w:rPr>
                <w:rFonts w:cs="Arial"/>
                <w:b/>
                <w:sz w:val="20"/>
                <w:szCs w:val="16"/>
              </w:rPr>
              <w:t>I</w:t>
            </w:r>
            <w:r w:rsidRPr="00BF210F">
              <w:rPr>
                <w:rFonts w:cs="Arial"/>
                <w:b/>
                <w:sz w:val="20"/>
                <w:szCs w:val="16"/>
                <w:vertAlign w:val="superscript"/>
              </w:rPr>
              <w:t>2</w:t>
            </w:r>
            <w:r w:rsidRPr="00BF210F">
              <w:rPr>
                <w:rFonts w:cs="Arial"/>
                <w:b/>
                <w:sz w:val="20"/>
                <w:szCs w:val="16"/>
              </w:rPr>
              <w:t xml:space="preserve"> (%)</w:t>
            </w:r>
          </w:p>
        </w:tc>
        <w:tc>
          <w:tcPr>
            <w:tcW w:w="1446" w:type="dxa"/>
            <w:vMerge w:val="restart"/>
          </w:tcPr>
          <w:p w14:paraId="5B842CA4" w14:textId="77777777" w:rsidR="00056B1D" w:rsidRPr="00BF210F" w:rsidRDefault="00056B1D" w:rsidP="003B65D9">
            <w:pPr>
              <w:jc w:val="center"/>
              <w:rPr>
                <w:rFonts w:cs="Arial"/>
                <w:b/>
                <w:sz w:val="20"/>
                <w:szCs w:val="16"/>
              </w:rPr>
            </w:pPr>
            <w:r w:rsidRPr="00BF210F">
              <w:rPr>
                <w:rFonts w:cs="Arial"/>
                <w:b/>
                <w:sz w:val="20"/>
                <w:szCs w:val="16"/>
              </w:rPr>
              <w:t>I</w:t>
            </w:r>
            <w:r w:rsidRPr="00BF210F">
              <w:rPr>
                <w:rFonts w:cs="Arial"/>
                <w:b/>
                <w:sz w:val="20"/>
                <w:szCs w:val="16"/>
                <w:vertAlign w:val="superscript"/>
              </w:rPr>
              <w:t>2</w:t>
            </w:r>
            <w:r w:rsidRPr="00BF210F">
              <w:rPr>
                <w:rFonts w:cs="Arial"/>
                <w:b/>
                <w:sz w:val="20"/>
                <w:szCs w:val="16"/>
              </w:rPr>
              <w:t xml:space="preserve"> P-value</w:t>
            </w:r>
          </w:p>
        </w:tc>
      </w:tr>
      <w:tr w:rsidR="00056B1D" w:rsidRPr="00BF210F" w14:paraId="755F6BB5" w14:textId="77777777" w:rsidTr="003B65D9">
        <w:tc>
          <w:tcPr>
            <w:tcW w:w="2098" w:type="dxa"/>
            <w:vMerge/>
          </w:tcPr>
          <w:p w14:paraId="4B3F875C" w14:textId="77777777" w:rsidR="00056B1D" w:rsidRPr="00BF210F" w:rsidRDefault="00056B1D" w:rsidP="003B65D9">
            <w:pPr>
              <w:jc w:val="center"/>
              <w:rPr>
                <w:rFonts w:cs="Arial"/>
                <w:b/>
                <w:sz w:val="20"/>
                <w:szCs w:val="16"/>
              </w:rPr>
            </w:pPr>
          </w:p>
        </w:tc>
        <w:tc>
          <w:tcPr>
            <w:tcW w:w="1362" w:type="dxa"/>
          </w:tcPr>
          <w:p w14:paraId="5F38AA83" w14:textId="77777777" w:rsidR="00056B1D" w:rsidRPr="00BF210F" w:rsidRDefault="00056B1D" w:rsidP="003B65D9">
            <w:pPr>
              <w:jc w:val="center"/>
              <w:rPr>
                <w:rFonts w:cs="Arial"/>
                <w:b/>
                <w:sz w:val="20"/>
                <w:szCs w:val="16"/>
              </w:rPr>
            </w:pPr>
            <w:r w:rsidRPr="00BF210F">
              <w:rPr>
                <w:rFonts w:cs="Arial"/>
                <w:b/>
                <w:sz w:val="20"/>
                <w:szCs w:val="16"/>
              </w:rPr>
              <w:t>Pooled OR</w:t>
            </w:r>
          </w:p>
        </w:tc>
        <w:tc>
          <w:tcPr>
            <w:tcW w:w="1362" w:type="dxa"/>
          </w:tcPr>
          <w:p w14:paraId="1BF2587B" w14:textId="77777777" w:rsidR="00056B1D" w:rsidRPr="00BF210F" w:rsidRDefault="00056B1D" w:rsidP="003B65D9">
            <w:pPr>
              <w:jc w:val="center"/>
              <w:rPr>
                <w:rFonts w:cs="Arial"/>
                <w:b/>
                <w:sz w:val="20"/>
                <w:szCs w:val="16"/>
              </w:rPr>
            </w:pPr>
            <w:r w:rsidRPr="00BF210F">
              <w:rPr>
                <w:rFonts w:cs="Arial"/>
                <w:b/>
                <w:sz w:val="20"/>
                <w:szCs w:val="16"/>
              </w:rPr>
              <w:t>95% CI</w:t>
            </w:r>
          </w:p>
        </w:tc>
        <w:tc>
          <w:tcPr>
            <w:tcW w:w="1362" w:type="dxa"/>
          </w:tcPr>
          <w:p w14:paraId="3B3927F2" w14:textId="77777777" w:rsidR="00056B1D" w:rsidRPr="00BF210F" w:rsidRDefault="00056B1D" w:rsidP="003B65D9">
            <w:pPr>
              <w:jc w:val="center"/>
              <w:rPr>
                <w:rFonts w:cs="Arial"/>
                <w:b/>
                <w:sz w:val="20"/>
                <w:szCs w:val="16"/>
              </w:rPr>
            </w:pPr>
            <w:r w:rsidRPr="00BF210F">
              <w:rPr>
                <w:rFonts w:cs="Arial"/>
                <w:b/>
                <w:sz w:val="20"/>
                <w:szCs w:val="16"/>
              </w:rPr>
              <w:t>P-value</w:t>
            </w:r>
          </w:p>
        </w:tc>
        <w:tc>
          <w:tcPr>
            <w:tcW w:w="1539" w:type="dxa"/>
            <w:vMerge/>
          </w:tcPr>
          <w:p w14:paraId="1ABE50C6" w14:textId="77777777" w:rsidR="00056B1D" w:rsidRPr="00BF210F" w:rsidRDefault="00056B1D" w:rsidP="003B65D9">
            <w:pPr>
              <w:jc w:val="center"/>
              <w:rPr>
                <w:rFonts w:cs="Arial"/>
                <w:b/>
                <w:sz w:val="20"/>
                <w:szCs w:val="16"/>
              </w:rPr>
            </w:pPr>
          </w:p>
        </w:tc>
        <w:tc>
          <w:tcPr>
            <w:tcW w:w="1446" w:type="dxa"/>
            <w:vMerge/>
          </w:tcPr>
          <w:p w14:paraId="122D77F3" w14:textId="77777777" w:rsidR="00056B1D" w:rsidRPr="00BF210F" w:rsidRDefault="00056B1D" w:rsidP="003B65D9">
            <w:pPr>
              <w:jc w:val="center"/>
              <w:rPr>
                <w:rFonts w:cs="Arial"/>
                <w:b/>
                <w:sz w:val="20"/>
                <w:szCs w:val="16"/>
              </w:rPr>
            </w:pPr>
          </w:p>
        </w:tc>
      </w:tr>
      <w:tr w:rsidR="00056B1D" w:rsidRPr="00BF210F" w14:paraId="278A2CC4" w14:textId="77777777" w:rsidTr="003B65D9">
        <w:tc>
          <w:tcPr>
            <w:tcW w:w="2098" w:type="dxa"/>
          </w:tcPr>
          <w:p w14:paraId="68B3F510" w14:textId="77777777" w:rsidR="00056B1D" w:rsidRPr="00BF210F" w:rsidRDefault="00056B1D" w:rsidP="003B65D9">
            <w:pPr>
              <w:jc w:val="center"/>
              <w:rPr>
                <w:rFonts w:cs="Arial"/>
                <w:sz w:val="20"/>
                <w:szCs w:val="16"/>
              </w:rPr>
            </w:pPr>
            <w:r w:rsidRPr="00BF210F">
              <w:rPr>
                <w:rFonts w:cs="Arial"/>
                <w:sz w:val="20"/>
                <w:szCs w:val="16"/>
              </w:rPr>
              <w:t>Shiels 2015</w:t>
            </w:r>
          </w:p>
        </w:tc>
        <w:tc>
          <w:tcPr>
            <w:tcW w:w="1362" w:type="dxa"/>
          </w:tcPr>
          <w:p w14:paraId="5ACD5FD2" w14:textId="77777777" w:rsidR="00056B1D" w:rsidRPr="00BF210F" w:rsidRDefault="00056B1D" w:rsidP="003B65D9">
            <w:pPr>
              <w:jc w:val="center"/>
              <w:rPr>
                <w:rFonts w:cs="Arial"/>
                <w:sz w:val="20"/>
                <w:szCs w:val="16"/>
              </w:rPr>
            </w:pPr>
            <w:r w:rsidRPr="00BF210F">
              <w:rPr>
                <w:rFonts w:cs="Arial"/>
                <w:sz w:val="20"/>
                <w:szCs w:val="16"/>
              </w:rPr>
              <w:t>1.75</w:t>
            </w:r>
          </w:p>
        </w:tc>
        <w:tc>
          <w:tcPr>
            <w:tcW w:w="1362" w:type="dxa"/>
          </w:tcPr>
          <w:p w14:paraId="13E1E28B" w14:textId="77777777" w:rsidR="00056B1D" w:rsidRPr="00BF210F" w:rsidRDefault="00056B1D" w:rsidP="003B65D9">
            <w:pPr>
              <w:jc w:val="center"/>
              <w:rPr>
                <w:rFonts w:cs="Arial"/>
                <w:sz w:val="20"/>
                <w:szCs w:val="16"/>
              </w:rPr>
            </w:pPr>
            <w:r w:rsidRPr="00BF210F">
              <w:rPr>
                <w:rFonts w:cs="Arial"/>
                <w:sz w:val="20"/>
                <w:szCs w:val="16"/>
              </w:rPr>
              <w:t>1.54-1.98</w:t>
            </w:r>
          </w:p>
        </w:tc>
        <w:tc>
          <w:tcPr>
            <w:tcW w:w="1362" w:type="dxa"/>
          </w:tcPr>
          <w:p w14:paraId="5BBCAD82" w14:textId="77777777" w:rsidR="00056B1D" w:rsidRPr="00BF210F" w:rsidRDefault="00056B1D" w:rsidP="003B65D9">
            <w:pPr>
              <w:jc w:val="center"/>
              <w:rPr>
                <w:rFonts w:cs="Arial"/>
                <w:sz w:val="20"/>
                <w:szCs w:val="16"/>
              </w:rPr>
            </w:pPr>
            <w:r w:rsidRPr="00BF210F">
              <w:rPr>
                <w:rFonts w:cs="Arial"/>
                <w:sz w:val="20"/>
                <w:szCs w:val="16"/>
              </w:rPr>
              <w:t>&lt;0.001</w:t>
            </w:r>
          </w:p>
        </w:tc>
        <w:tc>
          <w:tcPr>
            <w:tcW w:w="1539" w:type="dxa"/>
          </w:tcPr>
          <w:p w14:paraId="70594B36" w14:textId="77777777" w:rsidR="00056B1D" w:rsidRPr="00BF210F" w:rsidRDefault="00056B1D" w:rsidP="003B65D9">
            <w:pPr>
              <w:jc w:val="center"/>
              <w:rPr>
                <w:rFonts w:cs="Arial"/>
                <w:sz w:val="20"/>
                <w:szCs w:val="16"/>
              </w:rPr>
            </w:pPr>
            <w:r w:rsidRPr="00BF210F">
              <w:rPr>
                <w:rFonts w:cs="Arial"/>
                <w:sz w:val="20"/>
                <w:szCs w:val="16"/>
              </w:rPr>
              <w:t>0.0</w:t>
            </w:r>
          </w:p>
        </w:tc>
        <w:tc>
          <w:tcPr>
            <w:tcW w:w="1446" w:type="dxa"/>
          </w:tcPr>
          <w:p w14:paraId="2CA7418B" w14:textId="77777777" w:rsidR="00056B1D" w:rsidRPr="00BF210F" w:rsidRDefault="00056B1D" w:rsidP="003B65D9">
            <w:pPr>
              <w:jc w:val="center"/>
              <w:rPr>
                <w:rFonts w:cs="Arial"/>
                <w:sz w:val="20"/>
                <w:szCs w:val="16"/>
              </w:rPr>
            </w:pPr>
            <w:r w:rsidRPr="00BF210F">
              <w:rPr>
                <w:rFonts w:cs="Arial"/>
                <w:sz w:val="20"/>
                <w:szCs w:val="16"/>
              </w:rPr>
              <w:t>0.891</w:t>
            </w:r>
          </w:p>
        </w:tc>
      </w:tr>
      <w:tr w:rsidR="00056B1D" w:rsidRPr="00BF210F" w14:paraId="1C2D2435" w14:textId="77777777" w:rsidTr="003B65D9">
        <w:tc>
          <w:tcPr>
            <w:tcW w:w="2098" w:type="dxa"/>
          </w:tcPr>
          <w:p w14:paraId="7AE428AD" w14:textId="77777777" w:rsidR="00056B1D" w:rsidRPr="00BF210F" w:rsidRDefault="00056B1D" w:rsidP="003B65D9">
            <w:pPr>
              <w:jc w:val="center"/>
              <w:rPr>
                <w:rFonts w:cs="Arial"/>
                <w:sz w:val="20"/>
                <w:szCs w:val="16"/>
              </w:rPr>
            </w:pPr>
            <w:r w:rsidRPr="00BF210F">
              <w:rPr>
                <w:rFonts w:cs="Arial"/>
                <w:sz w:val="20"/>
                <w:szCs w:val="16"/>
              </w:rPr>
              <w:t>Presti 2017</w:t>
            </w:r>
          </w:p>
        </w:tc>
        <w:tc>
          <w:tcPr>
            <w:tcW w:w="1362" w:type="dxa"/>
          </w:tcPr>
          <w:p w14:paraId="1DF96E02" w14:textId="77777777" w:rsidR="00056B1D" w:rsidRPr="00BF210F" w:rsidRDefault="00056B1D" w:rsidP="003B65D9">
            <w:pPr>
              <w:jc w:val="center"/>
              <w:rPr>
                <w:rFonts w:cs="Arial"/>
                <w:sz w:val="20"/>
                <w:szCs w:val="16"/>
              </w:rPr>
            </w:pPr>
            <w:r w:rsidRPr="00BF210F">
              <w:rPr>
                <w:rFonts w:cs="Arial"/>
                <w:sz w:val="20"/>
                <w:szCs w:val="16"/>
              </w:rPr>
              <w:t>1.76</w:t>
            </w:r>
          </w:p>
        </w:tc>
        <w:tc>
          <w:tcPr>
            <w:tcW w:w="1362" w:type="dxa"/>
          </w:tcPr>
          <w:p w14:paraId="04FE11A1" w14:textId="77777777" w:rsidR="00056B1D" w:rsidRPr="00BF210F" w:rsidRDefault="00056B1D" w:rsidP="003B65D9">
            <w:pPr>
              <w:jc w:val="center"/>
              <w:rPr>
                <w:rFonts w:cs="Arial"/>
                <w:sz w:val="20"/>
                <w:szCs w:val="16"/>
              </w:rPr>
            </w:pPr>
            <w:r w:rsidRPr="00BF210F">
              <w:rPr>
                <w:rFonts w:cs="Arial"/>
                <w:sz w:val="20"/>
                <w:szCs w:val="16"/>
              </w:rPr>
              <w:t>1.58-1.96</w:t>
            </w:r>
          </w:p>
        </w:tc>
        <w:tc>
          <w:tcPr>
            <w:tcW w:w="1362" w:type="dxa"/>
          </w:tcPr>
          <w:p w14:paraId="21F70B3B" w14:textId="77777777" w:rsidR="00056B1D" w:rsidRPr="00BF210F" w:rsidRDefault="00056B1D" w:rsidP="003B65D9">
            <w:pPr>
              <w:jc w:val="center"/>
              <w:rPr>
                <w:rFonts w:cs="Arial"/>
                <w:sz w:val="20"/>
                <w:szCs w:val="16"/>
              </w:rPr>
            </w:pPr>
            <w:r w:rsidRPr="00BF210F">
              <w:rPr>
                <w:rFonts w:cs="Arial"/>
                <w:sz w:val="20"/>
                <w:szCs w:val="16"/>
              </w:rPr>
              <w:t>&lt;0.001</w:t>
            </w:r>
          </w:p>
        </w:tc>
        <w:tc>
          <w:tcPr>
            <w:tcW w:w="1539" w:type="dxa"/>
          </w:tcPr>
          <w:p w14:paraId="1D76A3B0" w14:textId="77777777" w:rsidR="00056B1D" w:rsidRPr="00BF210F" w:rsidRDefault="00056B1D" w:rsidP="003B65D9">
            <w:pPr>
              <w:jc w:val="center"/>
              <w:rPr>
                <w:rFonts w:cs="Arial"/>
                <w:sz w:val="20"/>
                <w:szCs w:val="16"/>
              </w:rPr>
            </w:pPr>
            <w:r w:rsidRPr="00BF210F">
              <w:rPr>
                <w:rFonts w:cs="Arial"/>
                <w:sz w:val="20"/>
                <w:szCs w:val="16"/>
              </w:rPr>
              <w:t>0.0</w:t>
            </w:r>
          </w:p>
        </w:tc>
        <w:tc>
          <w:tcPr>
            <w:tcW w:w="1446" w:type="dxa"/>
          </w:tcPr>
          <w:p w14:paraId="6B7254D3" w14:textId="77777777" w:rsidR="00056B1D" w:rsidRPr="00BF210F" w:rsidRDefault="00056B1D" w:rsidP="003B65D9">
            <w:pPr>
              <w:jc w:val="center"/>
              <w:rPr>
                <w:rFonts w:cs="Arial"/>
                <w:sz w:val="20"/>
                <w:szCs w:val="16"/>
              </w:rPr>
            </w:pPr>
            <w:r w:rsidRPr="00BF210F">
              <w:rPr>
                <w:rFonts w:cs="Arial"/>
                <w:sz w:val="20"/>
                <w:szCs w:val="16"/>
              </w:rPr>
              <w:t>0.895</w:t>
            </w:r>
          </w:p>
        </w:tc>
      </w:tr>
      <w:tr w:rsidR="00056B1D" w:rsidRPr="00BF210F" w14:paraId="5A148724" w14:textId="77777777" w:rsidTr="003B65D9">
        <w:tc>
          <w:tcPr>
            <w:tcW w:w="2098" w:type="dxa"/>
          </w:tcPr>
          <w:p w14:paraId="0AD2BAFB" w14:textId="77777777" w:rsidR="00056B1D" w:rsidRPr="00BF210F" w:rsidRDefault="00056B1D" w:rsidP="003B65D9">
            <w:pPr>
              <w:jc w:val="center"/>
              <w:rPr>
                <w:rFonts w:cs="Arial"/>
                <w:sz w:val="20"/>
                <w:szCs w:val="16"/>
              </w:rPr>
            </w:pPr>
            <w:r w:rsidRPr="00BF210F">
              <w:rPr>
                <w:rFonts w:cs="Arial"/>
                <w:sz w:val="20"/>
                <w:szCs w:val="16"/>
              </w:rPr>
              <w:t>Coghill 2019</w:t>
            </w:r>
          </w:p>
        </w:tc>
        <w:tc>
          <w:tcPr>
            <w:tcW w:w="1362" w:type="dxa"/>
          </w:tcPr>
          <w:p w14:paraId="515BEBBA" w14:textId="77777777" w:rsidR="00056B1D" w:rsidRPr="00BF210F" w:rsidRDefault="00056B1D" w:rsidP="003B65D9">
            <w:pPr>
              <w:jc w:val="center"/>
              <w:rPr>
                <w:rFonts w:cs="Arial"/>
                <w:sz w:val="20"/>
                <w:szCs w:val="16"/>
              </w:rPr>
            </w:pPr>
            <w:r w:rsidRPr="00BF210F">
              <w:rPr>
                <w:rFonts w:cs="Arial"/>
                <w:sz w:val="20"/>
                <w:szCs w:val="16"/>
              </w:rPr>
              <w:t>1.77</w:t>
            </w:r>
          </w:p>
        </w:tc>
        <w:tc>
          <w:tcPr>
            <w:tcW w:w="1362" w:type="dxa"/>
          </w:tcPr>
          <w:p w14:paraId="4E6F0F6B" w14:textId="77777777" w:rsidR="00056B1D" w:rsidRPr="00BF210F" w:rsidRDefault="00056B1D" w:rsidP="003B65D9">
            <w:pPr>
              <w:jc w:val="center"/>
              <w:rPr>
                <w:rFonts w:cs="Arial"/>
                <w:sz w:val="20"/>
                <w:szCs w:val="16"/>
              </w:rPr>
            </w:pPr>
            <w:r w:rsidRPr="00BF210F">
              <w:rPr>
                <w:rFonts w:cs="Arial"/>
                <w:sz w:val="20"/>
                <w:szCs w:val="16"/>
              </w:rPr>
              <w:t>1.46-2.14</w:t>
            </w:r>
          </w:p>
        </w:tc>
        <w:tc>
          <w:tcPr>
            <w:tcW w:w="1362" w:type="dxa"/>
          </w:tcPr>
          <w:p w14:paraId="15AF5557" w14:textId="77777777" w:rsidR="00056B1D" w:rsidRPr="00BF210F" w:rsidRDefault="00056B1D" w:rsidP="003B65D9">
            <w:pPr>
              <w:jc w:val="center"/>
              <w:rPr>
                <w:rFonts w:cs="Arial"/>
                <w:sz w:val="20"/>
                <w:szCs w:val="16"/>
              </w:rPr>
            </w:pPr>
            <w:r w:rsidRPr="00BF210F">
              <w:rPr>
                <w:rFonts w:cs="Arial"/>
                <w:sz w:val="20"/>
                <w:szCs w:val="16"/>
              </w:rPr>
              <w:t>&lt;0.001</w:t>
            </w:r>
          </w:p>
        </w:tc>
        <w:tc>
          <w:tcPr>
            <w:tcW w:w="1539" w:type="dxa"/>
          </w:tcPr>
          <w:p w14:paraId="02699971" w14:textId="77777777" w:rsidR="00056B1D" w:rsidRPr="00BF210F" w:rsidRDefault="00056B1D" w:rsidP="003B65D9">
            <w:pPr>
              <w:jc w:val="center"/>
              <w:rPr>
                <w:rFonts w:cs="Arial"/>
                <w:sz w:val="20"/>
                <w:szCs w:val="16"/>
              </w:rPr>
            </w:pPr>
            <w:r w:rsidRPr="00BF210F">
              <w:rPr>
                <w:rFonts w:cs="Arial"/>
                <w:sz w:val="20"/>
                <w:szCs w:val="16"/>
              </w:rPr>
              <w:t>0.0</w:t>
            </w:r>
          </w:p>
        </w:tc>
        <w:tc>
          <w:tcPr>
            <w:tcW w:w="1446" w:type="dxa"/>
          </w:tcPr>
          <w:p w14:paraId="28302552" w14:textId="77777777" w:rsidR="00056B1D" w:rsidRPr="00BF210F" w:rsidRDefault="00056B1D" w:rsidP="003B65D9">
            <w:pPr>
              <w:jc w:val="center"/>
              <w:rPr>
                <w:rFonts w:cs="Arial"/>
                <w:sz w:val="20"/>
                <w:szCs w:val="16"/>
              </w:rPr>
            </w:pPr>
            <w:r w:rsidRPr="00BF210F">
              <w:rPr>
                <w:rFonts w:cs="Arial"/>
                <w:sz w:val="20"/>
                <w:szCs w:val="16"/>
              </w:rPr>
              <w:t>0.859</w:t>
            </w:r>
          </w:p>
        </w:tc>
      </w:tr>
    </w:tbl>
    <w:p w14:paraId="60916471" w14:textId="77777777" w:rsidR="00056B1D" w:rsidRPr="00BF210F" w:rsidRDefault="00056B1D" w:rsidP="00056B1D">
      <w:pPr>
        <w:rPr>
          <w:rFonts w:cs="Arial"/>
          <w:sz w:val="16"/>
          <w:lang w:val="en-US"/>
        </w:rPr>
      </w:pPr>
      <w:r w:rsidRPr="00BF210F">
        <w:rPr>
          <w:rFonts w:cs="Arial"/>
          <w:sz w:val="16"/>
          <w:lang w:val="en-US"/>
        </w:rPr>
        <w:t>CI: confidence interval; OR: odds ratio.</w:t>
      </w:r>
    </w:p>
    <w:p w14:paraId="4B34A4F6" w14:textId="58E44D6F" w:rsidR="00437144" w:rsidRPr="00BF210F" w:rsidRDefault="00437144" w:rsidP="00D66A20">
      <w:pPr>
        <w:rPr>
          <w:rFonts w:cs="Arial"/>
          <w:b/>
          <w:sz w:val="20"/>
          <w:szCs w:val="20"/>
          <w:lang w:val="en-US"/>
        </w:rPr>
      </w:pPr>
    </w:p>
    <w:p w14:paraId="26645289" w14:textId="291A32D3" w:rsidR="00437144" w:rsidRPr="00BF210F" w:rsidRDefault="00BF210F" w:rsidP="00437144">
      <w:pPr>
        <w:rPr>
          <w:rFonts w:cs="Arial"/>
          <w:sz w:val="24"/>
          <w:lang w:val="en-US"/>
        </w:rPr>
      </w:pPr>
      <w:r>
        <w:rPr>
          <w:rFonts w:cs="Arial"/>
          <w:b/>
          <w:sz w:val="24"/>
          <w:szCs w:val="24"/>
          <w:lang w:val="en-US"/>
        </w:rPr>
        <w:t xml:space="preserve">Supplementary </w:t>
      </w:r>
      <w:r w:rsidR="00437144" w:rsidRPr="00BF210F">
        <w:rPr>
          <w:rFonts w:cs="Arial"/>
          <w:b/>
          <w:sz w:val="24"/>
          <w:lang w:val="en-US"/>
        </w:rPr>
        <w:t xml:space="preserve">Table </w:t>
      </w:r>
      <w:r w:rsidR="00056B1D" w:rsidRPr="00BF210F">
        <w:rPr>
          <w:rFonts w:cs="Arial"/>
          <w:b/>
          <w:sz w:val="24"/>
          <w:lang w:val="en-US"/>
        </w:rPr>
        <w:t>4</w:t>
      </w:r>
      <w:r w:rsidR="00437144" w:rsidRPr="00BF210F">
        <w:rPr>
          <w:rFonts w:cs="Arial"/>
          <w:sz w:val="24"/>
          <w:lang w:val="en-US"/>
        </w:rPr>
        <w:t xml:space="preserve"> </w:t>
      </w:r>
      <w:r w:rsidR="00437144" w:rsidRPr="00BF210F">
        <w:rPr>
          <w:rFonts w:cs="Arial"/>
          <w:b/>
          <w:sz w:val="24"/>
          <w:lang w:val="en-US"/>
        </w:rPr>
        <w:t xml:space="preserve">– </w:t>
      </w:r>
      <w:r w:rsidR="002F2392" w:rsidRPr="00BF210F">
        <w:rPr>
          <w:rFonts w:cs="Arial"/>
          <w:b/>
          <w:sz w:val="24"/>
          <w:szCs w:val="24"/>
          <w:lang w:val="en-US"/>
        </w:rPr>
        <w:t xml:space="preserve">Sensitivity analysis of the odds of presenting with locally advanced/metastatic stage (III/IV) at diagnosis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9258FF" w:rsidRPr="00BF210F">
        <w:rPr>
          <w:rFonts w:cs="Arial"/>
          <w:b/>
          <w:sz w:val="24"/>
          <w:lang w:val="en-US"/>
        </w:rPr>
        <w:t xml:space="preserve"> </w:t>
      </w:r>
      <w:r w:rsidR="00437144" w:rsidRPr="00BF210F">
        <w:rPr>
          <w:rFonts w:cs="Arial"/>
          <w:b/>
          <w:sz w:val="24"/>
          <w:lang w:val="en-US"/>
        </w:rPr>
        <w:t>(Sub-Saharan African studies).</w:t>
      </w:r>
    </w:p>
    <w:p w14:paraId="71BF0D8F" w14:textId="3C1CC43A" w:rsidR="00437144" w:rsidRPr="00BF210F" w:rsidRDefault="00437144" w:rsidP="00437144">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814DB9" w:rsidRPr="00BF210F" w14:paraId="47018EBF" w14:textId="77777777" w:rsidTr="00045D96">
        <w:tc>
          <w:tcPr>
            <w:tcW w:w="2098" w:type="dxa"/>
            <w:vMerge w:val="restart"/>
          </w:tcPr>
          <w:p w14:paraId="0B3C1B47" w14:textId="77777777" w:rsidR="00814DB9" w:rsidRPr="00BF210F" w:rsidRDefault="00814DB9" w:rsidP="00045D96">
            <w:pPr>
              <w:jc w:val="center"/>
              <w:rPr>
                <w:rFonts w:cs="Arial"/>
                <w:b/>
                <w:sz w:val="20"/>
                <w:szCs w:val="20"/>
              </w:rPr>
            </w:pPr>
            <w:r w:rsidRPr="00BF210F">
              <w:rPr>
                <w:rFonts w:cs="Arial"/>
                <w:b/>
                <w:sz w:val="20"/>
                <w:szCs w:val="20"/>
              </w:rPr>
              <w:t>Study excluded</w:t>
            </w:r>
          </w:p>
        </w:tc>
        <w:tc>
          <w:tcPr>
            <w:tcW w:w="4086" w:type="dxa"/>
            <w:gridSpan w:val="3"/>
          </w:tcPr>
          <w:p w14:paraId="1BEF3675" w14:textId="77777777" w:rsidR="00814DB9" w:rsidRPr="00BF210F" w:rsidRDefault="00814DB9" w:rsidP="00045D96">
            <w:pPr>
              <w:jc w:val="center"/>
              <w:rPr>
                <w:rFonts w:cs="Arial"/>
                <w:b/>
                <w:sz w:val="20"/>
                <w:szCs w:val="20"/>
              </w:rPr>
            </w:pPr>
            <w:r w:rsidRPr="00BF210F">
              <w:rPr>
                <w:rFonts w:cs="Arial"/>
                <w:b/>
                <w:sz w:val="20"/>
                <w:szCs w:val="20"/>
              </w:rPr>
              <w:t>Random effect</w:t>
            </w:r>
          </w:p>
        </w:tc>
        <w:tc>
          <w:tcPr>
            <w:tcW w:w="1539" w:type="dxa"/>
            <w:vMerge w:val="restart"/>
          </w:tcPr>
          <w:p w14:paraId="4308DACE" w14:textId="77777777" w:rsidR="00814DB9" w:rsidRPr="00BF210F" w:rsidRDefault="00814DB9" w:rsidP="00045D96">
            <w:pPr>
              <w:jc w:val="center"/>
              <w:rPr>
                <w:rFonts w:cs="Arial"/>
                <w:b/>
                <w:sz w:val="20"/>
                <w:szCs w:val="20"/>
              </w:rPr>
            </w:pPr>
            <w:r w:rsidRPr="00BF210F">
              <w:rPr>
                <w:rFonts w:cs="Arial"/>
                <w:b/>
                <w:sz w:val="20"/>
                <w:szCs w:val="20"/>
              </w:rPr>
              <w:t>I-squared (%)</w:t>
            </w:r>
          </w:p>
        </w:tc>
        <w:tc>
          <w:tcPr>
            <w:tcW w:w="1446" w:type="dxa"/>
            <w:vMerge w:val="restart"/>
          </w:tcPr>
          <w:p w14:paraId="45BEE26F" w14:textId="77777777" w:rsidR="00814DB9" w:rsidRPr="00BF210F" w:rsidRDefault="00814DB9" w:rsidP="00045D96">
            <w:pPr>
              <w:jc w:val="center"/>
              <w:rPr>
                <w:rFonts w:cs="Arial"/>
                <w:b/>
                <w:sz w:val="20"/>
                <w:szCs w:val="20"/>
              </w:rPr>
            </w:pPr>
            <w:r w:rsidRPr="00BF210F">
              <w:rPr>
                <w:rFonts w:cs="Arial"/>
                <w:b/>
                <w:sz w:val="20"/>
                <w:szCs w:val="20"/>
              </w:rPr>
              <w:t>I-sq. P-value</w:t>
            </w:r>
          </w:p>
        </w:tc>
      </w:tr>
      <w:tr w:rsidR="00814DB9" w:rsidRPr="00BF210F" w14:paraId="63EE2F80" w14:textId="77777777" w:rsidTr="00814DB9">
        <w:tc>
          <w:tcPr>
            <w:tcW w:w="2098" w:type="dxa"/>
            <w:vMerge/>
          </w:tcPr>
          <w:p w14:paraId="21CE07BC" w14:textId="77777777" w:rsidR="00814DB9" w:rsidRPr="00BF210F" w:rsidRDefault="00814DB9" w:rsidP="00045D96">
            <w:pPr>
              <w:jc w:val="center"/>
              <w:rPr>
                <w:rFonts w:cs="Arial"/>
                <w:b/>
                <w:sz w:val="20"/>
                <w:szCs w:val="20"/>
              </w:rPr>
            </w:pPr>
          </w:p>
        </w:tc>
        <w:tc>
          <w:tcPr>
            <w:tcW w:w="1362" w:type="dxa"/>
          </w:tcPr>
          <w:p w14:paraId="780B82AC" w14:textId="346BA52A" w:rsidR="00814DB9" w:rsidRPr="00BF210F" w:rsidRDefault="00814DB9" w:rsidP="00045D96">
            <w:pPr>
              <w:jc w:val="center"/>
              <w:rPr>
                <w:rFonts w:cs="Arial"/>
                <w:b/>
                <w:sz w:val="20"/>
                <w:szCs w:val="20"/>
              </w:rPr>
            </w:pPr>
            <w:r w:rsidRPr="00BF210F">
              <w:rPr>
                <w:rFonts w:cs="Arial"/>
                <w:b/>
                <w:sz w:val="20"/>
                <w:szCs w:val="20"/>
              </w:rPr>
              <w:t>Pooled OR</w:t>
            </w:r>
          </w:p>
        </w:tc>
        <w:tc>
          <w:tcPr>
            <w:tcW w:w="1362" w:type="dxa"/>
          </w:tcPr>
          <w:p w14:paraId="6CA0F658" w14:textId="77777777" w:rsidR="00814DB9" w:rsidRPr="00BF210F" w:rsidRDefault="00814DB9" w:rsidP="00045D96">
            <w:pPr>
              <w:jc w:val="center"/>
              <w:rPr>
                <w:rFonts w:cs="Arial"/>
                <w:b/>
                <w:sz w:val="20"/>
                <w:szCs w:val="20"/>
              </w:rPr>
            </w:pPr>
            <w:r w:rsidRPr="00BF210F">
              <w:rPr>
                <w:rFonts w:cs="Arial"/>
                <w:b/>
                <w:sz w:val="20"/>
                <w:szCs w:val="20"/>
              </w:rPr>
              <w:t>95% CI</w:t>
            </w:r>
          </w:p>
        </w:tc>
        <w:tc>
          <w:tcPr>
            <w:tcW w:w="1362" w:type="dxa"/>
          </w:tcPr>
          <w:p w14:paraId="76178387" w14:textId="77777777" w:rsidR="00814DB9" w:rsidRPr="00BF210F" w:rsidRDefault="00814DB9" w:rsidP="00045D96">
            <w:pPr>
              <w:jc w:val="center"/>
              <w:rPr>
                <w:rFonts w:cs="Arial"/>
                <w:b/>
                <w:sz w:val="20"/>
                <w:szCs w:val="20"/>
              </w:rPr>
            </w:pPr>
            <w:r w:rsidRPr="00BF210F">
              <w:rPr>
                <w:rFonts w:cs="Arial"/>
                <w:b/>
                <w:sz w:val="20"/>
                <w:szCs w:val="20"/>
              </w:rPr>
              <w:t>P-value</w:t>
            </w:r>
          </w:p>
        </w:tc>
        <w:tc>
          <w:tcPr>
            <w:tcW w:w="1539" w:type="dxa"/>
            <w:vMerge/>
          </w:tcPr>
          <w:p w14:paraId="7F1DD218" w14:textId="77777777" w:rsidR="00814DB9" w:rsidRPr="00BF210F" w:rsidRDefault="00814DB9" w:rsidP="00045D96">
            <w:pPr>
              <w:jc w:val="center"/>
              <w:rPr>
                <w:rFonts w:cs="Arial"/>
                <w:b/>
                <w:sz w:val="20"/>
                <w:szCs w:val="20"/>
              </w:rPr>
            </w:pPr>
          </w:p>
        </w:tc>
        <w:tc>
          <w:tcPr>
            <w:tcW w:w="1446" w:type="dxa"/>
            <w:vMerge/>
          </w:tcPr>
          <w:p w14:paraId="3611CCE5" w14:textId="77777777" w:rsidR="00814DB9" w:rsidRPr="00BF210F" w:rsidRDefault="00814DB9" w:rsidP="00045D96">
            <w:pPr>
              <w:jc w:val="center"/>
              <w:rPr>
                <w:rFonts w:cs="Arial"/>
                <w:b/>
                <w:sz w:val="20"/>
                <w:szCs w:val="20"/>
              </w:rPr>
            </w:pPr>
          </w:p>
        </w:tc>
      </w:tr>
      <w:tr w:rsidR="00814DB9" w:rsidRPr="00BF210F" w14:paraId="4F2D5F35" w14:textId="77777777" w:rsidTr="00814DB9">
        <w:tc>
          <w:tcPr>
            <w:tcW w:w="2098" w:type="dxa"/>
          </w:tcPr>
          <w:p w14:paraId="43A13830" w14:textId="77777777" w:rsidR="00814DB9" w:rsidRPr="00BF210F" w:rsidRDefault="00814DB9" w:rsidP="00045D96">
            <w:pPr>
              <w:jc w:val="center"/>
              <w:rPr>
                <w:rFonts w:cs="Arial"/>
                <w:sz w:val="20"/>
                <w:szCs w:val="20"/>
              </w:rPr>
            </w:pPr>
            <w:r w:rsidRPr="00BF210F">
              <w:rPr>
                <w:rFonts w:cs="Arial"/>
                <w:sz w:val="20"/>
                <w:szCs w:val="20"/>
              </w:rPr>
              <w:t>Sseggwanyi 2011</w:t>
            </w:r>
          </w:p>
        </w:tc>
        <w:tc>
          <w:tcPr>
            <w:tcW w:w="1362" w:type="dxa"/>
          </w:tcPr>
          <w:p w14:paraId="1AF5587D" w14:textId="77777777" w:rsidR="00814DB9" w:rsidRPr="00BF210F" w:rsidRDefault="00814DB9" w:rsidP="00045D96">
            <w:pPr>
              <w:jc w:val="center"/>
              <w:rPr>
                <w:rFonts w:cs="Arial"/>
                <w:sz w:val="20"/>
                <w:szCs w:val="20"/>
              </w:rPr>
            </w:pPr>
            <w:r w:rsidRPr="00BF210F">
              <w:rPr>
                <w:rFonts w:cs="Arial"/>
                <w:sz w:val="20"/>
                <w:szCs w:val="20"/>
              </w:rPr>
              <w:t>1.20</w:t>
            </w:r>
          </w:p>
        </w:tc>
        <w:tc>
          <w:tcPr>
            <w:tcW w:w="1362" w:type="dxa"/>
          </w:tcPr>
          <w:p w14:paraId="51507F16" w14:textId="77777777" w:rsidR="00814DB9" w:rsidRPr="00BF210F" w:rsidRDefault="00814DB9" w:rsidP="00045D96">
            <w:pPr>
              <w:jc w:val="center"/>
              <w:rPr>
                <w:rFonts w:cs="Arial"/>
                <w:sz w:val="20"/>
                <w:szCs w:val="20"/>
              </w:rPr>
            </w:pPr>
            <w:r w:rsidRPr="00BF210F">
              <w:rPr>
                <w:rFonts w:cs="Arial"/>
                <w:sz w:val="20"/>
                <w:szCs w:val="20"/>
              </w:rPr>
              <w:t>1.05-1.39</w:t>
            </w:r>
          </w:p>
        </w:tc>
        <w:tc>
          <w:tcPr>
            <w:tcW w:w="1362" w:type="dxa"/>
          </w:tcPr>
          <w:p w14:paraId="18285A5E" w14:textId="77777777" w:rsidR="00814DB9" w:rsidRPr="00BF210F" w:rsidRDefault="00814DB9" w:rsidP="00045D96">
            <w:pPr>
              <w:jc w:val="center"/>
              <w:rPr>
                <w:rFonts w:cs="Arial"/>
                <w:sz w:val="20"/>
                <w:szCs w:val="20"/>
              </w:rPr>
            </w:pPr>
            <w:r w:rsidRPr="00BF210F">
              <w:rPr>
                <w:rFonts w:cs="Arial"/>
                <w:sz w:val="20"/>
                <w:szCs w:val="20"/>
              </w:rPr>
              <w:t>0.010</w:t>
            </w:r>
          </w:p>
        </w:tc>
        <w:tc>
          <w:tcPr>
            <w:tcW w:w="1539" w:type="dxa"/>
          </w:tcPr>
          <w:p w14:paraId="5F1F86C9" w14:textId="77777777" w:rsidR="00814DB9" w:rsidRPr="00BF210F" w:rsidRDefault="00814DB9" w:rsidP="00045D96">
            <w:pPr>
              <w:jc w:val="center"/>
              <w:rPr>
                <w:rFonts w:cs="Arial"/>
                <w:sz w:val="20"/>
                <w:szCs w:val="20"/>
              </w:rPr>
            </w:pPr>
            <w:r w:rsidRPr="00BF210F">
              <w:rPr>
                <w:rFonts w:cs="Arial"/>
                <w:sz w:val="20"/>
                <w:szCs w:val="20"/>
              </w:rPr>
              <w:t>0.0</w:t>
            </w:r>
          </w:p>
        </w:tc>
        <w:tc>
          <w:tcPr>
            <w:tcW w:w="1446" w:type="dxa"/>
          </w:tcPr>
          <w:p w14:paraId="5782C787" w14:textId="77777777" w:rsidR="00814DB9" w:rsidRPr="00BF210F" w:rsidRDefault="00814DB9" w:rsidP="00045D96">
            <w:pPr>
              <w:jc w:val="center"/>
              <w:rPr>
                <w:rFonts w:cs="Arial"/>
                <w:sz w:val="20"/>
                <w:szCs w:val="20"/>
              </w:rPr>
            </w:pPr>
            <w:r w:rsidRPr="00BF210F">
              <w:rPr>
                <w:rFonts w:cs="Arial"/>
                <w:sz w:val="20"/>
                <w:szCs w:val="20"/>
              </w:rPr>
              <w:t>0.711</w:t>
            </w:r>
          </w:p>
        </w:tc>
      </w:tr>
      <w:tr w:rsidR="00814DB9" w:rsidRPr="00BF210F" w14:paraId="58B2B4A3" w14:textId="77777777" w:rsidTr="00814DB9">
        <w:tc>
          <w:tcPr>
            <w:tcW w:w="2098" w:type="dxa"/>
          </w:tcPr>
          <w:p w14:paraId="1AAA53F1" w14:textId="77777777" w:rsidR="00814DB9" w:rsidRPr="00BF210F" w:rsidRDefault="00814DB9" w:rsidP="00045D96">
            <w:pPr>
              <w:jc w:val="center"/>
              <w:rPr>
                <w:rFonts w:cs="Arial"/>
                <w:sz w:val="20"/>
                <w:szCs w:val="20"/>
              </w:rPr>
            </w:pPr>
            <w:r w:rsidRPr="00BF210F">
              <w:rPr>
                <w:rFonts w:cs="Arial"/>
                <w:sz w:val="20"/>
                <w:szCs w:val="20"/>
              </w:rPr>
              <w:t>Cubasch 2013</w:t>
            </w:r>
          </w:p>
        </w:tc>
        <w:tc>
          <w:tcPr>
            <w:tcW w:w="1362" w:type="dxa"/>
          </w:tcPr>
          <w:p w14:paraId="1362F64E" w14:textId="77777777" w:rsidR="00814DB9" w:rsidRPr="00BF210F" w:rsidRDefault="00814DB9" w:rsidP="00045D96">
            <w:pPr>
              <w:jc w:val="center"/>
              <w:rPr>
                <w:rFonts w:cs="Arial"/>
                <w:sz w:val="20"/>
                <w:szCs w:val="20"/>
              </w:rPr>
            </w:pPr>
            <w:r w:rsidRPr="00BF210F">
              <w:rPr>
                <w:rFonts w:cs="Arial"/>
                <w:sz w:val="20"/>
                <w:szCs w:val="20"/>
              </w:rPr>
              <w:t>1.27</w:t>
            </w:r>
          </w:p>
        </w:tc>
        <w:tc>
          <w:tcPr>
            <w:tcW w:w="1362" w:type="dxa"/>
          </w:tcPr>
          <w:p w14:paraId="568FD930" w14:textId="77777777" w:rsidR="00814DB9" w:rsidRPr="00BF210F" w:rsidRDefault="00814DB9" w:rsidP="00045D96">
            <w:pPr>
              <w:jc w:val="center"/>
              <w:rPr>
                <w:rFonts w:cs="Arial"/>
                <w:sz w:val="20"/>
                <w:szCs w:val="20"/>
              </w:rPr>
            </w:pPr>
            <w:r w:rsidRPr="00BF210F">
              <w:rPr>
                <w:rFonts w:cs="Arial"/>
                <w:sz w:val="20"/>
                <w:szCs w:val="20"/>
              </w:rPr>
              <w:t>1.07-1.50</w:t>
            </w:r>
          </w:p>
        </w:tc>
        <w:tc>
          <w:tcPr>
            <w:tcW w:w="1362" w:type="dxa"/>
          </w:tcPr>
          <w:p w14:paraId="678BF1E2" w14:textId="77777777" w:rsidR="00814DB9" w:rsidRPr="00BF210F" w:rsidRDefault="00814DB9" w:rsidP="00045D96">
            <w:pPr>
              <w:jc w:val="center"/>
              <w:rPr>
                <w:rFonts w:cs="Arial"/>
                <w:sz w:val="20"/>
                <w:szCs w:val="20"/>
              </w:rPr>
            </w:pPr>
            <w:r w:rsidRPr="00BF210F">
              <w:rPr>
                <w:rFonts w:cs="Arial"/>
                <w:sz w:val="20"/>
                <w:szCs w:val="20"/>
              </w:rPr>
              <w:t>0.005</w:t>
            </w:r>
          </w:p>
        </w:tc>
        <w:tc>
          <w:tcPr>
            <w:tcW w:w="1539" w:type="dxa"/>
          </w:tcPr>
          <w:p w14:paraId="7ECB5712" w14:textId="77777777" w:rsidR="00814DB9" w:rsidRPr="00BF210F" w:rsidRDefault="00814DB9" w:rsidP="00045D96">
            <w:pPr>
              <w:jc w:val="center"/>
              <w:rPr>
                <w:rFonts w:cs="Arial"/>
                <w:sz w:val="20"/>
                <w:szCs w:val="20"/>
              </w:rPr>
            </w:pPr>
            <w:r w:rsidRPr="00BF210F">
              <w:rPr>
                <w:rFonts w:cs="Arial"/>
                <w:sz w:val="20"/>
                <w:szCs w:val="20"/>
              </w:rPr>
              <w:t>6.8</w:t>
            </w:r>
          </w:p>
        </w:tc>
        <w:tc>
          <w:tcPr>
            <w:tcW w:w="1446" w:type="dxa"/>
          </w:tcPr>
          <w:p w14:paraId="59D843ED" w14:textId="77777777" w:rsidR="00814DB9" w:rsidRPr="00BF210F" w:rsidRDefault="00814DB9" w:rsidP="00045D96">
            <w:pPr>
              <w:jc w:val="center"/>
              <w:rPr>
                <w:rFonts w:cs="Arial"/>
                <w:sz w:val="20"/>
                <w:szCs w:val="20"/>
              </w:rPr>
            </w:pPr>
            <w:r w:rsidRPr="00BF210F">
              <w:rPr>
                <w:rFonts w:cs="Arial"/>
                <w:sz w:val="20"/>
                <w:szCs w:val="20"/>
              </w:rPr>
              <w:t>0.379</w:t>
            </w:r>
          </w:p>
        </w:tc>
      </w:tr>
      <w:tr w:rsidR="00814DB9" w:rsidRPr="00BF210F" w14:paraId="02362126" w14:textId="77777777" w:rsidTr="00814DB9">
        <w:tc>
          <w:tcPr>
            <w:tcW w:w="2098" w:type="dxa"/>
          </w:tcPr>
          <w:p w14:paraId="5AC8AD60" w14:textId="77777777" w:rsidR="00814DB9" w:rsidRPr="00BF210F" w:rsidRDefault="00814DB9" w:rsidP="00045D96">
            <w:pPr>
              <w:jc w:val="center"/>
              <w:rPr>
                <w:rFonts w:cs="Arial"/>
                <w:sz w:val="20"/>
                <w:szCs w:val="20"/>
              </w:rPr>
            </w:pPr>
            <w:r w:rsidRPr="00BF210F">
              <w:rPr>
                <w:rFonts w:cs="Arial"/>
                <w:sz w:val="20"/>
                <w:szCs w:val="20"/>
              </w:rPr>
              <w:t>Traore 2015</w:t>
            </w:r>
          </w:p>
        </w:tc>
        <w:tc>
          <w:tcPr>
            <w:tcW w:w="1362" w:type="dxa"/>
          </w:tcPr>
          <w:p w14:paraId="5FB025BF" w14:textId="77777777" w:rsidR="00814DB9" w:rsidRPr="00BF210F" w:rsidRDefault="00814DB9" w:rsidP="00045D96">
            <w:pPr>
              <w:jc w:val="center"/>
              <w:rPr>
                <w:rFonts w:cs="Arial"/>
                <w:sz w:val="20"/>
                <w:szCs w:val="20"/>
              </w:rPr>
            </w:pPr>
            <w:r w:rsidRPr="00BF210F">
              <w:rPr>
                <w:rFonts w:cs="Arial"/>
                <w:sz w:val="20"/>
                <w:szCs w:val="20"/>
              </w:rPr>
              <w:t>1.24</w:t>
            </w:r>
          </w:p>
        </w:tc>
        <w:tc>
          <w:tcPr>
            <w:tcW w:w="1362" w:type="dxa"/>
          </w:tcPr>
          <w:p w14:paraId="03A5037B" w14:textId="77777777" w:rsidR="00814DB9" w:rsidRPr="00BF210F" w:rsidRDefault="00814DB9" w:rsidP="00045D96">
            <w:pPr>
              <w:jc w:val="center"/>
              <w:rPr>
                <w:rFonts w:cs="Arial"/>
                <w:sz w:val="20"/>
                <w:szCs w:val="20"/>
              </w:rPr>
            </w:pPr>
            <w:r w:rsidRPr="00BF210F">
              <w:rPr>
                <w:rFonts w:cs="Arial"/>
                <w:sz w:val="20"/>
                <w:szCs w:val="20"/>
              </w:rPr>
              <w:t>1.06-1.45</w:t>
            </w:r>
          </w:p>
        </w:tc>
        <w:tc>
          <w:tcPr>
            <w:tcW w:w="1362" w:type="dxa"/>
          </w:tcPr>
          <w:p w14:paraId="6C833928" w14:textId="77777777" w:rsidR="00814DB9" w:rsidRPr="00BF210F" w:rsidRDefault="00814DB9" w:rsidP="00045D96">
            <w:pPr>
              <w:jc w:val="center"/>
              <w:rPr>
                <w:rFonts w:cs="Arial"/>
                <w:sz w:val="20"/>
                <w:szCs w:val="20"/>
              </w:rPr>
            </w:pPr>
            <w:r w:rsidRPr="00BF210F">
              <w:rPr>
                <w:rFonts w:cs="Arial"/>
                <w:sz w:val="20"/>
                <w:szCs w:val="20"/>
              </w:rPr>
              <w:t>0.008</w:t>
            </w:r>
          </w:p>
        </w:tc>
        <w:tc>
          <w:tcPr>
            <w:tcW w:w="1539" w:type="dxa"/>
          </w:tcPr>
          <w:p w14:paraId="0134AB92" w14:textId="77777777" w:rsidR="00814DB9" w:rsidRPr="00BF210F" w:rsidRDefault="00814DB9" w:rsidP="00045D96">
            <w:pPr>
              <w:jc w:val="center"/>
              <w:rPr>
                <w:rFonts w:cs="Arial"/>
                <w:sz w:val="20"/>
                <w:szCs w:val="20"/>
              </w:rPr>
            </w:pPr>
            <w:r w:rsidRPr="00BF210F">
              <w:rPr>
                <w:rFonts w:cs="Arial"/>
                <w:sz w:val="20"/>
                <w:szCs w:val="20"/>
              </w:rPr>
              <w:t>11.1</w:t>
            </w:r>
          </w:p>
        </w:tc>
        <w:tc>
          <w:tcPr>
            <w:tcW w:w="1446" w:type="dxa"/>
          </w:tcPr>
          <w:p w14:paraId="5CA6B337" w14:textId="77777777" w:rsidR="00814DB9" w:rsidRPr="00BF210F" w:rsidRDefault="00814DB9" w:rsidP="00045D96">
            <w:pPr>
              <w:jc w:val="center"/>
              <w:rPr>
                <w:rFonts w:cs="Arial"/>
                <w:sz w:val="20"/>
                <w:szCs w:val="20"/>
              </w:rPr>
            </w:pPr>
            <w:r w:rsidRPr="00BF210F">
              <w:rPr>
                <w:rFonts w:cs="Arial"/>
                <w:sz w:val="20"/>
                <w:szCs w:val="20"/>
              </w:rPr>
              <w:t>0.339</w:t>
            </w:r>
          </w:p>
        </w:tc>
      </w:tr>
      <w:tr w:rsidR="00814DB9" w:rsidRPr="00BF210F" w14:paraId="6364A11B" w14:textId="77777777" w:rsidTr="00814DB9">
        <w:tc>
          <w:tcPr>
            <w:tcW w:w="2098" w:type="dxa"/>
          </w:tcPr>
          <w:p w14:paraId="71A2576A" w14:textId="77777777" w:rsidR="00814DB9" w:rsidRPr="00BF210F" w:rsidRDefault="00814DB9" w:rsidP="00045D96">
            <w:pPr>
              <w:jc w:val="center"/>
              <w:rPr>
                <w:rFonts w:cs="Arial"/>
                <w:sz w:val="20"/>
                <w:szCs w:val="20"/>
              </w:rPr>
            </w:pPr>
            <w:r w:rsidRPr="00BF210F">
              <w:rPr>
                <w:rFonts w:cs="Arial"/>
                <w:sz w:val="20"/>
                <w:szCs w:val="20"/>
              </w:rPr>
              <w:t>Langenhoven 2016</w:t>
            </w:r>
          </w:p>
        </w:tc>
        <w:tc>
          <w:tcPr>
            <w:tcW w:w="1362" w:type="dxa"/>
          </w:tcPr>
          <w:p w14:paraId="7C006894" w14:textId="77777777" w:rsidR="00814DB9" w:rsidRPr="00BF210F" w:rsidRDefault="00814DB9" w:rsidP="00045D96">
            <w:pPr>
              <w:jc w:val="center"/>
              <w:rPr>
                <w:rFonts w:cs="Arial"/>
                <w:sz w:val="20"/>
                <w:szCs w:val="20"/>
              </w:rPr>
            </w:pPr>
            <w:r w:rsidRPr="00BF210F">
              <w:rPr>
                <w:rFonts w:cs="Arial"/>
                <w:sz w:val="20"/>
                <w:szCs w:val="20"/>
              </w:rPr>
              <w:t>1.21</w:t>
            </w:r>
          </w:p>
        </w:tc>
        <w:tc>
          <w:tcPr>
            <w:tcW w:w="1362" w:type="dxa"/>
          </w:tcPr>
          <w:p w14:paraId="36B8FC43" w14:textId="77777777" w:rsidR="00814DB9" w:rsidRPr="00BF210F" w:rsidRDefault="00814DB9" w:rsidP="00045D96">
            <w:pPr>
              <w:jc w:val="center"/>
              <w:rPr>
                <w:rFonts w:cs="Arial"/>
                <w:sz w:val="20"/>
                <w:szCs w:val="20"/>
              </w:rPr>
            </w:pPr>
            <w:r w:rsidRPr="00BF210F">
              <w:rPr>
                <w:rFonts w:cs="Arial"/>
                <w:sz w:val="20"/>
                <w:szCs w:val="20"/>
              </w:rPr>
              <w:t>1.05-1.40</w:t>
            </w:r>
          </w:p>
        </w:tc>
        <w:tc>
          <w:tcPr>
            <w:tcW w:w="1362" w:type="dxa"/>
          </w:tcPr>
          <w:p w14:paraId="71B271F9" w14:textId="77777777" w:rsidR="00814DB9" w:rsidRPr="00BF210F" w:rsidRDefault="00814DB9" w:rsidP="00045D96">
            <w:pPr>
              <w:jc w:val="center"/>
              <w:rPr>
                <w:rFonts w:cs="Arial"/>
                <w:sz w:val="20"/>
                <w:szCs w:val="20"/>
              </w:rPr>
            </w:pPr>
            <w:r w:rsidRPr="00BF210F">
              <w:rPr>
                <w:rFonts w:cs="Arial"/>
                <w:sz w:val="20"/>
                <w:szCs w:val="20"/>
              </w:rPr>
              <w:t>0.010</w:t>
            </w:r>
          </w:p>
        </w:tc>
        <w:tc>
          <w:tcPr>
            <w:tcW w:w="1539" w:type="dxa"/>
          </w:tcPr>
          <w:p w14:paraId="65CB6347" w14:textId="77777777" w:rsidR="00814DB9" w:rsidRPr="00BF210F" w:rsidRDefault="00814DB9" w:rsidP="00045D96">
            <w:pPr>
              <w:jc w:val="center"/>
              <w:rPr>
                <w:rFonts w:cs="Arial"/>
                <w:sz w:val="20"/>
                <w:szCs w:val="20"/>
              </w:rPr>
            </w:pPr>
            <w:r w:rsidRPr="00BF210F">
              <w:rPr>
                <w:rFonts w:cs="Arial"/>
                <w:sz w:val="20"/>
                <w:szCs w:val="20"/>
              </w:rPr>
              <w:t>3.1</w:t>
            </w:r>
          </w:p>
        </w:tc>
        <w:tc>
          <w:tcPr>
            <w:tcW w:w="1446" w:type="dxa"/>
          </w:tcPr>
          <w:p w14:paraId="46AC8484" w14:textId="77777777" w:rsidR="00814DB9" w:rsidRPr="00BF210F" w:rsidRDefault="00814DB9" w:rsidP="00045D96">
            <w:pPr>
              <w:jc w:val="center"/>
              <w:rPr>
                <w:rFonts w:cs="Arial"/>
                <w:sz w:val="20"/>
                <w:szCs w:val="20"/>
              </w:rPr>
            </w:pPr>
            <w:r w:rsidRPr="00BF210F">
              <w:rPr>
                <w:rFonts w:cs="Arial"/>
                <w:sz w:val="20"/>
                <w:szCs w:val="20"/>
              </w:rPr>
              <w:t>0.413</w:t>
            </w:r>
          </w:p>
        </w:tc>
      </w:tr>
      <w:tr w:rsidR="00814DB9" w:rsidRPr="00BF210F" w14:paraId="3A291B73" w14:textId="77777777" w:rsidTr="00814DB9">
        <w:tc>
          <w:tcPr>
            <w:tcW w:w="2098" w:type="dxa"/>
          </w:tcPr>
          <w:p w14:paraId="26856AE4" w14:textId="77777777" w:rsidR="00814DB9" w:rsidRPr="00BF210F" w:rsidRDefault="00814DB9" w:rsidP="00045D96">
            <w:pPr>
              <w:jc w:val="center"/>
              <w:rPr>
                <w:rFonts w:cs="Arial"/>
                <w:sz w:val="20"/>
                <w:szCs w:val="20"/>
              </w:rPr>
            </w:pPr>
            <w:r w:rsidRPr="00BF210F">
              <w:rPr>
                <w:rFonts w:cs="Arial"/>
                <w:sz w:val="20"/>
                <w:szCs w:val="20"/>
              </w:rPr>
              <w:t>Phakathi 2016</w:t>
            </w:r>
          </w:p>
        </w:tc>
        <w:tc>
          <w:tcPr>
            <w:tcW w:w="1362" w:type="dxa"/>
          </w:tcPr>
          <w:p w14:paraId="67627DC0" w14:textId="77777777" w:rsidR="00814DB9" w:rsidRPr="00BF210F" w:rsidRDefault="00814DB9" w:rsidP="00045D96">
            <w:pPr>
              <w:jc w:val="center"/>
              <w:rPr>
                <w:rFonts w:cs="Arial"/>
                <w:sz w:val="20"/>
                <w:szCs w:val="20"/>
              </w:rPr>
            </w:pPr>
            <w:r w:rsidRPr="00BF210F">
              <w:rPr>
                <w:rFonts w:cs="Arial"/>
                <w:sz w:val="20"/>
                <w:szCs w:val="20"/>
              </w:rPr>
              <w:t>1.23</w:t>
            </w:r>
          </w:p>
        </w:tc>
        <w:tc>
          <w:tcPr>
            <w:tcW w:w="1362" w:type="dxa"/>
          </w:tcPr>
          <w:p w14:paraId="487F0F2F" w14:textId="77777777" w:rsidR="00814DB9" w:rsidRPr="00BF210F" w:rsidRDefault="00814DB9" w:rsidP="00045D96">
            <w:pPr>
              <w:jc w:val="center"/>
              <w:rPr>
                <w:rFonts w:cs="Arial"/>
                <w:sz w:val="20"/>
                <w:szCs w:val="20"/>
              </w:rPr>
            </w:pPr>
            <w:r w:rsidRPr="00BF210F">
              <w:rPr>
                <w:rFonts w:cs="Arial"/>
                <w:sz w:val="20"/>
                <w:szCs w:val="20"/>
              </w:rPr>
              <w:t>1.05-1.45</w:t>
            </w:r>
          </w:p>
        </w:tc>
        <w:tc>
          <w:tcPr>
            <w:tcW w:w="1362" w:type="dxa"/>
          </w:tcPr>
          <w:p w14:paraId="4D764F25" w14:textId="77777777" w:rsidR="00814DB9" w:rsidRPr="00BF210F" w:rsidRDefault="00814DB9" w:rsidP="00045D96">
            <w:pPr>
              <w:jc w:val="center"/>
              <w:rPr>
                <w:rFonts w:cs="Arial"/>
                <w:sz w:val="20"/>
                <w:szCs w:val="20"/>
              </w:rPr>
            </w:pPr>
            <w:r w:rsidRPr="00BF210F">
              <w:rPr>
                <w:rFonts w:cs="Arial"/>
                <w:sz w:val="20"/>
                <w:szCs w:val="20"/>
              </w:rPr>
              <w:t>0.010</w:t>
            </w:r>
          </w:p>
        </w:tc>
        <w:tc>
          <w:tcPr>
            <w:tcW w:w="1539" w:type="dxa"/>
          </w:tcPr>
          <w:p w14:paraId="4EC72CCF" w14:textId="77777777" w:rsidR="00814DB9" w:rsidRPr="00BF210F" w:rsidRDefault="00814DB9" w:rsidP="00045D96">
            <w:pPr>
              <w:jc w:val="center"/>
              <w:rPr>
                <w:rFonts w:cs="Arial"/>
                <w:sz w:val="20"/>
                <w:szCs w:val="20"/>
              </w:rPr>
            </w:pPr>
            <w:r w:rsidRPr="00BF210F">
              <w:rPr>
                <w:rFonts w:cs="Arial"/>
                <w:sz w:val="20"/>
                <w:szCs w:val="20"/>
              </w:rPr>
              <w:t>11.1</w:t>
            </w:r>
          </w:p>
        </w:tc>
        <w:tc>
          <w:tcPr>
            <w:tcW w:w="1446" w:type="dxa"/>
          </w:tcPr>
          <w:p w14:paraId="4A0EF064" w14:textId="77777777" w:rsidR="00814DB9" w:rsidRPr="00BF210F" w:rsidRDefault="00814DB9" w:rsidP="00045D96">
            <w:pPr>
              <w:jc w:val="center"/>
              <w:rPr>
                <w:rFonts w:cs="Arial"/>
                <w:sz w:val="20"/>
                <w:szCs w:val="20"/>
              </w:rPr>
            </w:pPr>
            <w:r w:rsidRPr="00BF210F">
              <w:rPr>
                <w:rFonts w:cs="Arial"/>
                <w:sz w:val="20"/>
                <w:szCs w:val="20"/>
              </w:rPr>
              <w:t>0.339</w:t>
            </w:r>
          </w:p>
        </w:tc>
      </w:tr>
      <w:tr w:rsidR="00814DB9" w:rsidRPr="00BF210F" w14:paraId="0618CA19" w14:textId="77777777" w:rsidTr="00814DB9">
        <w:tc>
          <w:tcPr>
            <w:tcW w:w="2098" w:type="dxa"/>
          </w:tcPr>
          <w:p w14:paraId="560ECC90" w14:textId="77777777" w:rsidR="00814DB9" w:rsidRPr="00BF210F" w:rsidRDefault="00814DB9" w:rsidP="00045D96">
            <w:pPr>
              <w:jc w:val="center"/>
              <w:rPr>
                <w:rFonts w:cs="Arial"/>
                <w:sz w:val="20"/>
                <w:szCs w:val="20"/>
              </w:rPr>
            </w:pPr>
            <w:r w:rsidRPr="00BF210F">
              <w:rPr>
                <w:rFonts w:cs="Arial"/>
                <w:sz w:val="20"/>
                <w:szCs w:val="20"/>
              </w:rPr>
              <w:t>Ngidi 2017</w:t>
            </w:r>
          </w:p>
        </w:tc>
        <w:tc>
          <w:tcPr>
            <w:tcW w:w="1362" w:type="dxa"/>
          </w:tcPr>
          <w:p w14:paraId="10CA9C96" w14:textId="77777777" w:rsidR="00814DB9" w:rsidRPr="00BF210F" w:rsidRDefault="00814DB9" w:rsidP="00045D96">
            <w:pPr>
              <w:jc w:val="center"/>
              <w:rPr>
                <w:rFonts w:cs="Arial"/>
                <w:sz w:val="20"/>
                <w:szCs w:val="20"/>
              </w:rPr>
            </w:pPr>
            <w:r w:rsidRPr="00BF210F">
              <w:rPr>
                <w:rFonts w:cs="Arial"/>
                <w:sz w:val="20"/>
                <w:szCs w:val="20"/>
              </w:rPr>
              <w:t>1.22</w:t>
            </w:r>
          </w:p>
        </w:tc>
        <w:tc>
          <w:tcPr>
            <w:tcW w:w="1362" w:type="dxa"/>
          </w:tcPr>
          <w:p w14:paraId="47E5EC07" w14:textId="77777777" w:rsidR="00814DB9" w:rsidRPr="00BF210F" w:rsidRDefault="00814DB9" w:rsidP="00045D96">
            <w:pPr>
              <w:jc w:val="center"/>
              <w:rPr>
                <w:rFonts w:cs="Arial"/>
                <w:sz w:val="20"/>
                <w:szCs w:val="20"/>
              </w:rPr>
            </w:pPr>
            <w:r w:rsidRPr="00BF210F">
              <w:rPr>
                <w:rFonts w:cs="Arial"/>
                <w:sz w:val="20"/>
                <w:szCs w:val="20"/>
              </w:rPr>
              <w:t>1.06-1.41</w:t>
            </w:r>
          </w:p>
        </w:tc>
        <w:tc>
          <w:tcPr>
            <w:tcW w:w="1362" w:type="dxa"/>
          </w:tcPr>
          <w:p w14:paraId="5A9C9199" w14:textId="77777777" w:rsidR="00814DB9" w:rsidRPr="00BF210F" w:rsidRDefault="00814DB9" w:rsidP="00045D96">
            <w:pPr>
              <w:jc w:val="center"/>
              <w:rPr>
                <w:rFonts w:cs="Arial"/>
                <w:sz w:val="20"/>
                <w:szCs w:val="20"/>
              </w:rPr>
            </w:pPr>
            <w:r w:rsidRPr="00BF210F">
              <w:rPr>
                <w:rFonts w:cs="Arial"/>
                <w:sz w:val="20"/>
                <w:szCs w:val="20"/>
              </w:rPr>
              <w:t>0.006</w:t>
            </w:r>
          </w:p>
        </w:tc>
        <w:tc>
          <w:tcPr>
            <w:tcW w:w="1539" w:type="dxa"/>
          </w:tcPr>
          <w:p w14:paraId="438A783E" w14:textId="77777777" w:rsidR="00814DB9" w:rsidRPr="00BF210F" w:rsidRDefault="00814DB9" w:rsidP="00045D96">
            <w:pPr>
              <w:jc w:val="center"/>
              <w:rPr>
                <w:rFonts w:cs="Arial"/>
                <w:sz w:val="20"/>
                <w:szCs w:val="20"/>
              </w:rPr>
            </w:pPr>
            <w:r w:rsidRPr="00BF210F">
              <w:rPr>
                <w:rFonts w:cs="Arial"/>
                <w:sz w:val="20"/>
                <w:szCs w:val="20"/>
              </w:rPr>
              <w:t>3.0</w:t>
            </w:r>
          </w:p>
        </w:tc>
        <w:tc>
          <w:tcPr>
            <w:tcW w:w="1446" w:type="dxa"/>
          </w:tcPr>
          <w:p w14:paraId="3233BE50" w14:textId="77777777" w:rsidR="00814DB9" w:rsidRPr="00BF210F" w:rsidRDefault="00814DB9" w:rsidP="00045D96">
            <w:pPr>
              <w:jc w:val="center"/>
              <w:rPr>
                <w:rFonts w:cs="Arial"/>
                <w:sz w:val="20"/>
                <w:szCs w:val="20"/>
              </w:rPr>
            </w:pPr>
            <w:r w:rsidRPr="00BF210F">
              <w:rPr>
                <w:rFonts w:cs="Arial"/>
                <w:sz w:val="20"/>
                <w:szCs w:val="20"/>
              </w:rPr>
              <w:t>0.414</w:t>
            </w:r>
          </w:p>
        </w:tc>
      </w:tr>
      <w:tr w:rsidR="00814DB9" w:rsidRPr="00BF210F" w14:paraId="38880E8F" w14:textId="77777777" w:rsidTr="00814DB9">
        <w:tc>
          <w:tcPr>
            <w:tcW w:w="2098" w:type="dxa"/>
          </w:tcPr>
          <w:p w14:paraId="000DDC0E" w14:textId="77777777" w:rsidR="00814DB9" w:rsidRPr="00BF210F" w:rsidRDefault="00814DB9" w:rsidP="00045D96">
            <w:pPr>
              <w:jc w:val="center"/>
              <w:rPr>
                <w:rFonts w:cs="Arial"/>
                <w:sz w:val="20"/>
                <w:szCs w:val="20"/>
              </w:rPr>
            </w:pPr>
            <w:r w:rsidRPr="00BF210F">
              <w:rPr>
                <w:rFonts w:cs="Arial"/>
                <w:sz w:val="20"/>
                <w:szCs w:val="20"/>
              </w:rPr>
              <w:t>McKenzie 2018</w:t>
            </w:r>
          </w:p>
        </w:tc>
        <w:tc>
          <w:tcPr>
            <w:tcW w:w="1362" w:type="dxa"/>
          </w:tcPr>
          <w:p w14:paraId="2EBFB6B1" w14:textId="77777777" w:rsidR="00814DB9" w:rsidRPr="00BF210F" w:rsidRDefault="00814DB9" w:rsidP="00045D96">
            <w:pPr>
              <w:jc w:val="center"/>
              <w:rPr>
                <w:rFonts w:cs="Arial"/>
                <w:sz w:val="20"/>
                <w:szCs w:val="20"/>
              </w:rPr>
            </w:pPr>
            <w:r w:rsidRPr="00BF210F">
              <w:rPr>
                <w:rFonts w:cs="Arial"/>
                <w:sz w:val="20"/>
                <w:szCs w:val="20"/>
              </w:rPr>
              <w:t>1.26</w:t>
            </w:r>
          </w:p>
        </w:tc>
        <w:tc>
          <w:tcPr>
            <w:tcW w:w="1362" w:type="dxa"/>
          </w:tcPr>
          <w:p w14:paraId="0BD06139" w14:textId="77777777" w:rsidR="00814DB9" w:rsidRPr="00BF210F" w:rsidRDefault="00814DB9" w:rsidP="00045D96">
            <w:pPr>
              <w:jc w:val="center"/>
              <w:rPr>
                <w:rFonts w:cs="Arial"/>
                <w:sz w:val="20"/>
                <w:szCs w:val="20"/>
              </w:rPr>
            </w:pPr>
            <w:r w:rsidRPr="00BF210F">
              <w:rPr>
                <w:rFonts w:cs="Arial"/>
                <w:sz w:val="20"/>
                <w:szCs w:val="20"/>
              </w:rPr>
              <w:t>1.07-1.48</w:t>
            </w:r>
          </w:p>
        </w:tc>
        <w:tc>
          <w:tcPr>
            <w:tcW w:w="1362" w:type="dxa"/>
          </w:tcPr>
          <w:p w14:paraId="542E7C4E" w14:textId="77777777" w:rsidR="00814DB9" w:rsidRPr="00BF210F" w:rsidRDefault="00814DB9" w:rsidP="00045D96">
            <w:pPr>
              <w:jc w:val="center"/>
              <w:rPr>
                <w:rFonts w:cs="Arial"/>
                <w:sz w:val="20"/>
                <w:szCs w:val="20"/>
              </w:rPr>
            </w:pPr>
            <w:r w:rsidRPr="00BF210F">
              <w:rPr>
                <w:rFonts w:cs="Arial"/>
                <w:sz w:val="20"/>
                <w:szCs w:val="20"/>
              </w:rPr>
              <w:t>0.005</w:t>
            </w:r>
          </w:p>
        </w:tc>
        <w:tc>
          <w:tcPr>
            <w:tcW w:w="1539" w:type="dxa"/>
          </w:tcPr>
          <w:p w14:paraId="1663A9CF" w14:textId="77777777" w:rsidR="00814DB9" w:rsidRPr="00BF210F" w:rsidRDefault="00814DB9" w:rsidP="00045D96">
            <w:pPr>
              <w:jc w:val="center"/>
              <w:rPr>
                <w:rFonts w:cs="Arial"/>
                <w:sz w:val="20"/>
                <w:szCs w:val="20"/>
              </w:rPr>
            </w:pPr>
            <w:r w:rsidRPr="00BF210F">
              <w:rPr>
                <w:rFonts w:cs="Arial"/>
                <w:sz w:val="20"/>
                <w:szCs w:val="20"/>
              </w:rPr>
              <w:t>7.6</w:t>
            </w:r>
          </w:p>
        </w:tc>
        <w:tc>
          <w:tcPr>
            <w:tcW w:w="1446" w:type="dxa"/>
          </w:tcPr>
          <w:p w14:paraId="08762C24" w14:textId="77777777" w:rsidR="00814DB9" w:rsidRPr="00BF210F" w:rsidRDefault="00814DB9" w:rsidP="00045D96">
            <w:pPr>
              <w:jc w:val="center"/>
              <w:rPr>
                <w:rFonts w:cs="Arial"/>
                <w:sz w:val="20"/>
                <w:szCs w:val="20"/>
              </w:rPr>
            </w:pPr>
            <w:r w:rsidRPr="00BF210F">
              <w:rPr>
                <w:rFonts w:cs="Arial"/>
                <w:sz w:val="20"/>
                <w:szCs w:val="20"/>
              </w:rPr>
              <w:t>0.372</w:t>
            </w:r>
          </w:p>
        </w:tc>
      </w:tr>
      <w:tr w:rsidR="00814DB9" w:rsidRPr="00BF210F" w14:paraId="0B8BA536" w14:textId="77777777" w:rsidTr="00814DB9">
        <w:tc>
          <w:tcPr>
            <w:tcW w:w="2098" w:type="dxa"/>
          </w:tcPr>
          <w:p w14:paraId="56A3679A" w14:textId="77777777" w:rsidR="00814DB9" w:rsidRPr="00BF210F" w:rsidRDefault="00814DB9" w:rsidP="00045D96">
            <w:pPr>
              <w:jc w:val="center"/>
              <w:rPr>
                <w:rFonts w:cs="Arial"/>
                <w:sz w:val="20"/>
                <w:szCs w:val="20"/>
              </w:rPr>
            </w:pPr>
            <w:r w:rsidRPr="00BF210F">
              <w:rPr>
                <w:rFonts w:cs="Arial"/>
                <w:sz w:val="20"/>
                <w:szCs w:val="20"/>
              </w:rPr>
              <w:t>Van Zyl 2018</w:t>
            </w:r>
          </w:p>
        </w:tc>
        <w:tc>
          <w:tcPr>
            <w:tcW w:w="1362" w:type="dxa"/>
          </w:tcPr>
          <w:p w14:paraId="55CA6F1D" w14:textId="77777777" w:rsidR="00814DB9" w:rsidRPr="00BF210F" w:rsidRDefault="00814DB9" w:rsidP="00045D96">
            <w:pPr>
              <w:jc w:val="center"/>
              <w:rPr>
                <w:rFonts w:cs="Arial"/>
                <w:sz w:val="20"/>
                <w:szCs w:val="20"/>
              </w:rPr>
            </w:pPr>
            <w:r w:rsidRPr="00BF210F">
              <w:rPr>
                <w:rFonts w:cs="Arial"/>
                <w:sz w:val="20"/>
                <w:szCs w:val="20"/>
              </w:rPr>
              <w:t>1.24</w:t>
            </w:r>
          </w:p>
        </w:tc>
        <w:tc>
          <w:tcPr>
            <w:tcW w:w="1362" w:type="dxa"/>
          </w:tcPr>
          <w:p w14:paraId="52158227" w14:textId="77777777" w:rsidR="00814DB9" w:rsidRPr="00BF210F" w:rsidRDefault="00814DB9" w:rsidP="00045D96">
            <w:pPr>
              <w:jc w:val="center"/>
              <w:rPr>
                <w:rFonts w:cs="Arial"/>
                <w:sz w:val="20"/>
                <w:szCs w:val="20"/>
              </w:rPr>
            </w:pPr>
            <w:r w:rsidRPr="00BF210F">
              <w:rPr>
                <w:rFonts w:cs="Arial"/>
                <w:sz w:val="20"/>
                <w:szCs w:val="20"/>
              </w:rPr>
              <w:t>1.06-1.46</w:t>
            </w:r>
          </w:p>
        </w:tc>
        <w:tc>
          <w:tcPr>
            <w:tcW w:w="1362" w:type="dxa"/>
          </w:tcPr>
          <w:p w14:paraId="1E2EEB1C" w14:textId="77777777" w:rsidR="00814DB9" w:rsidRPr="00BF210F" w:rsidRDefault="00814DB9" w:rsidP="00045D96">
            <w:pPr>
              <w:jc w:val="center"/>
              <w:rPr>
                <w:rFonts w:cs="Arial"/>
                <w:sz w:val="20"/>
                <w:szCs w:val="20"/>
              </w:rPr>
            </w:pPr>
            <w:r w:rsidRPr="00BF210F">
              <w:rPr>
                <w:rFonts w:cs="Arial"/>
                <w:sz w:val="20"/>
                <w:szCs w:val="20"/>
              </w:rPr>
              <w:t>0.008</w:t>
            </w:r>
          </w:p>
        </w:tc>
        <w:tc>
          <w:tcPr>
            <w:tcW w:w="1539" w:type="dxa"/>
          </w:tcPr>
          <w:p w14:paraId="08FE5BF4" w14:textId="77777777" w:rsidR="00814DB9" w:rsidRPr="00BF210F" w:rsidRDefault="00814DB9" w:rsidP="00045D96">
            <w:pPr>
              <w:jc w:val="center"/>
              <w:rPr>
                <w:rFonts w:cs="Arial"/>
                <w:sz w:val="20"/>
                <w:szCs w:val="20"/>
              </w:rPr>
            </w:pPr>
            <w:r w:rsidRPr="00BF210F">
              <w:rPr>
                <w:rFonts w:cs="Arial"/>
                <w:sz w:val="20"/>
                <w:szCs w:val="20"/>
              </w:rPr>
              <w:t>11.8</w:t>
            </w:r>
          </w:p>
        </w:tc>
        <w:tc>
          <w:tcPr>
            <w:tcW w:w="1446" w:type="dxa"/>
          </w:tcPr>
          <w:p w14:paraId="211A5DC2" w14:textId="77777777" w:rsidR="00814DB9" w:rsidRPr="00BF210F" w:rsidRDefault="00814DB9" w:rsidP="00045D96">
            <w:pPr>
              <w:jc w:val="center"/>
              <w:rPr>
                <w:rFonts w:cs="Arial"/>
                <w:sz w:val="20"/>
                <w:szCs w:val="20"/>
              </w:rPr>
            </w:pPr>
            <w:r w:rsidRPr="00BF210F">
              <w:rPr>
                <w:rFonts w:cs="Arial"/>
                <w:sz w:val="20"/>
                <w:szCs w:val="20"/>
              </w:rPr>
              <w:t>0.332</w:t>
            </w:r>
          </w:p>
        </w:tc>
      </w:tr>
      <w:tr w:rsidR="00814DB9" w:rsidRPr="00BF210F" w14:paraId="00AFD196" w14:textId="77777777" w:rsidTr="00814DB9">
        <w:tc>
          <w:tcPr>
            <w:tcW w:w="2098" w:type="dxa"/>
          </w:tcPr>
          <w:p w14:paraId="074DB1E8" w14:textId="77777777" w:rsidR="00814DB9" w:rsidRPr="00BF210F" w:rsidRDefault="00814DB9" w:rsidP="00045D96">
            <w:pPr>
              <w:jc w:val="center"/>
              <w:rPr>
                <w:rFonts w:cs="Arial"/>
                <w:sz w:val="20"/>
                <w:szCs w:val="20"/>
              </w:rPr>
            </w:pPr>
            <w:r w:rsidRPr="00BF210F">
              <w:rPr>
                <w:rFonts w:cs="Arial"/>
                <w:sz w:val="20"/>
                <w:szCs w:val="20"/>
              </w:rPr>
              <w:t>Ayeni 2019</w:t>
            </w:r>
          </w:p>
        </w:tc>
        <w:tc>
          <w:tcPr>
            <w:tcW w:w="1362" w:type="dxa"/>
          </w:tcPr>
          <w:p w14:paraId="4AAEC7FB" w14:textId="77777777" w:rsidR="00814DB9" w:rsidRPr="00BF210F" w:rsidRDefault="00814DB9" w:rsidP="00045D96">
            <w:pPr>
              <w:jc w:val="center"/>
              <w:rPr>
                <w:rFonts w:cs="Arial"/>
                <w:sz w:val="20"/>
                <w:szCs w:val="20"/>
              </w:rPr>
            </w:pPr>
            <w:r w:rsidRPr="00BF210F">
              <w:rPr>
                <w:rFonts w:cs="Arial"/>
                <w:sz w:val="20"/>
                <w:szCs w:val="20"/>
              </w:rPr>
              <w:t>1.30</w:t>
            </w:r>
          </w:p>
        </w:tc>
        <w:tc>
          <w:tcPr>
            <w:tcW w:w="1362" w:type="dxa"/>
          </w:tcPr>
          <w:p w14:paraId="2E3AB297" w14:textId="77777777" w:rsidR="00814DB9" w:rsidRPr="00BF210F" w:rsidRDefault="00814DB9" w:rsidP="00045D96">
            <w:pPr>
              <w:jc w:val="center"/>
              <w:rPr>
                <w:rFonts w:cs="Arial"/>
                <w:sz w:val="20"/>
                <w:szCs w:val="20"/>
              </w:rPr>
            </w:pPr>
            <w:r w:rsidRPr="00BF210F">
              <w:rPr>
                <w:rFonts w:cs="Arial"/>
                <w:sz w:val="20"/>
                <w:szCs w:val="20"/>
              </w:rPr>
              <w:t>1.10-1.54</w:t>
            </w:r>
          </w:p>
        </w:tc>
        <w:tc>
          <w:tcPr>
            <w:tcW w:w="1362" w:type="dxa"/>
          </w:tcPr>
          <w:p w14:paraId="1CE20C7F" w14:textId="77777777" w:rsidR="00814DB9" w:rsidRPr="00BF210F" w:rsidRDefault="00814DB9" w:rsidP="00045D96">
            <w:pPr>
              <w:jc w:val="center"/>
              <w:rPr>
                <w:rFonts w:cs="Arial"/>
                <w:sz w:val="20"/>
                <w:szCs w:val="20"/>
              </w:rPr>
            </w:pPr>
            <w:r w:rsidRPr="00BF210F">
              <w:rPr>
                <w:rFonts w:cs="Arial"/>
                <w:sz w:val="20"/>
                <w:szCs w:val="20"/>
              </w:rPr>
              <w:t>0.002</w:t>
            </w:r>
          </w:p>
        </w:tc>
        <w:tc>
          <w:tcPr>
            <w:tcW w:w="1539" w:type="dxa"/>
          </w:tcPr>
          <w:p w14:paraId="27061C1C" w14:textId="77777777" w:rsidR="00814DB9" w:rsidRPr="00BF210F" w:rsidRDefault="00814DB9" w:rsidP="00045D96">
            <w:pPr>
              <w:jc w:val="center"/>
              <w:rPr>
                <w:rFonts w:cs="Arial"/>
                <w:sz w:val="20"/>
                <w:szCs w:val="20"/>
              </w:rPr>
            </w:pPr>
            <w:r w:rsidRPr="00BF210F">
              <w:rPr>
                <w:rFonts w:cs="Arial"/>
                <w:sz w:val="20"/>
                <w:szCs w:val="20"/>
              </w:rPr>
              <w:t>0.0</w:t>
            </w:r>
          </w:p>
        </w:tc>
        <w:tc>
          <w:tcPr>
            <w:tcW w:w="1446" w:type="dxa"/>
          </w:tcPr>
          <w:p w14:paraId="30712BF3" w14:textId="77777777" w:rsidR="00814DB9" w:rsidRPr="00BF210F" w:rsidRDefault="00814DB9" w:rsidP="00045D96">
            <w:pPr>
              <w:jc w:val="center"/>
              <w:rPr>
                <w:rFonts w:cs="Arial"/>
                <w:sz w:val="20"/>
                <w:szCs w:val="20"/>
              </w:rPr>
            </w:pPr>
            <w:r w:rsidRPr="00BF210F">
              <w:rPr>
                <w:rFonts w:cs="Arial"/>
                <w:sz w:val="20"/>
                <w:szCs w:val="20"/>
              </w:rPr>
              <w:t>0.460</w:t>
            </w:r>
          </w:p>
        </w:tc>
      </w:tr>
      <w:tr w:rsidR="00814DB9" w:rsidRPr="00BF210F" w14:paraId="76CEB741" w14:textId="77777777" w:rsidTr="00814DB9">
        <w:tc>
          <w:tcPr>
            <w:tcW w:w="2098" w:type="dxa"/>
          </w:tcPr>
          <w:p w14:paraId="740825D4" w14:textId="77777777" w:rsidR="00814DB9" w:rsidRPr="00BF210F" w:rsidRDefault="00814DB9" w:rsidP="00045D96">
            <w:pPr>
              <w:jc w:val="center"/>
              <w:rPr>
                <w:rFonts w:cs="Arial"/>
                <w:sz w:val="20"/>
                <w:szCs w:val="20"/>
              </w:rPr>
            </w:pPr>
            <w:r w:rsidRPr="00BF210F">
              <w:rPr>
                <w:rFonts w:cs="Arial"/>
                <w:sz w:val="20"/>
                <w:szCs w:val="20"/>
              </w:rPr>
              <w:t>Brandao 2019</w:t>
            </w:r>
          </w:p>
        </w:tc>
        <w:tc>
          <w:tcPr>
            <w:tcW w:w="1362" w:type="dxa"/>
          </w:tcPr>
          <w:p w14:paraId="77A03B03" w14:textId="77777777" w:rsidR="00814DB9" w:rsidRPr="00BF210F" w:rsidRDefault="00814DB9" w:rsidP="00045D96">
            <w:pPr>
              <w:jc w:val="center"/>
              <w:rPr>
                <w:rFonts w:cs="Arial"/>
                <w:sz w:val="20"/>
                <w:szCs w:val="20"/>
              </w:rPr>
            </w:pPr>
            <w:r w:rsidRPr="00BF210F">
              <w:rPr>
                <w:rFonts w:cs="Arial"/>
                <w:sz w:val="20"/>
                <w:szCs w:val="20"/>
              </w:rPr>
              <w:t>1.22</w:t>
            </w:r>
          </w:p>
        </w:tc>
        <w:tc>
          <w:tcPr>
            <w:tcW w:w="1362" w:type="dxa"/>
          </w:tcPr>
          <w:p w14:paraId="5904D75A" w14:textId="77777777" w:rsidR="00814DB9" w:rsidRPr="00BF210F" w:rsidRDefault="00814DB9" w:rsidP="00045D96">
            <w:pPr>
              <w:jc w:val="center"/>
              <w:rPr>
                <w:rFonts w:cs="Arial"/>
                <w:sz w:val="20"/>
                <w:szCs w:val="20"/>
              </w:rPr>
            </w:pPr>
            <w:r w:rsidRPr="00BF210F">
              <w:rPr>
                <w:rFonts w:cs="Arial"/>
                <w:sz w:val="20"/>
                <w:szCs w:val="20"/>
              </w:rPr>
              <w:t>1.05-1.41</w:t>
            </w:r>
          </w:p>
        </w:tc>
        <w:tc>
          <w:tcPr>
            <w:tcW w:w="1362" w:type="dxa"/>
          </w:tcPr>
          <w:p w14:paraId="29C67BE0" w14:textId="77777777" w:rsidR="00814DB9" w:rsidRPr="00BF210F" w:rsidRDefault="00814DB9" w:rsidP="00045D96">
            <w:pPr>
              <w:jc w:val="center"/>
              <w:rPr>
                <w:rFonts w:cs="Arial"/>
                <w:sz w:val="20"/>
                <w:szCs w:val="20"/>
              </w:rPr>
            </w:pPr>
            <w:r w:rsidRPr="00BF210F">
              <w:rPr>
                <w:rFonts w:cs="Arial"/>
                <w:sz w:val="20"/>
                <w:szCs w:val="20"/>
              </w:rPr>
              <w:t>0.011</w:t>
            </w:r>
          </w:p>
        </w:tc>
        <w:tc>
          <w:tcPr>
            <w:tcW w:w="1539" w:type="dxa"/>
          </w:tcPr>
          <w:p w14:paraId="3E8B1498" w14:textId="77777777" w:rsidR="00814DB9" w:rsidRPr="00BF210F" w:rsidRDefault="00814DB9" w:rsidP="00045D96">
            <w:pPr>
              <w:jc w:val="center"/>
              <w:rPr>
                <w:rFonts w:cs="Arial"/>
                <w:sz w:val="20"/>
                <w:szCs w:val="20"/>
              </w:rPr>
            </w:pPr>
            <w:r w:rsidRPr="00BF210F">
              <w:rPr>
                <w:rFonts w:cs="Arial"/>
                <w:sz w:val="20"/>
                <w:szCs w:val="20"/>
              </w:rPr>
              <w:t>4.8</w:t>
            </w:r>
          </w:p>
        </w:tc>
        <w:tc>
          <w:tcPr>
            <w:tcW w:w="1446" w:type="dxa"/>
          </w:tcPr>
          <w:p w14:paraId="78A1EB59" w14:textId="77777777" w:rsidR="00814DB9" w:rsidRPr="00BF210F" w:rsidRDefault="00814DB9" w:rsidP="00045D96">
            <w:pPr>
              <w:jc w:val="center"/>
              <w:rPr>
                <w:rFonts w:cs="Arial"/>
                <w:sz w:val="20"/>
                <w:szCs w:val="20"/>
              </w:rPr>
            </w:pPr>
            <w:r w:rsidRPr="00BF210F">
              <w:rPr>
                <w:rFonts w:cs="Arial"/>
                <w:sz w:val="20"/>
                <w:szCs w:val="20"/>
              </w:rPr>
              <w:t>0.397</w:t>
            </w:r>
          </w:p>
        </w:tc>
      </w:tr>
      <w:tr w:rsidR="00814DB9" w:rsidRPr="00BF210F" w14:paraId="1C037C76" w14:textId="77777777" w:rsidTr="00814DB9">
        <w:tc>
          <w:tcPr>
            <w:tcW w:w="2098" w:type="dxa"/>
          </w:tcPr>
          <w:p w14:paraId="7359379D" w14:textId="77777777" w:rsidR="00814DB9" w:rsidRPr="00BF210F" w:rsidRDefault="00814DB9" w:rsidP="00045D96">
            <w:pPr>
              <w:jc w:val="center"/>
              <w:rPr>
                <w:rFonts w:cs="Arial"/>
                <w:sz w:val="20"/>
                <w:szCs w:val="20"/>
              </w:rPr>
            </w:pPr>
            <w:r w:rsidRPr="00BF210F">
              <w:rPr>
                <w:rFonts w:cs="Arial"/>
                <w:sz w:val="20"/>
                <w:szCs w:val="20"/>
              </w:rPr>
              <w:t>Phakathi 2019</w:t>
            </w:r>
          </w:p>
        </w:tc>
        <w:tc>
          <w:tcPr>
            <w:tcW w:w="1362" w:type="dxa"/>
          </w:tcPr>
          <w:p w14:paraId="40B77DBE" w14:textId="77777777" w:rsidR="00814DB9" w:rsidRPr="00BF210F" w:rsidRDefault="00814DB9" w:rsidP="00045D96">
            <w:pPr>
              <w:jc w:val="center"/>
              <w:rPr>
                <w:rFonts w:cs="Arial"/>
                <w:sz w:val="20"/>
                <w:szCs w:val="20"/>
              </w:rPr>
            </w:pPr>
            <w:r w:rsidRPr="00BF210F">
              <w:rPr>
                <w:rFonts w:cs="Arial"/>
                <w:sz w:val="20"/>
                <w:szCs w:val="20"/>
              </w:rPr>
              <w:t>1.16</w:t>
            </w:r>
          </w:p>
        </w:tc>
        <w:tc>
          <w:tcPr>
            <w:tcW w:w="1362" w:type="dxa"/>
          </w:tcPr>
          <w:p w14:paraId="5A5FB7AA" w14:textId="77777777" w:rsidR="00814DB9" w:rsidRPr="00BF210F" w:rsidRDefault="00814DB9" w:rsidP="00045D96">
            <w:pPr>
              <w:jc w:val="center"/>
              <w:rPr>
                <w:rFonts w:cs="Arial"/>
                <w:sz w:val="20"/>
                <w:szCs w:val="20"/>
              </w:rPr>
            </w:pPr>
            <w:r w:rsidRPr="00BF210F">
              <w:rPr>
                <w:rFonts w:cs="Arial"/>
                <w:sz w:val="20"/>
                <w:szCs w:val="20"/>
              </w:rPr>
              <w:t>0.99-1.36</w:t>
            </w:r>
          </w:p>
        </w:tc>
        <w:tc>
          <w:tcPr>
            <w:tcW w:w="1362" w:type="dxa"/>
          </w:tcPr>
          <w:p w14:paraId="2515E634" w14:textId="77777777" w:rsidR="00814DB9" w:rsidRPr="00BF210F" w:rsidRDefault="00814DB9" w:rsidP="00045D96">
            <w:pPr>
              <w:jc w:val="center"/>
              <w:rPr>
                <w:rFonts w:cs="Arial"/>
                <w:sz w:val="20"/>
                <w:szCs w:val="20"/>
              </w:rPr>
            </w:pPr>
            <w:r w:rsidRPr="00BF210F">
              <w:rPr>
                <w:rFonts w:cs="Arial"/>
                <w:sz w:val="20"/>
                <w:szCs w:val="20"/>
              </w:rPr>
              <w:t>0.059</w:t>
            </w:r>
          </w:p>
        </w:tc>
        <w:tc>
          <w:tcPr>
            <w:tcW w:w="1539" w:type="dxa"/>
          </w:tcPr>
          <w:p w14:paraId="542D0C84" w14:textId="77777777" w:rsidR="00814DB9" w:rsidRPr="00BF210F" w:rsidRDefault="00814DB9" w:rsidP="00045D96">
            <w:pPr>
              <w:jc w:val="center"/>
              <w:rPr>
                <w:rFonts w:cs="Arial"/>
                <w:sz w:val="20"/>
                <w:szCs w:val="20"/>
              </w:rPr>
            </w:pPr>
            <w:r w:rsidRPr="00BF210F">
              <w:rPr>
                <w:rFonts w:cs="Arial"/>
                <w:sz w:val="20"/>
                <w:szCs w:val="20"/>
              </w:rPr>
              <w:t>0.0</w:t>
            </w:r>
          </w:p>
        </w:tc>
        <w:tc>
          <w:tcPr>
            <w:tcW w:w="1446" w:type="dxa"/>
          </w:tcPr>
          <w:p w14:paraId="5F46038F" w14:textId="77777777" w:rsidR="00814DB9" w:rsidRPr="00BF210F" w:rsidRDefault="00814DB9" w:rsidP="00045D96">
            <w:pPr>
              <w:jc w:val="center"/>
              <w:rPr>
                <w:rFonts w:cs="Arial"/>
                <w:sz w:val="20"/>
                <w:szCs w:val="20"/>
              </w:rPr>
            </w:pPr>
            <w:r w:rsidRPr="00BF210F">
              <w:rPr>
                <w:rFonts w:cs="Arial"/>
                <w:sz w:val="20"/>
                <w:szCs w:val="20"/>
              </w:rPr>
              <w:t>0.493</w:t>
            </w:r>
          </w:p>
        </w:tc>
      </w:tr>
      <w:tr w:rsidR="00814DB9" w:rsidRPr="00BF210F" w14:paraId="0BB6C79A" w14:textId="77777777" w:rsidTr="00814DB9">
        <w:tc>
          <w:tcPr>
            <w:tcW w:w="2098" w:type="dxa"/>
          </w:tcPr>
          <w:p w14:paraId="4CCA89D7" w14:textId="77777777" w:rsidR="00814DB9" w:rsidRPr="00BF210F" w:rsidRDefault="00814DB9" w:rsidP="00045D96">
            <w:pPr>
              <w:jc w:val="center"/>
              <w:rPr>
                <w:rFonts w:cs="Arial"/>
                <w:sz w:val="20"/>
                <w:szCs w:val="20"/>
              </w:rPr>
            </w:pPr>
            <w:r w:rsidRPr="00BF210F">
              <w:rPr>
                <w:rFonts w:cs="Arial"/>
                <w:sz w:val="20"/>
                <w:szCs w:val="20"/>
              </w:rPr>
              <w:t>Sadigh 2019</w:t>
            </w:r>
          </w:p>
        </w:tc>
        <w:tc>
          <w:tcPr>
            <w:tcW w:w="1362" w:type="dxa"/>
          </w:tcPr>
          <w:p w14:paraId="1116E82E" w14:textId="77777777" w:rsidR="00814DB9" w:rsidRPr="00BF210F" w:rsidRDefault="00814DB9" w:rsidP="00045D96">
            <w:pPr>
              <w:jc w:val="center"/>
              <w:rPr>
                <w:rFonts w:cs="Arial"/>
                <w:sz w:val="20"/>
                <w:szCs w:val="20"/>
              </w:rPr>
            </w:pPr>
            <w:r w:rsidRPr="00BF210F">
              <w:rPr>
                <w:rFonts w:cs="Arial"/>
                <w:sz w:val="20"/>
                <w:szCs w:val="20"/>
              </w:rPr>
              <w:t>1.26</w:t>
            </w:r>
          </w:p>
        </w:tc>
        <w:tc>
          <w:tcPr>
            <w:tcW w:w="1362" w:type="dxa"/>
          </w:tcPr>
          <w:p w14:paraId="36D5F5D8" w14:textId="77777777" w:rsidR="00814DB9" w:rsidRPr="00BF210F" w:rsidRDefault="00814DB9" w:rsidP="00045D96">
            <w:pPr>
              <w:jc w:val="center"/>
              <w:rPr>
                <w:rFonts w:cs="Arial"/>
                <w:sz w:val="20"/>
                <w:szCs w:val="20"/>
              </w:rPr>
            </w:pPr>
            <w:r w:rsidRPr="00BF210F">
              <w:rPr>
                <w:rFonts w:cs="Arial"/>
                <w:sz w:val="20"/>
                <w:szCs w:val="20"/>
              </w:rPr>
              <w:t>1.07-1.48</w:t>
            </w:r>
          </w:p>
        </w:tc>
        <w:tc>
          <w:tcPr>
            <w:tcW w:w="1362" w:type="dxa"/>
          </w:tcPr>
          <w:p w14:paraId="49451DBC" w14:textId="77777777" w:rsidR="00814DB9" w:rsidRPr="00BF210F" w:rsidRDefault="00814DB9" w:rsidP="00045D96">
            <w:pPr>
              <w:jc w:val="center"/>
              <w:rPr>
                <w:rFonts w:cs="Arial"/>
                <w:sz w:val="20"/>
                <w:szCs w:val="20"/>
              </w:rPr>
            </w:pPr>
            <w:r w:rsidRPr="00BF210F">
              <w:rPr>
                <w:rFonts w:cs="Arial"/>
                <w:sz w:val="20"/>
                <w:szCs w:val="20"/>
              </w:rPr>
              <w:t>0.005</w:t>
            </w:r>
          </w:p>
        </w:tc>
        <w:tc>
          <w:tcPr>
            <w:tcW w:w="1539" w:type="dxa"/>
          </w:tcPr>
          <w:p w14:paraId="7B928CF6" w14:textId="77777777" w:rsidR="00814DB9" w:rsidRPr="00BF210F" w:rsidRDefault="00814DB9" w:rsidP="00045D96">
            <w:pPr>
              <w:jc w:val="center"/>
              <w:rPr>
                <w:rFonts w:cs="Arial"/>
                <w:sz w:val="20"/>
                <w:szCs w:val="20"/>
              </w:rPr>
            </w:pPr>
            <w:r w:rsidRPr="00BF210F">
              <w:rPr>
                <w:rFonts w:cs="Arial"/>
                <w:sz w:val="20"/>
                <w:szCs w:val="20"/>
              </w:rPr>
              <w:t>7.5</w:t>
            </w:r>
          </w:p>
        </w:tc>
        <w:tc>
          <w:tcPr>
            <w:tcW w:w="1446" w:type="dxa"/>
          </w:tcPr>
          <w:p w14:paraId="4036A723" w14:textId="77777777" w:rsidR="00814DB9" w:rsidRPr="00BF210F" w:rsidRDefault="00814DB9" w:rsidP="00045D96">
            <w:pPr>
              <w:jc w:val="center"/>
              <w:rPr>
                <w:rFonts w:cs="Arial"/>
                <w:sz w:val="20"/>
                <w:szCs w:val="20"/>
              </w:rPr>
            </w:pPr>
            <w:r w:rsidRPr="00BF210F">
              <w:rPr>
                <w:rFonts w:cs="Arial"/>
                <w:sz w:val="20"/>
                <w:szCs w:val="20"/>
              </w:rPr>
              <w:t>0.373</w:t>
            </w:r>
          </w:p>
        </w:tc>
      </w:tr>
    </w:tbl>
    <w:p w14:paraId="05BE21C8" w14:textId="77777777" w:rsidR="00437144" w:rsidRPr="00BF210F" w:rsidRDefault="00437144" w:rsidP="00437144">
      <w:pPr>
        <w:rPr>
          <w:rFonts w:cs="Arial"/>
          <w:sz w:val="16"/>
          <w:lang w:val="en-US"/>
        </w:rPr>
      </w:pPr>
      <w:r w:rsidRPr="00BF210F">
        <w:rPr>
          <w:rFonts w:cs="Arial"/>
          <w:sz w:val="16"/>
          <w:lang w:val="en-US"/>
        </w:rPr>
        <w:t>CI: confidence interval; OR: odds ratio.</w:t>
      </w:r>
    </w:p>
    <w:p w14:paraId="497B7803" w14:textId="40113D20" w:rsidR="00437144" w:rsidRPr="00BF210F" w:rsidRDefault="00437144" w:rsidP="00D66A20">
      <w:pPr>
        <w:rPr>
          <w:rFonts w:cs="Arial"/>
          <w:b/>
          <w:sz w:val="20"/>
          <w:szCs w:val="20"/>
          <w:lang w:val="en-US"/>
        </w:rPr>
      </w:pPr>
    </w:p>
    <w:p w14:paraId="07C0BDFE" w14:textId="77777777" w:rsidR="00B875B3" w:rsidRPr="00BF210F" w:rsidRDefault="00B875B3" w:rsidP="00B875B3">
      <w:pPr>
        <w:rPr>
          <w:rFonts w:cs="Arial"/>
          <w:lang w:val="en-US"/>
        </w:rPr>
      </w:pPr>
    </w:p>
    <w:p w14:paraId="3AB48EB9" w14:textId="77777777" w:rsidR="00B875B3" w:rsidRPr="00BF210F" w:rsidRDefault="00B875B3">
      <w:pPr>
        <w:spacing w:after="120"/>
        <w:rPr>
          <w:rFonts w:cs="Arial"/>
          <w:b/>
          <w:sz w:val="20"/>
          <w:lang w:val="en-US"/>
        </w:rPr>
      </w:pPr>
      <w:r w:rsidRPr="00BF210F">
        <w:rPr>
          <w:rFonts w:cs="Arial"/>
          <w:b/>
          <w:sz w:val="20"/>
          <w:lang w:val="en-US"/>
        </w:rPr>
        <w:br w:type="page"/>
      </w:r>
    </w:p>
    <w:p w14:paraId="4FAC3086" w14:textId="7C4547F4" w:rsidR="00A324DC" w:rsidRPr="00BF210F" w:rsidRDefault="00BF210F" w:rsidP="00D66A20">
      <w:pPr>
        <w:rPr>
          <w:rFonts w:cs="Arial"/>
          <w:b/>
          <w:sz w:val="24"/>
          <w:szCs w:val="20"/>
          <w:lang w:val="en-US"/>
        </w:rPr>
      </w:pPr>
      <w:r>
        <w:rPr>
          <w:rFonts w:cs="Arial"/>
          <w:b/>
          <w:sz w:val="24"/>
          <w:szCs w:val="24"/>
          <w:lang w:val="en-US"/>
        </w:rPr>
        <w:lastRenderedPageBreak/>
        <w:t xml:space="preserve">Supplementary </w:t>
      </w:r>
      <w:r w:rsidR="00D66A20" w:rsidRPr="00BF210F">
        <w:rPr>
          <w:rFonts w:cs="Arial"/>
          <w:b/>
          <w:sz w:val="24"/>
          <w:szCs w:val="20"/>
          <w:lang w:val="en-US"/>
        </w:rPr>
        <w:t xml:space="preserve">Table </w:t>
      </w:r>
      <w:r w:rsidR="0056019E" w:rsidRPr="00BF210F">
        <w:rPr>
          <w:rFonts w:cs="Arial"/>
          <w:b/>
          <w:sz w:val="24"/>
          <w:szCs w:val="20"/>
          <w:lang w:val="en-US"/>
        </w:rPr>
        <w:t>5</w:t>
      </w:r>
      <w:r w:rsidR="00573809" w:rsidRPr="00BF210F">
        <w:rPr>
          <w:rFonts w:cs="Arial"/>
          <w:sz w:val="24"/>
          <w:szCs w:val="20"/>
          <w:lang w:val="en-US"/>
        </w:rPr>
        <w:t xml:space="preserve"> </w:t>
      </w:r>
      <w:r w:rsidR="00573809" w:rsidRPr="00BF210F">
        <w:rPr>
          <w:rFonts w:cs="Arial"/>
          <w:b/>
          <w:sz w:val="24"/>
          <w:szCs w:val="20"/>
          <w:lang w:val="en-US"/>
        </w:rPr>
        <w:t xml:space="preserve">– Sensitivity analysis </w:t>
      </w:r>
      <w:r w:rsidR="00A83B8A" w:rsidRPr="00BF210F">
        <w:rPr>
          <w:rFonts w:cs="Arial"/>
          <w:b/>
          <w:sz w:val="24"/>
          <w:szCs w:val="24"/>
          <w:lang w:val="en-US"/>
        </w:rPr>
        <w:t xml:space="preserve">of the odds of presenting with </w:t>
      </w:r>
      <w:r w:rsidR="00573809" w:rsidRPr="00BF210F">
        <w:rPr>
          <w:rFonts w:cs="Arial"/>
          <w:b/>
          <w:sz w:val="24"/>
          <w:szCs w:val="20"/>
          <w:lang w:val="en-US"/>
        </w:rPr>
        <w:t xml:space="preserve">ER-positive/HER2-negative subtype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A324DC" w:rsidRPr="00BF210F">
        <w:rPr>
          <w:rFonts w:cs="Arial"/>
          <w:b/>
          <w:sz w:val="24"/>
          <w:szCs w:val="20"/>
          <w:lang w:val="en-US"/>
        </w:rPr>
        <w:t>.</w:t>
      </w:r>
    </w:p>
    <w:p w14:paraId="1BCE584D" w14:textId="77777777" w:rsidR="00573809" w:rsidRPr="00BF210F" w:rsidRDefault="00573809" w:rsidP="00D66A20">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573809" w:rsidRPr="00BF210F" w14:paraId="331170E6" w14:textId="77777777" w:rsidTr="00C25E84">
        <w:tc>
          <w:tcPr>
            <w:tcW w:w="2098" w:type="dxa"/>
            <w:vMerge w:val="restart"/>
          </w:tcPr>
          <w:p w14:paraId="561E50B9" w14:textId="77777777" w:rsidR="00573809" w:rsidRPr="00BF210F" w:rsidRDefault="00573809" w:rsidP="00D66A20">
            <w:pPr>
              <w:jc w:val="center"/>
              <w:rPr>
                <w:rFonts w:cs="Arial"/>
                <w:b/>
                <w:sz w:val="20"/>
                <w:szCs w:val="20"/>
              </w:rPr>
            </w:pPr>
            <w:r w:rsidRPr="00BF210F">
              <w:rPr>
                <w:rFonts w:cs="Arial"/>
                <w:b/>
                <w:sz w:val="20"/>
                <w:szCs w:val="20"/>
              </w:rPr>
              <w:t>Study excluded</w:t>
            </w:r>
          </w:p>
        </w:tc>
        <w:tc>
          <w:tcPr>
            <w:tcW w:w="4086" w:type="dxa"/>
            <w:gridSpan w:val="3"/>
          </w:tcPr>
          <w:p w14:paraId="640B9F5F" w14:textId="77777777" w:rsidR="00573809" w:rsidRPr="00BF210F" w:rsidRDefault="00573809" w:rsidP="00D66A20">
            <w:pPr>
              <w:jc w:val="center"/>
              <w:rPr>
                <w:rFonts w:cs="Arial"/>
                <w:b/>
                <w:sz w:val="20"/>
                <w:szCs w:val="20"/>
              </w:rPr>
            </w:pPr>
            <w:r w:rsidRPr="00BF210F">
              <w:rPr>
                <w:rFonts w:cs="Arial"/>
                <w:b/>
                <w:sz w:val="20"/>
                <w:szCs w:val="20"/>
              </w:rPr>
              <w:t>Random effect</w:t>
            </w:r>
          </w:p>
        </w:tc>
        <w:tc>
          <w:tcPr>
            <w:tcW w:w="1539" w:type="dxa"/>
            <w:vMerge w:val="restart"/>
          </w:tcPr>
          <w:p w14:paraId="2CEDFB5F" w14:textId="45A7F72C" w:rsidR="00573809" w:rsidRPr="00BF210F" w:rsidRDefault="005E698C"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w:t>
            </w:r>
            <w:r w:rsidR="00573809" w:rsidRPr="00BF210F">
              <w:rPr>
                <w:rFonts w:cs="Arial"/>
                <w:b/>
                <w:sz w:val="20"/>
                <w:szCs w:val="20"/>
              </w:rPr>
              <w:t>(%)</w:t>
            </w:r>
          </w:p>
        </w:tc>
        <w:tc>
          <w:tcPr>
            <w:tcW w:w="1446" w:type="dxa"/>
            <w:vMerge w:val="restart"/>
          </w:tcPr>
          <w:p w14:paraId="40D128A7" w14:textId="036F293A" w:rsidR="00573809" w:rsidRPr="00BF210F" w:rsidRDefault="005E698C"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 xml:space="preserve">2 </w:t>
            </w:r>
            <w:r w:rsidR="00573809" w:rsidRPr="00BF210F">
              <w:rPr>
                <w:rFonts w:cs="Arial"/>
                <w:b/>
                <w:sz w:val="20"/>
                <w:szCs w:val="20"/>
              </w:rPr>
              <w:t>P-value</w:t>
            </w:r>
          </w:p>
        </w:tc>
      </w:tr>
      <w:tr w:rsidR="00573809" w:rsidRPr="00BF210F" w14:paraId="53798575" w14:textId="77777777" w:rsidTr="0000403B">
        <w:tc>
          <w:tcPr>
            <w:tcW w:w="2098" w:type="dxa"/>
            <w:vMerge/>
          </w:tcPr>
          <w:p w14:paraId="3F25066A" w14:textId="77777777" w:rsidR="00573809" w:rsidRPr="00BF210F" w:rsidRDefault="00573809" w:rsidP="00D66A20">
            <w:pPr>
              <w:jc w:val="center"/>
              <w:rPr>
                <w:rFonts w:cs="Arial"/>
                <w:b/>
                <w:sz w:val="20"/>
                <w:szCs w:val="20"/>
              </w:rPr>
            </w:pPr>
          </w:p>
        </w:tc>
        <w:tc>
          <w:tcPr>
            <w:tcW w:w="1362" w:type="dxa"/>
          </w:tcPr>
          <w:p w14:paraId="0A73E8B4" w14:textId="62526DBE" w:rsidR="00573809" w:rsidRPr="00BF210F" w:rsidRDefault="005E698C" w:rsidP="00D66A20">
            <w:pPr>
              <w:jc w:val="center"/>
              <w:rPr>
                <w:rFonts w:cs="Arial"/>
                <w:b/>
                <w:sz w:val="20"/>
                <w:szCs w:val="20"/>
              </w:rPr>
            </w:pPr>
            <w:r w:rsidRPr="00BF210F">
              <w:rPr>
                <w:rFonts w:cs="Arial"/>
                <w:b/>
                <w:sz w:val="20"/>
                <w:szCs w:val="20"/>
              </w:rPr>
              <w:t xml:space="preserve">Pooled </w:t>
            </w:r>
            <w:r w:rsidR="00573809" w:rsidRPr="00BF210F">
              <w:rPr>
                <w:rFonts w:cs="Arial"/>
                <w:b/>
                <w:sz w:val="20"/>
                <w:szCs w:val="20"/>
              </w:rPr>
              <w:t>OR</w:t>
            </w:r>
          </w:p>
        </w:tc>
        <w:tc>
          <w:tcPr>
            <w:tcW w:w="1362" w:type="dxa"/>
          </w:tcPr>
          <w:p w14:paraId="1BB2ECDA" w14:textId="77777777" w:rsidR="00573809" w:rsidRPr="00BF210F" w:rsidRDefault="00573809" w:rsidP="00D66A20">
            <w:pPr>
              <w:jc w:val="center"/>
              <w:rPr>
                <w:rFonts w:cs="Arial"/>
                <w:b/>
                <w:sz w:val="20"/>
                <w:szCs w:val="20"/>
              </w:rPr>
            </w:pPr>
            <w:r w:rsidRPr="00BF210F">
              <w:rPr>
                <w:rFonts w:cs="Arial"/>
                <w:b/>
                <w:sz w:val="20"/>
                <w:szCs w:val="20"/>
              </w:rPr>
              <w:t>95% CI</w:t>
            </w:r>
          </w:p>
        </w:tc>
        <w:tc>
          <w:tcPr>
            <w:tcW w:w="1362" w:type="dxa"/>
          </w:tcPr>
          <w:p w14:paraId="3A352829" w14:textId="77777777" w:rsidR="00573809" w:rsidRPr="00BF210F" w:rsidRDefault="00573809" w:rsidP="00D66A20">
            <w:pPr>
              <w:jc w:val="center"/>
              <w:rPr>
                <w:rFonts w:cs="Arial"/>
                <w:b/>
                <w:sz w:val="20"/>
                <w:szCs w:val="20"/>
              </w:rPr>
            </w:pPr>
            <w:r w:rsidRPr="00BF210F">
              <w:rPr>
                <w:rFonts w:cs="Arial"/>
                <w:b/>
                <w:sz w:val="20"/>
                <w:szCs w:val="20"/>
              </w:rPr>
              <w:t>P-value</w:t>
            </w:r>
          </w:p>
        </w:tc>
        <w:tc>
          <w:tcPr>
            <w:tcW w:w="1539" w:type="dxa"/>
            <w:vMerge/>
          </w:tcPr>
          <w:p w14:paraId="245272E1" w14:textId="77777777" w:rsidR="00573809" w:rsidRPr="00BF210F" w:rsidRDefault="00573809" w:rsidP="00D66A20">
            <w:pPr>
              <w:jc w:val="center"/>
              <w:rPr>
                <w:rFonts w:cs="Arial"/>
                <w:b/>
                <w:sz w:val="20"/>
                <w:szCs w:val="20"/>
              </w:rPr>
            </w:pPr>
          </w:p>
        </w:tc>
        <w:tc>
          <w:tcPr>
            <w:tcW w:w="1446" w:type="dxa"/>
            <w:vMerge/>
          </w:tcPr>
          <w:p w14:paraId="0A0DEE3E" w14:textId="77777777" w:rsidR="00573809" w:rsidRPr="00BF210F" w:rsidRDefault="00573809" w:rsidP="00D66A20">
            <w:pPr>
              <w:jc w:val="center"/>
              <w:rPr>
                <w:rFonts w:cs="Arial"/>
                <w:b/>
                <w:sz w:val="20"/>
                <w:szCs w:val="20"/>
              </w:rPr>
            </w:pPr>
          </w:p>
        </w:tc>
      </w:tr>
      <w:tr w:rsidR="00573809" w:rsidRPr="00BF210F" w14:paraId="7DCB7D77" w14:textId="77777777" w:rsidTr="0000403B">
        <w:tc>
          <w:tcPr>
            <w:tcW w:w="2098" w:type="dxa"/>
          </w:tcPr>
          <w:p w14:paraId="7801B789" w14:textId="77777777" w:rsidR="00573809" w:rsidRPr="00BF210F" w:rsidRDefault="00573809" w:rsidP="00D66A20">
            <w:pPr>
              <w:jc w:val="center"/>
              <w:rPr>
                <w:rFonts w:cs="Arial"/>
                <w:sz w:val="20"/>
                <w:szCs w:val="20"/>
              </w:rPr>
            </w:pPr>
            <w:r w:rsidRPr="00BF210F">
              <w:rPr>
                <w:rFonts w:cs="Arial"/>
                <w:sz w:val="20"/>
                <w:szCs w:val="20"/>
              </w:rPr>
              <w:t>Cubasch 2013</w:t>
            </w:r>
          </w:p>
        </w:tc>
        <w:tc>
          <w:tcPr>
            <w:tcW w:w="1362" w:type="dxa"/>
          </w:tcPr>
          <w:p w14:paraId="74EB0165" w14:textId="77777777" w:rsidR="00573809" w:rsidRPr="00BF210F" w:rsidRDefault="00573809" w:rsidP="00D66A20">
            <w:pPr>
              <w:jc w:val="center"/>
              <w:rPr>
                <w:rFonts w:cs="Arial"/>
                <w:sz w:val="20"/>
                <w:szCs w:val="20"/>
              </w:rPr>
            </w:pPr>
            <w:r w:rsidRPr="00BF210F">
              <w:rPr>
                <w:rFonts w:cs="Arial"/>
                <w:sz w:val="20"/>
                <w:szCs w:val="20"/>
              </w:rPr>
              <w:t>0.77</w:t>
            </w:r>
          </w:p>
        </w:tc>
        <w:tc>
          <w:tcPr>
            <w:tcW w:w="1362" w:type="dxa"/>
          </w:tcPr>
          <w:p w14:paraId="76A17EFE" w14:textId="77777777" w:rsidR="00573809" w:rsidRPr="00BF210F" w:rsidRDefault="00573809" w:rsidP="00D66A20">
            <w:pPr>
              <w:jc w:val="center"/>
              <w:rPr>
                <w:rFonts w:cs="Arial"/>
                <w:sz w:val="20"/>
                <w:szCs w:val="20"/>
              </w:rPr>
            </w:pPr>
            <w:r w:rsidRPr="00BF210F">
              <w:rPr>
                <w:rFonts w:cs="Arial"/>
                <w:sz w:val="20"/>
                <w:szCs w:val="20"/>
              </w:rPr>
              <w:t>0.60-0.97</w:t>
            </w:r>
          </w:p>
        </w:tc>
        <w:tc>
          <w:tcPr>
            <w:tcW w:w="1362" w:type="dxa"/>
          </w:tcPr>
          <w:p w14:paraId="2C91C77E" w14:textId="77777777" w:rsidR="00573809" w:rsidRPr="00BF210F" w:rsidRDefault="00573809" w:rsidP="00D66A20">
            <w:pPr>
              <w:jc w:val="center"/>
              <w:rPr>
                <w:rFonts w:cs="Arial"/>
                <w:sz w:val="20"/>
                <w:szCs w:val="20"/>
              </w:rPr>
            </w:pPr>
            <w:r w:rsidRPr="00BF210F">
              <w:rPr>
                <w:rFonts w:cs="Arial"/>
                <w:sz w:val="20"/>
                <w:szCs w:val="20"/>
              </w:rPr>
              <w:t>0.030</w:t>
            </w:r>
          </w:p>
        </w:tc>
        <w:tc>
          <w:tcPr>
            <w:tcW w:w="1539" w:type="dxa"/>
          </w:tcPr>
          <w:p w14:paraId="6F9EF1EE" w14:textId="77777777" w:rsidR="00573809" w:rsidRPr="00BF210F" w:rsidRDefault="00573809" w:rsidP="00D66A20">
            <w:pPr>
              <w:jc w:val="center"/>
              <w:rPr>
                <w:rFonts w:cs="Arial"/>
                <w:sz w:val="20"/>
                <w:szCs w:val="20"/>
              </w:rPr>
            </w:pPr>
            <w:r w:rsidRPr="00BF210F">
              <w:rPr>
                <w:rFonts w:cs="Arial"/>
                <w:sz w:val="20"/>
                <w:szCs w:val="20"/>
              </w:rPr>
              <w:t>0.0</w:t>
            </w:r>
          </w:p>
        </w:tc>
        <w:tc>
          <w:tcPr>
            <w:tcW w:w="1446" w:type="dxa"/>
          </w:tcPr>
          <w:p w14:paraId="3FB42A67" w14:textId="77777777" w:rsidR="00573809" w:rsidRPr="00BF210F" w:rsidRDefault="00573809" w:rsidP="00D66A20">
            <w:pPr>
              <w:jc w:val="center"/>
              <w:rPr>
                <w:rFonts w:cs="Arial"/>
                <w:sz w:val="20"/>
                <w:szCs w:val="20"/>
              </w:rPr>
            </w:pPr>
            <w:r w:rsidRPr="00BF210F">
              <w:rPr>
                <w:rFonts w:cs="Arial"/>
                <w:sz w:val="20"/>
                <w:szCs w:val="20"/>
              </w:rPr>
              <w:t>0.630</w:t>
            </w:r>
          </w:p>
        </w:tc>
      </w:tr>
      <w:tr w:rsidR="00573809" w:rsidRPr="00BF210F" w14:paraId="40A86208" w14:textId="77777777" w:rsidTr="0000403B">
        <w:tc>
          <w:tcPr>
            <w:tcW w:w="2098" w:type="dxa"/>
          </w:tcPr>
          <w:p w14:paraId="02994C73" w14:textId="77777777" w:rsidR="00573809" w:rsidRPr="00BF210F" w:rsidRDefault="00573809" w:rsidP="00D66A20">
            <w:pPr>
              <w:jc w:val="center"/>
              <w:rPr>
                <w:rFonts w:cs="Arial"/>
                <w:sz w:val="20"/>
                <w:szCs w:val="20"/>
              </w:rPr>
            </w:pPr>
            <w:r w:rsidRPr="00BF210F">
              <w:rPr>
                <w:rFonts w:cs="Arial"/>
                <w:sz w:val="20"/>
                <w:szCs w:val="20"/>
              </w:rPr>
              <w:t>Langenhoven 2016</w:t>
            </w:r>
          </w:p>
        </w:tc>
        <w:tc>
          <w:tcPr>
            <w:tcW w:w="1362" w:type="dxa"/>
          </w:tcPr>
          <w:p w14:paraId="4E1681F6" w14:textId="77777777" w:rsidR="00573809" w:rsidRPr="00BF210F" w:rsidRDefault="00573809" w:rsidP="00D66A20">
            <w:pPr>
              <w:jc w:val="center"/>
              <w:rPr>
                <w:rFonts w:cs="Arial"/>
                <w:sz w:val="20"/>
                <w:szCs w:val="20"/>
              </w:rPr>
            </w:pPr>
            <w:r w:rsidRPr="00BF210F">
              <w:rPr>
                <w:rFonts w:cs="Arial"/>
                <w:sz w:val="20"/>
                <w:szCs w:val="20"/>
              </w:rPr>
              <w:t>0.79</w:t>
            </w:r>
          </w:p>
        </w:tc>
        <w:tc>
          <w:tcPr>
            <w:tcW w:w="1362" w:type="dxa"/>
          </w:tcPr>
          <w:p w14:paraId="50849E53" w14:textId="77777777" w:rsidR="00573809" w:rsidRPr="00BF210F" w:rsidRDefault="00573809" w:rsidP="00D66A20">
            <w:pPr>
              <w:jc w:val="center"/>
              <w:rPr>
                <w:rFonts w:cs="Arial"/>
                <w:sz w:val="20"/>
                <w:szCs w:val="20"/>
              </w:rPr>
            </w:pPr>
            <w:r w:rsidRPr="00BF210F">
              <w:rPr>
                <w:rFonts w:cs="Arial"/>
                <w:sz w:val="20"/>
                <w:szCs w:val="20"/>
              </w:rPr>
              <w:t>0.64-0.97</w:t>
            </w:r>
          </w:p>
        </w:tc>
        <w:tc>
          <w:tcPr>
            <w:tcW w:w="1362" w:type="dxa"/>
          </w:tcPr>
          <w:p w14:paraId="0ABAAC79" w14:textId="77777777" w:rsidR="00573809" w:rsidRPr="00BF210F" w:rsidRDefault="00573809" w:rsidP="00D66A20">
            <w:pPr>
              <w:jc w:val="center"/>
              <w:rPr>
                <w:rFonts w:cs="Arial"/>
                <w:sz w:val="20"/>
                <w:szCs w:val="20"/>
              </w:rPr>
            </w:pPr>
            <w:r w:rsidRPr="00BF210F">
              <w:rPr>
                <w:rFonts w:cs="Arial"/>
                <w:sz w:val="20"/>
                <w:szCs w:val="20"/>
              </w:rPr>
              <w:t>0.028</w:t>
            </w:r>
          </w:p>
        </w:tc>
        <w:tc>
          <w:tcPr>
            <w:tcW w:w="1539" w:type="dxa"/>
          </w:tcPr>
          <w:p w14:paraId="36775B06" w14:textId="77777777" w:rsidR="00573809" w:rsidRPr="00BF210F" w:rsidRDefault="00573809" w:rsidP="00D66A20">
            <w:pPr>
              <w:jc w:val="center"/>
              <w:rPr>
                <w:rFonts w:cs="Arial"/>
                <w:sz w:val="20"/>
                <w:szCs w:val="20"/>
              </w:rPr>
            </w:pPr>
            <w:r w:rsidRPr="00BF210F">
              <w:rPr>
                <w:rFonts w:cs="Arial"/>
                <w:sz w:val="20"/>
                <w:szCs w:val="20"/>
              </w:rPr>
              <w:t>0.0</w:t>
            </w:r>
          </w:p>
        </w:tc>
        <w:tc>
          <w:tcPr>
            <w:tcW w:w="1446" w:type="dxa"/>
          </w:tcPr>
          <w:p w14:paraId="1BEBD072" w14:textId="77777777" w:rsidR="00573809" w:rsidRPr="00BF210F" w:rsidRDefault="00573809" w:rsidP="00D66A20">
            <w:pPr>
              <w:jc w:val="center"/>
              <w:rPr>
                <w:rFonts w:cs="Arial"/>
                <w:sz w:val="20"/>
                <w:szCs w:val="20"/>
              </w:rPr>
            </w:pPr>
            <w:r w:rsidRPr="00BF210F">
              <w:rPr>
                <w:rFonts w:cs="Arial"/>
                <w:sz w:val="20"/>
                <w:szCs w:val="20"/>
              </w:rPr>
              <w:t>0.636</w:t>
            </w:r>
          </w:p>
        </w:tc>
      </w:tr>
      <w:tr w:rsidR="00573809" w:rsidRPr="00BF210F" w14:paraId="56A63CBA" w14:textId="77777777" w:rsidTr="0000403B">
        <w:tc>
          <w:tcPr>
            <w:tcW w:w="2098" w:type="dxa"/>
          </w:tcPr>
          <w:p w14:paraId="16C5A4BA" w14:textId="77777777" w:rsidR="00573809" w:rsidRPr="00BF210F" w:rsidRDefault="00573809" w:rsidP="00D66A20">
            <w:pPr>
              <w:jc w:val="center"/>
              <w:rPr>
                <w:rFonts w:cs="Arial"/>
                <w:sz w:val="20"/>
                <w:szCs w:val="20"/>
              </w:rPr>
            </w:pPr>
            <w:r w:rsidRPr="00BF210F">
              <w:rPr>
                <w:rFonts w:cs="Arial"/>
                <w:sz w:val="20"/>
                <w:szCs w:val="20"/>
              </w:rPr>
              <w:t>Van Zyl 2018</w:t>
            </w:r>
          </w:p>
        </w:tc>
        <w:tc>
          <w:tcPr>
            <w:tcW w:w="1362" w:type="dxa"/>
          </w:tcPr>
          <w:p w14:paraId="374D228D" w14:textId="77777777" w:rsidR="00573809" w:rsidRPr="00BF210F" w:rsidRDefault="00573809" w:rsidP="00D66A20">
            <w:pPr>
              <w:jc w:val="center"/>
              <w:rPr>
                <w:rFonts w:cs="Arial"/>
                <w:sz w:val="20"/>
                <w:szCs w:val="20"/>
              </w:rPr>
            </w:pPr>
            <w:r w:rsidRPr="00BF210F">
              <w:rPr>
                <w:rFonts w:cs="Arial"/>
                <w:sz w:val="20"/>
                <w:szCs w:val="20"/>
              </w:rPr>
              <w:t>0.81</w:t>
            </w:r>
          </w:p>
        </w:tc>
        <w:tc>
          <w:tcPr>
            <w:tcW w:w="1362" w:type="dxa"/>
          </w:tcPr>
          <w:p w14:paraId="253350CB" w14:textId="77777777" w:rsidR="00573809" w:rsidRPr="00BF210F" w:rsidRDefault="00573809" w:rsidP="00D66A20">
            <w:pPr>
              <w:jc w:val="center"/>
              <w:rPr>
                <w:rFonts w:cs="Arial"/>
                <w:sz w:val="20"/>
                <w:szCs w:val="20"/>
              </w:rPr>
            </w:pPr>
            <w:r w:rsidRPr="00BF210F">
              <w:rPr>
                <w:rFonts w:cs="Arial"/>
                <w:sz w:val="20"/>
                <w:szCs w:val="20"/>
              </w:rPr>
              <w:t>0.66-1.00</w:t>
            </w:r>
          </w:p>
        </w:tc>
        <w:tc>
          <w:tcPr>
            <w:tcW w:w="1362" w:type="dxa"/>
          </w:tcPr>
          <w:p w14:paraId="3CAF3FDB" w14:textId="77777777" w:rsidR="00573809" w:rsidRPr="00BF210F" w:rsidRDefault="00573809" w:rsidP="00D66A20">
            <w:pPr>
              <w:jc w:val="center"/>
              <w:rPr>
                <w:rFonts w:cs="Arial"/>
                <w:sz w:val="20"/>
                <w:szCs w:val="20"/>
              </w:rPr>
            </w:pPr>
            <w:r w:rsidRPr="00BF210F">
              <w:rPr>
                <w:rFonts w:cs="Arial"/>
                <w:sz w:val="20"/>
                <w:szCs w:val="20"/>
              </w:rPr>
              <w:t>0.050</w:t>
            </w:r>
          </w:p>
        </w:tc>
        <w:tc>
          <w:tcPr>
            <w:tcW w:w="1539" w:type="dxa"/>
          </w:tcPr>
          <w:p w14:paraId="2A3192AC" w14:textId="77777777" w:rsidR="00573809" w:rsidRPr="00BF210F" w:rsidRDefault="00573809" w:rsidP="00D66A20">
            <w:pPr>
              <w:jc w:val="center"/>
              <w:rPr>
                <w:rFonts w:cs="Arial"/>
                <w:sz w:val="20"/>
                <w:szCs w:val="20"/>
              </w:rPr>
            </w:pPr>
            <w:r w:rsidRPr="00BF210F">
              <w:rPr>
                <w:rFonts w:cs="Arial"/>
                <w:sz w:val="20"/>
                <w:szCs w:val="20"/>
              </w:rPr>
              <w:t>0.0</w:t>
            </w:r>
          </w:p>
        </w:tc>
        <w:tc>
          <w:tcPr>
            <w:tcW w:w="1446" w:type="dxa"/>
          </w:tcPr>
          <w:p w14:paraId="4AD4895B" w14:textId="77777777" w:rsidR="00573809" w:rsidRPr="00BF210F" w:rsidRDefault="00573809" w:rsidP="00D66A20">
            <w:pPr>
              <w:jc w:val="center"/>
              <w:rPr>
                <w:rFonts w:cs="Arial"/>
                <w:sz w:val="20"/>
                <w:szCs w:val="20"/>
              </w:rPr>
            </w:pPr>
            <w:r w:rsidRPr="00BF210F">
              <w:rPr>
                <w:rFonts w:cs="Arial"/>
                <w:sz w:val="20"/>
                <w:szCs w:val="20"/>
              </w:rPr>
              <w:t>0.506</w:t>
            </w:r>
          </w:p>
        </w:tc>
      </w:tr>
      <w:tr w:rsidR="00573809" w:rsidRPr="00BF210F" w14:paraId="51AFF394" w14:textId="77777777" w:rsidTr="0000403B">
        <w:tc>
          <w:tcPr>
            <w:tcW w:w="2098" w:type="dxa"/>
          </w:tcPr>
          <w:p w14:paraId="42748F26" w14:textId="77777777" w:rsidR="00573809" w:rsidRPr="00BF210F" w:rsidRDefault="00573809" w:rsidP="00D66A20">
            <w:pPr>
              <w:jc w:val="center"/>
              <w:rPr>
                <w:rFonts w:cs="Arial"/>
                <w:sz w:val="20"/>
                <w:szCs w:val="20"/>
              </w:rPr>
            </w:pPr>
            <w:r w:rsidRPr="00BF210F">
              <w:rPr>
                <w:rFonts w:cs="Arial"/>
                <w:sz w:val="20"/>
                <w:szCs w:val="20"/>
              </w:rPr>
              <w:t>Bhatia 2019</w:t>
            </w:r>
          </w:p>
        </w:tc>
        <w:tc>
          <w:tcPr>
            <w:tcW w:w="1362" w:type="dxa"/>
          </w:tcPr>
          <w:p w14:paraId="0CA48E02" w14:textId="77777777" w:rsidR="00573809" w:rsidRPr="00BF210F" w:rsidRDefault="00573809" w:rsidP="00D66A20">
            <w:pPr>
              <w:jc w:val="center"/>
              <w:rPr>
                <w:rFonts w:cs="Arial"/>
                <w:sz w:val="20"/>
                <w:szCs w:val="20"/>
              </w:rPr>
            </w:pPr>
            <w:r w:rsidRPr="00BF210F">
              <w:rPr>
                <w:rFonts w:cs="Arial"/>
                <w:sz w:val="20"/>
                <w:szCs w:val="20"/>
              </w:rPr>
              <w:t>0.82</w:t>
            </w:r>
          </w:p>
        </w:tc>
        <w:tc>
          <w:tcPr>
            <w:tcW w:w="1362" w:type="dxa"/>
          </w:tcPr>
          <w:p w14:paraId="1FE8971B" w14:textId="77777777" w:rsidR="00573809" w:rsidRPr="00BF210F" w:rsidRDefault="00573809" w:rsidP="00D66A20">
            <w:pPr>
              <w:jc w:val="center"/>
              <w:rPr>
                <w:rFonts w:cs="Arial"/>
                <w:sz w:val="20"/>
                <w:szCs w:val="20"/>
              </w:rPr>
            </w:pPr>
            <w:r w:rsidRPr="00BF210F">
              <w:rPr>
                <w:rFonts w:cs="Arial"/>
                <w:sz w:val="20"/>
                <w:szCs w:val="20"/>
              </w:rPr>
              <w:t>0.66-1.01</w:t>
            </w:r>
          </w:p>
        </w:tc>
        <w:tc>
          <w:tcPr>
            <w:tcW w:w="1362" w:type="dxa"/>
          </w:tcPr>
          <w:p w14:paraId="38F99903" w14:textId="77777777" w:rsidR="00573809" w:rsidRPr="00BF210F" w:rsidRDefault="00573809" w:rsidP="00D66A20">
            <w:pPr>
              <w:jc w:val="center"/>
              <w:rPr>
                <w:rFonts w:cs="Arial"/>
                <w:sz w:val="20"/>
                <w:szCs w:val="20"/>
              </w:rPr>
            </w:pPr>
            <w:r w:rsidRPr="00BF210F">
              <w:rPr>
                <w:rFonts w:cs="Arial"/>
                <w:sz w:val="20"/>
                <w:szCs w:val="20"/>
              </w:rPr>
              <w:t>0.057</w:t>
            </w:r>
          </w:p>
        </w:tc>
        <w:tc>
          <w:tcPr>
            <w:tcW w:w="1539" w:type="dxa"/>
          </w:tcPr>
          <w:p w14:paraId="5A6FD663" w14:textId="77777777" w:rsidR="00573809" w:rsidRPr="00BF210F" w:rsidRDefault="00573809" w:rsidP="00D66A20">
            <w:pPr>
              <w:jc w:val="center"/>
              <w:rPr>
                <w:rFonts w:cs="Arial"/>
                <w:sz w:val="20"/>
                <w:szCs w:val="20"/>
              </w:rPr>
            </w:pPr>
            <w:r w:rsidRPr="00BF210F">
              <w:rPr>
                <w:rFonts w:cs="Arial"/>
                <w:sz w:val="20"/>
                <w:szCs w:val="20"/>
              </w:rPr>
              <w:t>0.0</w:t>
            </w:r>
          </w:p>
        </w:tc>
        <w:tc>
          <w:tcPr>
            <w:tcW w:w="1446" w:type="dxa"/>
          </w:tcPr>
          <w:p w14:paraId="0F808D0D" w14:textId="77777777" w:rsidR="00573809" w:rsidRPr="00BF210F" w:rsidRDefault="00573809" w:rsidP="00D66A20">
            <w:pPr>
              <w:jc w:val="center"/>
              <w:rPr>
                <w:rFonts w:cs="Arial"/>
                <w:sz w:val="20"/>
                <w:szCs w:val="20"/>
              </w:rPr>
            </w:pPr>
            <w:r w:rsidRPr="00BF210F">
              <w:rPr>
                <w:rFonts w:cs="Arial"/>
                <w:sz w:val="20"/>
                <w:szCs w:val="20"/>
              </w:rPr>
              <w:t>0.530</w:t>
            </w:r>
          </w:p>
        </w:tc>
      </w:tr>
      <w:tr w:rsidR="00573809" w:rsidRPr="00BF210F" w14:paraId="779D02F4" w14:textId="77777777" w:rsidTr="0000403B">
        <w:tc>
          <w:tcPr>
            <w:tcW w:w="2098" w:type="dxa"/>
          </w:tcPr>
          <w:p w14:paraId="66205605" w14:textId="77777777" w:rsidR="00573809" w:rsidRPr="00BF210F" w:rsidRDefault="00573809" w:rsidP="00D66A20">
            <w:pPr>
              <w:jc w:val="center"/>
              <w:rPr>
                <w:rFonts w:cs="Arial"/>
                <w:sz w:val="20"/>
                <w:szCs w:val="20"/>
              </w:rPr>
            </w:pPr>
            <w:r w:rsidRPr="00BF210F">
              <w:rPr>
                <w:rFonts w:cs="Arial"/>
                <w:sz w:val="20"/>
                <w:szCs w:val="20"/>
              </w:rPr>
              <w:t>Brandao 2019</w:t>
            </w:r>
          </w:p>
        </w:tc>
        <w:tc>
          <w:tcPr>
            <w:tcW w:w="1362" w:type="dxa"/>
          </w:tcPr>
          <w:p w14:paraId="0190F52E" w14:textId="77777777" w:rsidR="00573809" w:rsidRPr="00BF210F" w:rsidRDefault="00573809" w:rsidP="00D66A20">
            <w:pPr>
              <w:jc w:val="center"/>
              <w:rPr>
                <w:rFonts w:cs="Arial"/>
                <w:sz w:val="20"/>
                <w:szCs w:val="20"/>
              </w:rPr>
            </w:pPr>
            <w:r w:rsidRPr="00BF210F">
              <w:rPr>
                <w:rFonts w:cs="Arial"/>
                <w:sz w:val="20"/>
                <w:szCs w:val="20"/>
              </w:rPr>
              <w:t>0.79</w:t>
            </w:r>
          </w:p>
        </w:tc>
        <w:tc>
          <w:tcPr>
            <w:tcW w:w="1362" w:type="dxa"/>
          </w:tcPr>
          <w:p w14:paraId="311AA6C0" w14:textId="77777777" w:rsidR="00573809" w:rsidRPr="00BF210F" w:rsidRDefault="00573809" w:rsidP="00D66A20">
            <w:pPr>
              <w:jc w:val="center"/>
              <w:rPr>
                <w:rFonts w:cs="Arial"/>
                <w:sz w:val="20"/>
                <w:szCs w:val="20"/>
              </w:rPr>
            </w:pPr>
            <w:r w:rsidRPr="00BF210F">
              <w:rPr>
                <w:rFonts w:cs="Arial"/>
                <w:sz w:val="20"/>
                <w:szCs w:val="20"/>
              </w:rPr>
              <w:t>0.64-0.98</w:t>
            </w:r>
          </w:p>
        </w:tc>
        <w:tc>
          <w:tcPr>
            <w:tcW w:w="1362" w:type="dxa"/>
          </w:tcPr>
          <w:p w14:paraId="667BE0B3" w14:textId="77777777" w:rsidR="00573809" w:rsidRPr="00BF210F" w:rsidRDefault="00573809" w:rsidP="00D66A20">
            <w:pPr>
              <w:jc w:val="center"/>
              <w:rPr>
                <w:rFonts w:cs="Arial"/>
                <w:sz w:val="20"/>
                <w:szCs w:val="20"/>
              </w:rPr>
            </w:pPr>
            <w:r w:rsidRPr="00BF210F">
              <w:rPr>
                <w:rFonts w:cs="Arial"/>
                <w:sz w:val="20"/>
                <w:szCs w:val="20"/>
              </w:rPr>
              <w:t>0.030</w:t>
            </w:r>
          </w:p>
        </w:tc>
        <w:tc>
          <w:tcPr>
            <w:tcW w:w="1539" w:type="dxa"/>
          </w:tcPr>
          <w:p w14:paraId="39682D46" w14:textId="77777777" w:rsidR="00573809" w:rsidRPr="00BF210F" w:rsidRDefault="00573809" w:rsidP="00D66A20">
            <w:pPr>
              <w:jc w:val="center"/>
              <w:rPr>
                <w:rFonts w:cs="Arial"/>
                <w:sz w:val="20"/>
                <w:szCs w:val="20"/>
              </w:rPr>
            </w:pPr>
            <w:r w:rsidRPr="00BF210F">
              <w:rPr>
                <w:rFonts w:cs="Arial"/>
                <w:sz w:val="20"/>
                <w:szCs w:val="20"/>
              </w:rPr>
              <w:t>0.0</w:t>
            </w:r>
          </w:p>
        </w:tc>
        <w:tc>
          <w:tcPr>
            <w:tcW w:w="1446" w:type="dxa"/>
          </w:tcPr>
          <w:p w14:paraId="6C9DAA59" w14:textId="77777777" w:rsidR="00573809" w:rsidRPr="00BF210F" w:rsidRDefault="00573809" w:rsidP="00D66A20">
            <w:pPr>
              <w:jc w:val="center"/>
              <w:rPr>
                <w:rFonts w:cs="Arial"/>
                <w:sz w:val="20"/>
                <w:szCs w:val="20"/>
              </w:rPr>
            </w:pPr>
            <w:r w:rsidRPr="00BF210F">
              <w:rPr>
                <w:rFonts w:cs="Arial"/>
                <w:sz w:val="20"/>
                <w:szCs w:val="20"/>
              </w:rPr>
              <w:t>0.615</w:t>
            </w:r>
          </w:p>
        </w:tc>
      </w:tr>
      <w:tr w:rsidR="00573809" w:rsidRPr="00BF210F" w14:paraId="2BBDF0DA" w14:textId="77777777" w:rsidTr="0000403B">
        <w:tc>
          <w:tcPr>
            <w:tcW w:w="2098" w:type="dxa"/>
          </w:tcPr>
          <w:p w14:paraId="5D8736C3" w14:textId="77777777" w:rsidR="00573809" w:rsidRPr="00BF210F" w:rsidRDefault="00573809" w:rsidP="00D66A20">
            <w:pPr>
              <w:jc w:val="center"/>
              <w:rPr>
                <w:rFonts w:cs="Arial"/>
                <w:sz w:val="20"/>
                <w:szCs w:val="20"/>
              </w:rPr>
            </w:pPr>
            <w:r w:rsidRPr="00BF210F">
              <w:rPr>
                <w:rFonts w:cs="Arial"/>
                <w:sz w:val="20"/>
                <w:szCs w:val="20"/>
              </w:rPr>
              <w:t>Phakathi 2019</w:t>
            </w:r>
          </w:p>
        </w:tc>
        <w:tc>
          <w:tcPr>
            <w:tcW w:w="1362" w:type="dxa"/>
          </w:tcPr>
          <w:p w14:paraId="274CB4E0" w14:textId="77777777" w:rsidR="00573809" w:rsidRPr="00BF210F" w:rsidRDefault="00573809" w:rsidP="00D66A20">
            <w:pPr>
              <w:jc w:val="center"/>
              <w:rPr>
                <w:rFonts w:cs="Arial"/>
                <w:sz w:val="20"/>
                <w:szCs w:val="20"/>
              </w:rPr>
            </w:pPr>
            <w:r w:rsidRPr="00BF210F">
              <w:rPr>
                <w:rFonts w:cs="Arial"/>
                <w:sz w:val="20"/>
                <w:szCs w:val="20"/>
              </w:rPr>
              <w:t>0.93</w:t>
            </w:r>
          </w:p>
        </w:tc>
        <w:tc>
          <w:tcPr>
            <w:tcW w:w="1362" w:type="dxa"/>
          </w:tcPr>
          <w:p w14:paraId="44C3CDA4" w14:textId="77777777" w:rsidR="00573809" w:rsidRPr="00BF210F" w:rsidRDefault="00573809" w:rsidP="00D66A20">
            <w:pPr>
              <w:jc w:val="center"/>
              <w:rPr>
                <w:rFonts w:cs="Arial"/>
                <w:sz w:val="20"/>
                <w:szCs w:val="20"/>
              </w:rPr>
            </w:pPr>
            <w:r w:rsidRPr="00BF210F">
              <w:rPr>
                <w:rFonts w:cs="Arial"/>
                <w:sz w:val="20"/>
                <w:szCs w:val="20"/>
              </w:rPr>
              <w:t>0.71-1.23</w:t>
            </w:r>
          </w:p>
        </w:tc>
        <w:tc>
          <w:tcPr>
            <w:tcW w:w="1362" w:type="dxa"/>
          </w:tcPr>
          <w:p w14:paraId="26B4E55F" w14:textId="77777777" w:rsidR="00573809" w:rsidRPr="00BF210F" w:rsidRDefault="00573809" w:rsidP="00D66A20">
            <w:pPr>
              <w:jc w:val="center"/>
              <w:rPr>
                <w:rFonts w:cs="Arial"/>
                <w:sz w:val="20"/>
                <w:szCs w:val="20"/>
              </w:rPr>
            </w:pPr>
            <w:r w:rsidRPr="00BF210F">
              <w:rPr>
                <w:rFonts w:cs="Arial"/>
                <w:sz w:val="20"/>
                <w:szCs w:val="20"/>
              </w:rPr>
              <w:t>0.624</w:t>
            </w:r>
          </w:p>
        </w:tc>
        <w:tc>
          <w:tcPr>
            <w:tcW w:w="1539" w:type="dxa"/>
          </w:tcPr>
          <w:p w14:paraId="04D02A5C" w14:textId="77777777" w:rsidR="00573809" w:rsidRPr="00BF210F" w:rsidRDefault="00573809" w:rsidP="00D66A20">
            <w:pPr>
              <w:jc w:val="center"/>
              <w:rPr>
                <w:rFonts w:cs="Arial"/>
                <w:sz w:val="20"/>
                <w:szCs w:val="20"/>
              </w:rPr>
            </w:pPr>
            <w:r w:rsidRPr="00BF210F">
              <w:rPr>
                <w:rFonts w:cs="Arial"/>
                <w:sz w:val="20"/>
                <w:szCs w:val="20"/>
              </w:rPr>
              <w:t>0.0</w:t>
            </w:r>
          </w:p>
        </w:tc>
        <w:tc>
          <w:tcPr>
            <w:tcW w:w="1446" w:type="dxa"/>
          </w:tcPr>
          <w:p w14:paraId="40F5AB6B" w14:textId="77777777" w:rsidR="00573809" w:rsidRPr="00BF210F" w:rsidRDefault="00573809" w:rsidP="00D66A20">
            <w:pPr>
              <w:jc w:val="center"/>
              <w:rPr>
                <w:rFonts w:cs="Arial"/>
                <w:sz w:val="20"/>
                <w:szCs w:val="20"/>
              </w:rPr>
            </w:pPr>
            <w:r w:rsidRPr="00BF210F">
              <w:rPr>
                <w:rFonts w:cs="Arial"/>
                <w:sz w:val="20"/>
                <w:szCs w:val="20"/>
              </w:rPr>
              <w:t>0.924</w:t>
            </w:r>
          </w:p>
        </w:tc>
      </w:tr>
    </w:tbl>
    <w:p w14:paraId="317FE07D" w14:textId="77777777" w:rsidR="005E698C" w:rsidRPr="00BF210F" w:rsidRDefault="005E698C" w:rsidP="005E698C">
      <w:pPr>
        <w:rPr>
          <w:rFonts w:cs="Arial"/>
          <w:sz w:val="16"/>
          <w:szCs w:val="16"/>
          <w:lang w:val="en-US"/>
        </w:rPr>
      </w:pPr>
      <w:r w:rsidRPr="00BF210F">
        <w:rPr>
          <w:rFonts w:cs="Arial"/>
          <w:sz w:val="16"/>
          <w:szCs w:val="16"/>
          <w:lang w:val="en-US"/>
        </w:rPr>
        <w:t>CI: confidence interval; OR: odds ratio.</w:t>
      </w:r>
    </w:p>
    <w:p w14:paraId="5E2E315F" w14:textId="77777777" w:rsidR="00573809" w:rsidRPr="00BF210F" w:rsidRDefault="00573809" w:rsidP="00D66A20">
      <w:pPr>
        <w:rPr>
          <w:rFonts w:cs="Arial"/>
          <w:sz w:val="20"/>
          <w:szCs w:val="20"/>
          <w:lang w:val="en-US"/>
        </w:rPr>
      </w:pPr>
    </w:p>
    <w:p w14:paraId="2D28F689" w14:textId="086F7E71" w:rsidR="00A324DC" w:rsidRPr="00BF210F" w:rsidRDefault="00BF210F" w:rsidP="00D66A20">
      <w:pPr>
        <w:rPr>
          <w:rFonts w:cs="Arial"/>
          <w:b/>
          <w:sz w:val="24"/>
          <w:szCs w:val="24"/>
          <w:lang w:val="en-US"/>
        </w:rPr>
      </w:pPr>
      <w:r>
        <w:rPr>
          <w:rFonts w:cs="Arial"/>
          <w:b/>
          <w:sz w:val="24"/>
          <w:szCs w:val="24"/>
          <w:lang w:val="en-US"/>
        </w:rPr>
        <w:t xml:space="preserve">Supplementary </w:t>
      </w:r>
      <w:r w:rsidR="00573809" w:rsidRPr="00BF210F">
        <w:rPr>
          <w:rFonts w:cs="Arial"/>
          <w:b/>
          <w:sz w:val="24"/>
          <w:szCs w:val="24"/>
          <w:lang w:val="en-US"/>
        </w:rPr>
        <w:t xml:space="preserve">Table </w:t>
      </w:r>
      <w:r w:rsidR="0056019E" w:rsidRPr="00BF210F">
        <w:rPr>
          <w:rFonts w:cs="Arial"/>
          <w:b/>
          <w:sz w:val="24"/>
          <w:szCs w:val="24"/>
          <w:lang w:val="en-US"/>
        </w:rPr>
        <w:t>6</w:t>
      </w:r>
      <w:r w:rsidR="00573809" w:rsidRPr="00BF210F">
        <w:rPr>
          <w:rFonts w:cs="Arial"/>
          <w:b/>
          <w:sz w:val="24"/>
          <w:szCs w:val="24"/>
          <w:lang w:val="en-US"/>
        </w:rPr>
        <w:t xml:space="preserve"> – Sensitivity analysis </w:t>
      </w:r>
      <w:r w:rsidR="00A83B8A" w:rsidRPr="00BF210F">
        <w:rPr>
          <w:rFonts w:cs="Arial"/>
          <w:b/>
          <w:sz w:val="24"/>
          <w:szCs w:val="24"/>
          <w:lang w:val="en-US"/>
        </w:rPr>
        <w:t xml:space="preserve">of the odds of presenting with </w:t>
      </w:r>
      <w:r w:rsidR="00573809" w:rsidRPr="00BF210F">
        <w:rPr>
          <w:rFonts w:cs="Arial"/>
          <w:b/>
          <w:sz w:val="24"/>
          <w:szCs w:val="24"/>
          <w:lang w:val="en-US"/>
        </w:rPr>
        <w:t xml:space="preserve">HER2-positive subtype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A324DC" w:rsidRPr="00BF210F">
        <w:rPr>
          <w:rFonts w:cs="Arial"/>
          <w:b/>
          <w:sz w:val="24"/>
          <w:szCs w:val="24"/>
          <w:lang w:val="en-US"/>
        </w:rPr>
        <w:t>.</w:t>
      </w:r>
    </w:p>
    <w:p w14:paraId="1786A443" w14:textId="77777777" w:rsidR="00573809" w:rsidRPr="00BF210F" w:rsidRDefault="00573809" w:rsidP="00D66A20">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8E4836" w:rsidRPr="00BF210F" w14:paraId="380C8394" w14:textId="77777777" w:rsidTr="00C25E84">
        <w:tc>
          <w:tcPr>
            <w:tcW w:w="2098" w:type="dxa"/>
            <w:vMerge w:val="restart"/>
          </w:tcPr>
          <w:p w14:paraId="2358648D" w14:textId="77777777" w:rsidR="008E4836" w:rsidRPr="00BF210F" w:rsidRDefault="008E4836" w:rsidP="00D66A20">
            <w:pPr>
              <w:jc w:val="center"/>
              <w:rPr>
                <w:rFonts w:cs="Arial"/>
                <w:b/>
                <w:sz w:val="20"/>
                <w:szCs w:val="20"/>
              </w:rPr>
            </w:pPr>
            <w:r w:rsidRPr="00BF210F">
              <w:rPr>
                <w:rFonts w:cs="Arial"/>
                <w:b/>
                <w:sz w:val="20"/>
                <w:szCs w:val="20"/>
              </w:rPr>
              <w:t>Study excluded</w:t>
            </w:r>
          </w:p>
        </w:tc>
        <w:tc>
          <w:tcPr>
            <w:tcW w:w="4086" w:type="dxa"/>
            <w:gridSpan w:val="3"/>
          </w:tcPr>
          <w:p w14:paraId="11163045" w14:textId="77777777" w:rsidR="008E4836" w:rsidRPr="00BF210F" w:rsidRDefault="008E4836" w:rsidP="00D66A20">
            <w:pPr>
              <w:jc w:val="center"/>
              <w:rPr>
                <w:rFonts w:cs="Arial"/>
                <w:b/>
                <w:sz w:val="20"/>
                <w:szCs w:val="20"/>
              </w:rPr>
            </w:pPr>
            <w:r w:rsidRPr="00BF210F">
              <w:rPr>
                <w:rFonts w:cs="Arial"/>
                <w:b/>
                <w:sz w:val="20"/>
                <w:szCs w:val="20"/>
              </w:rPr>
              <w:t>Random effect</w:t>
            </w:r>
          </w:p>
        </w:tc>
        <w:tc>
          <w:tcPr>
            <w:tcW w:w="1539" w:type="dxa"/>
            <w:vMerge w:val="restart"/>
          </w:tcPr>
          <w:p w14:paraId="1B467FA4" w14:textId="20E674AA" w:rsidR="008E4836" w:rsidRPr="00BF210F" w:rsidRDefault="005E698C"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w:t>
            </w:r>
            <w:r w:rsidR="008E4836" w:rsidRPr="00BF210F">
              <w:rPr>
                <w:rFonts w:cs="Arial"/>
                <w:b/>
                <w:sz w:val="20"/>
                <w:szCs w:val="20"/>
              </w:rPr>
              <w:t>(%)</w:t>
            </w:r>
          </w:p>
        </w:tc>
        <w:tc>
          <w:tcPr>
            <w:tcW w:w="1446" w:type="dxa"/>
            <w:vMerge w:val="restart"/>
          </w:tcPr>
          <w:p w14:paraId="7A9B6F5F" w14:textId="42254634" w:rsidR="008E4836" w:rsidRPr="00BF210F" w:rsidRDefault="005E698C"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 xml:space="preserve">2 </w:t>
            </w:r>
            <w:r w:rsidR="008E4836" w:rsidRPr="00BF210F">
              <w:rPr>
                <w:rFonts w:cs="Arial"/>
                <w:b/>
                <w:sz w:val="20"/>
                <w:szCs w:val="20"/>
              </w:rPr>
              <w:t>P-value</w:t>
            </w:r>
          </w:p>
        </w:tc>
      </w:tr>
      <w:tr w:rsidR="008E4836" w:rsidRPr="00BF210F" w14:paraId="78FAC307" w14:textId="77777777" w:rsidTr="0000403B">
        <w:tc>
          <w:tcPr>
            <w:tcW w:w="2098" w:type="dxa"/>
            <w:vMerge/>
          </w:tcPr>
          <w:p w14:paraId="5320862D" w14:textId="77777777" w:rsidR="008E4836" w:rsidRPr="00BF210F" w:rsidRDefault="008E4836" w:rsidP="00D66A20">
            <w:pPr>
              <w:jc w:val="center"/>
              <w:rPr>
                <w:rFonts w:cs="Arial"/>
                <w:b/>
                <w:sz w:val="20"/>
                <w:szCs w:val="20"/>
              </w:rPr>
            </w:pPr>
          </w:p>
        </w:tc>
        <w:tc>
          <w:tcPr>
            <w:tcW w:w="1362" w:type="dxa"/>
          </w:tcPr>
          <w:p w14:paraId="21C85C25" w14:textId="2B031E58" w:rsidR="008E4836" w:rsidRPr="00BF210F" w:rsidRDefault="005E698C" w:rsidP="00D66A20">
            <w:pPr>
              <w:jc w:val="center"/>
              <w:rPr>
                <w:rFonts w:cs="Arial"/>
                <w:b/>
                <w:sz w:val="20"/>
                <w:szCs w:val="20"/>
              </w:rPr>
            </w:pPr>
            <w:r w:rsidRPr="00BF210F">
              <w:rPr>
                <w:rFonts w:cs="Arial"/>
                <w:b/>
                <w:sz w:val="20"/>
                <w:szCs w:val="20"/>
              </w:rPr>
              <w:t xml:space="preserve">Pooled </w:t>
            </w:r>
            <w:r w:rsidR="008E4836" w:rsidRPr="00BF210F">
              <w:rPr>
                <w:rFonts w:cs="Arial"/>
                <w:b/>
                <w:sz w:val="20"/>
                <w:szCs w:val="20"/>
              </w:rPr>
              <w:t>OR</w:t>
            </w:r>
          </w:p>
        </w:tc>
        <w:tc>
          <w:tcPr>
            <w:tcW w:w="1362" w:type="dxa"/>
          </w:tcPr>
          <w:p w14:paraId="1E83AB38" w14:textId="77777777" w:rsidR="008E4836" w:rsidRPr="00BF210F" w:rsidRDefault="008E4836" w:rsidP="00D66A20">
            <w:pPr>
              <w:jc w:val="center"/>
              <w:rPr>
                <w:rFonts w:cs="Arial"/>
                <w:b/>
                <w:sz w:val="20"/>
                <w:szCs w:val="20"/>
              </w:rPr>
            </w:pPr>
            <w:r w:rsidRPr="00BF210F">
              <w:rPr>
                <w:rFonts w:cs="Arial"/>
                <w:b/>
                <w:sz w:val="20"/>
                <w:szCs w:val="20"/>
              </w:rPr>
              <w:t>95% CI</w:t>
            </w:r>
          </w:p>
        </w:tc>
        <w:tc>
          <w:tcPr>
            <w:tcW w:w="1362" w:type="dxa"/>
          </w:tcPr>
          <w:p w14:paraId="3C4C4A87" w14:textId="77777777" w:rsidR="008E4836" w:rsidRPr="00BF210F" w:rsidRDefault="008E4836" w:rsidP="00D66A20">
            <w:pPr>
              <w:jc w:val="center"/>
              <w:rPr>
                <w:rFonts w:cs="Arial"/>
                <w:b/>
                <w:sz w:val="20"/>
                <w:szCs w:val="20"/>
              </w:rPr>
            </w:pPr>
            <w:r w:rsidRPr="00BF210F">
              <w:rPr>
                <w:rFonts w:cs="Arial"/>
                <w:b/>
                <w:sz w:val="20"/>
                <w:szCs w:val="20"/>
              </w:rPr>
              <w:t>P-value</w:t>
            </w:r>
          </w:p>
        </w:tc>
        <w:tc>
          <w:tcPr>
            <w:tcW w:w="1539" w:type="dxa"/>
            <w:vMerge/>
          </w:tcPr>
          <w:p w14:paraId="55D3E5F2" w14:textId="77777777" w:rsidR="008E4836" w:rsidRPr="00BF210F" w:rsidRDefault="008E4836" w:rsidP="00D66A20">
            <w:pPr>
              <w:jc w:val="center"/>
              <w:rPr>
                <w:rFonts w:cs="Arial"/>
                <w:b/>
                <w:sz w:val="20"/>
                <w:szCs w:val="20"/>
              </w:rPr>
            </w:pPr>
          </w:p>
        </w:tc>
        <w:tc>
          <w:tcPr>
            <w:tcW w:w="1446" w:type="dxa"/>
            <w:vMerge/>
          </w:tcPr>
          <w:p w14:paraId="3D296B00" w14:textId="77777777" w:rsidR="008E4836" w:rsidRPr="00BF210F" w:rsidRDefault="008E4836" w:rsidP="00D66A20">
            <w:pPr>
              <w:jc w:val="center"/>
              <w:rPr>
                <w:rFonts w:cs="Arial"/>
                <w:b/>
                <w:sz w:val="20"/>
                <w:szCs w:val="20"/>
              </w:rPr>
            </w:pPr>
          </w:p>
        </w:tc>
      </w:tr>
      <w:tr w:rsidR="008E4836" w:rsidRPr="00BF210F" w14:paraId="712C1365" w14:textId="77777777" w:rsidTr="0000403B">
        <w:tc>
          <w:tcPr>
            <w:tcW w:w="2098" w:type="dxa"/>
          </w:tcPr>
          <w:p w14:paraId="4718D030" w14:textId="77777777" w:rsidR="008E4836" w:rsidRPr="00BF210F" w:rsidRDefault="008E4836" w:rsidP="00D66A20">
            <w:pPr>
              <w:jc w:val="center"/>
              <w:rPr>
                <w:rFonts w:cs="Arial"/>
                <w:sz w:val="20"/>
                <w:szCs w:val="20"/>
              </w:rPr>
            </w:pPr>
            <w:r w:rsidRPr="00BF210F">
              <w:rPr>
                <w:rFonts w:cs="Arial"/>
                <w:sz w:val="20"/>
                <w:szCs w:val="20"/>
              </w:rPr>
              <w:t>Cubasch 2013</w:t>
            </w:r>
          </w:p>
        </w:tc>
        <w:tc>
          <w:tcPr>
            <w:tcW w:w="1362" w:type="dxa"/>
          </w:tcPr>
          <w:p w14:paraId="1DF7A9F7" w14:textId="77777777" w:rsidR="008E4836" w:rsidRPr="00BF210F" w:rsidRDefault="008E4836" w:rsidP="00D66A20">
            <w:pPr>
              <w:jc w:val="center"/>
              <w:rPr>
                <w:rFonts w:cs="Arial"/>
                <w:sz w:val="20"/>
                <w:szCs w:val="20"/>
              </w:rPr>
            </w:pPr>
            <w:r w:rsidRPr="00BF210F">
              <w:rPr>
                <w:rFonts w:cs="Arial"/>
                <w:sz w:val="20"/>
                <w:szCs w:val="20"/>
              </w:rPr>
              <w:t>0.99</w:t>
            </w:r>
          </w:p>
        </w:tc>
        <w:tc>
          <w:tcPr>
            <w:tcW w:w="1362" w:type="dxa"/>
          </w:tcPr>
          <w:p w14:paraId="41402B1E" w14:textId="77777777" w:rsidR="008E4836" w:rsidRPr="00BF210F" w:rsidRDefault="008E4836" w:rsidP="00D66A20">
            <w:pPr>
              <w:jc w:val="center"/>
              <w:rPr>
                <w:rFonts w:cs="Arial"/>
                <w:sz w:val="20"/>
                <w:szCs w:val="20"/>
              </w:rPr>
            </w:pPr>
            <w:r w:rsidRPr="00BF210F">
              <w:rPr>
                <w:rFonts w:cs="Arial"/>
                <w:sz w:val="20"/>
                <w:szCs w:val="20"/>
              </w:rPr>
              <w:t>0.64-1.53</w:t>
            </w:r>
          </w:p>
        </w:tc>
        <w:tc>
          <w:tcPr>
            <w:tcW w:w="1362" w:type="dxa"/>
          </w:tcPr>
          <w:p w14:paraId="55C2F530" w14:textId="77777777" w:rsidR="008E4836" w:rsidRPr="00BF210F" w:rsidRDefault="008E4836" w:rsidP="00D66A20">
            <w:pPr>
              <w:jc w:val="center"/>
              <w:rPr>
                <w:rFonts w:cs="Arial"/>
                <w:sz w:val="20"/>
                <w:szCs w:val="20"/>
              </w:rPr>
            </w:pPr>
            <w:r w:rsidRPr="00BF210F">
              <w:rPr>
                <w:rFonts w:cs="Arial"/>
                <w:sz w:val="20"/>
                <w:szCs w:val="20"/>
              </w:rPr>
              <w:t>0.958</w:t>
            </w:r>
          </w:p>
        </w:tc>
        <w:tc>
          <w:tcPr>
            <w:tcW w:w="1539" w:type="dxa"/>
          </w:tcPr>
          <w:p w14:paraId="334523BB" w14:textId="77777777" w:rsidR="008E4836" w:rsidRPr="00BF210F" w:rsidRDefault="008E4836" w:rsidP="00D66A20">
            <w:pPr>
              <w:jc w:val="center"/>
              <w:rPr>
                <w:rFonts w:cs="Arial"/>
                <w:sz w:val="20"/>
                <w:szCs w:val="20"/>
              </w:rPr>
            </w:pPr>
            <w:r w:rsidRPr="00BF210F">
              <w:rPr>
                <w:rFonts w:cs="Arial"/>
                <w:sz w:val="20"/>
                <w:szCs w:val="20"/>
              </w:rPr>
              <w:t>43.5</w:t>
            </w:r>
          </w:p>
        </w:tc>
        <w:tc>
          <w:tcPr>
            <w:tcW w:w="1446" w:type="dxa"/>
          </w:tcPr>
          <w:p w14:paraId="7E7888FB" w14:textId="77777777" w:rsidR="008E4836" w:rsidRPr="00BF210F" w:rsidRDefault="008E4836" w:rsidP="00D66A20">
            <w:pPr>
              <w:jc w:val="center"/>
              <w:rPr>
                <w:rFonts w:cs="Arial"/>
                <w:sz w:val="20"/>
                <w:szCs w:val="20"/>
              </w:rPr>
            </w:pPr>
            <w:r w:rsidRPr="00BF210F">
              <w:rPr>
                <w:rFonts w:cs="Arial"/>
                <w:sz w:val="20"/>
                <w:szCs w:val="20"/>
              </w:rPr>
              <w:t>0.115</w:t>
            </w:r>
          </w:p>
        </w:tc>
      </w:tr>
      <w:tr w:rsidR="008E4836" w:rsidRPr="00BF210F" w14:paraId="57B93F5D" w14:textId="77777777" w:rsidTr="0000403B">
        <w:tc>
          <w:tcPr>
            <w:tcW w:w="2098" w:type="dxa"/>
          </w:tcPr>
          <w:p w14:paraId="42F1009A" w14:textId="77777777" w:rsidR="008E4836" w:rsidRPr="00BF210F" w:rsidRDefault="008E4836" w:rsidP="00D66A20">
            <w:pPr>
              <w:jc w:val="center"/>
              <w:rPr>
                <w:rFonts w:cs="Arial"/>
                <w:sz w:val="20"/>
                <w:szCs w:val="20"/>
              </w:rPr>
            </w:pPr>
            <w:r w:rsidRPr="00BF210F">
              <w:rPr>
                <w:rFonts w:cs="Arial"/>
                <w:sz w:val="20"/>
                <w:szCs w:val="20"/>
              </w:rPr>
              <w:t>Langenhoven 2016</w:t>
            </w:r>
          </w:p>
        </w:tc>
        <w:tc>
          <w:tcPr>
            <w:tcW w:w="1362" w:type="dxa"/>
          </w:tcPr>
          <w:p w14:paraId="32B0F7FA" w14:textId="77777777" w:rsidR="008E4836" w:rsidRPr="00BF210F" w:rsidRDefault="008E4836" w:rsidP="00D66A20">
            <w:pPr>
              <w:jc w:val="center"/>
              <w:rPr>
                <w:rFonts w:cs="Arial"/>
                <w:sz w:val="20"/>
                <w:szCs w:val="20"/>
              </w:rPr>
            </w:pPr>
            <w:r w:rsidRPr="00BF210F">
              <w:rPr>
                <w:rFonts w:cs="Arial"/>
                <w:sz w:val="20"/>
                <w:szCs w:val="20"/>
              </w:rPr>
              <w:t>1.12</w:t>
            </w:r>
          </w:p>
        </w:tc>
        <w:tc>
          <w:tcPr>
            <w:tcW w:w="1362" w:type="dxa"/>
          </w:tcPr>
          <w:p w14:paraId="4A25F81A" w14:textId="77777777" w:rsidR="008E4836" w:rsidRPr="00BF210F" w:rsidRDefault="008E4836" w:rsidP="00D66A20">
            <w:pPr>
              <w:jc w:val="center"/>
              <w:rPr>
                <w:rFonts w:cs="Arial"/>
                <w:sz w:val="20"/>
                <w:szCs w:val="20"/>
              </w:rPr>
            </w:pPr>
            <w:r w:rsidRPr="00BF210F">
              <w:rPr>
                <w:rFonts w:cs="Arial"/>
                <w:sz w:val="20"/>
                <w:szCs w:val="20"/>
              </w:rPr>
              <w:t>0.78-1.61</w:t>
            </w:r>
          </w:p>
        </w:tc>
        <w:tc>
          <w:tcPr>
            <w:tcW w:w="1362" w:type="dxa"/>
          </w:tcPr>
          <w:p w14:paraId="2DABE5D2" w14:textId="77777777" w:rsidR="008E4836" w:rsidRPr="00BF210F" w:rsidRDefault="008E4836" w:rsidP="00D66A20">
            <w:pPr>
              <w:jc w:val="center"/>
              <w:rPr>
                <w:rFonts w:cs="Arial"/>
                <w:sz w:val="20"/>
                <w:szCs w:val="20"/>
              </w:rPr>
            </w:pPr>
            <w:r w:rsidRPr="00BF210F">
              <w:rPr>
                <w:rFonts w:cs="Arial"/>
                <w:sz w:val="20"/>
                <w:szCs w:val="20"/>
              </w:rPr>
              <w:t>0.523</w:t>
            </w:r>
          </w:p>
        </w:tc>
        <w:tc>
          <w:tcPr>
            <w:tcW w:w="1539" w:type="dxa"/>
          </w:tcPr>
          <w:p w14:paraId="369C841A" w14:textId="77777777" w:rsidR="008E4836" w:rsidRPr="00BF210F" w:rsidRDefault="008E4836" w:rsidP="00D66A20">
            <w:pPr>
              <w:jc w:val="center"/>
              <w:rPr>
                <w:rFonts w:cs="Arial"/>
                <w:sz w:val="20"/>
                <w:szCs w:val="20"/>
              </w:rPr>
            </w:pPr>
            <w:r w:rsidRPr="00BF210F">
              <w:rPr>
                <w:rFonts w:cs="Arial"/>
                <w:sz w:val="20"/>
                <w:szCs w:val="20"/>
              </w:rPr>
              <w:t>40.5</w:t>
            </w:r>
          </w:p>
        </w:tc>
        <w:tc>
          <w:tcPr>
            <w:tcW w:w="1446" w:type="dxa"/>
          </w:tcPr>
          <w:p w14:paraId="2D84B8FB" w14:textId="77777777" w:rsidR="008E4836" w:rsidRPr="00BF210F" w:rsidRDefault="008E4836" w:rsidP="00D66A20">
            <w:pPr>
              <w:jc w:val="center"/>
              <w:rPr>
                <w:rFonts w:cs="Arial"/>
                <w:sz w:val="20"/>
                <w:szCs w:val="20"/>
              </w:rPr>
            </w:pPr>
            <w:r w:rsidRPr="00BF210F">
              <w:rPr>
                <w:rFonts w:cs="Arial"/>
                <w:sz w:val="20"/>
                <w:szCs w:val="20"/>
              </w:rPr>
              <w:t>0.135</w:t>
            </w:r>
          </w:p>
        </w:tc>
      </w:tr>
      <w:tr w:rsidR="008E4836" w:rsidRPr="00BF210F" w14:paraId="6CBA55F8" w14:textId="77777777" w:rsidTr="0000403B">
        <w:tc>
          <w:tcPr>
            <w:tcW w:w="2098" w:type="dxa"/>
          </w:tcPr>
          <w:p w14:paraId="78C0A5E1" w14:textId="77777777" w:rsidR="008E4836" w:rsidRPr="00BF210F" w:rsidRDefault="008E4836" w:rsidP="00D66A20">
            <w:pPr>
              <w:jc w:val="center"/>
              <w:rPr>
                <w:rFonts w:cs="Arial"/>
                <w:sz w:val="20"/>
                <w:szCs w:val="20"/>
              </w:rPr>
            </w:pPr>
            <w:r w:rsidRPr="00BF210F">
              <w:rPr>
                <w:rFonts w:cs="Arial"/>
                <w:sz w:val="20"/>
                <w:szCs w:val="20"/>
              </w:rPr>
              <w:t>Ngidi 2017</w:t>
            </w:r>
          </w:p>
        </w:tc>
        <w:tc>
          <w:tcPr>
            <w:tcW w:w="1362" w:type="dxa"/>
          </w:tcPr>
          <w:p w14:paraId="11A89370" w14:textId="77777777" w:rsidR="008E4836" w:rsidRPr="00BF210F" w:rsidRDefault="008E4836" w:rsidP="00D66A20">
            <w:pPr>
              <w:jc w:val="center"/>
              <w:rPr>
                <w:rFonts w:cs="Arial"/>
                <w:sz w:val="20"/>
                <w:szCs w:val="20"/>
              </w:rPr>
            </w:pPr>
            <w:r w:rsidRPr="00BF210F">
              <w:rPr>
                <w:rFonts w:cs="Arial"/>
                <w:sz w:val="20"/>
                <w:szCs w:val="20"/>
              </w:rPr>
              <w:t>1.15</w:t>
            </w:r>
          </w:p>
        </w:tc>
        <w:tc>
          <w:tcPr>
            <w:tcW w:w="1362" w:type="dxa"/>
          </w:tcPr>
          <w:p w14:paraId="0B2CFC58" w14:textId="77777777" w:rsidR="008E4836" w:rsidRPr="00BF210F" w:rsidRDefault="008E4836" w:rsidP="00D66A20">
            <w:pPr>
              <w:jc w:val="center"/>
              <w:rPr>
                <w:rFonts w:cs="Arial"/>
                <w:sz w:val="20"/>
                <w:szCs w:val="20"/>
              </w:rPr>
            </w:pPr>
            <w:r w:rsidRPr="00BF210F">
              <w:rPr>
                <w:rFonts w:cs="Arial"/>
                <w:sz w:val="20"/>
                <w:szCs w:val="20"/>
              </w:rPr>
              <w:t>0.84-1.58</w:t>
            </w:r>
          </w:p>
        </w:tc>
        <w:tc>
          <w:tcPr>
            <w:tcW w:w="1362" w:type="dxa"/>
          </w:tcPr>
          <w:p w14:paraId="57D9687A" w14:textId="77777777" w:rsidR="008E4836" w:rsidRPr="00BF210F" w:rsidRDefault="008E4836" w:rsidP="00D66A20">
            <w:pPr>
              <w:jc w:val="center"/>
              <w:rPr>
                <w:rFonts w:cs="Arial"/>
                <w:sz w:val="20"/>
                <w:szCs w:val="20"/>
              </w:rPr>
            </w:pPr>
            <w:r w:rsidRPr="00BF210F">
              <w:rPr>
                <w:rFonts w:cs="Arial"/>
                <w:sz w:val="20"/>
                <w:szCs w:val="20"/>
              </w:rPr>
              <w:t>0.381</w:t>
            </w:r>
          </w:p>
        </w:tc>
        <w:tc>
          <w:tcPr>
            <w:tcW w:w="1539" w:type="dxa"/>
          </w:tcPr>
          <w:p w14:paraId="4A89E61D" w14:textId="77777777" w:rsidR="008E4836" w:rsidRPr="00BF210F" w:rsidRDefault="008E4836" w:rsidP="00D66A20">
            <w:pPr>
              <w:jc w:val="center"/>
              <w:rPr>
                <w:rFonts w:cs="Arial"/>
                <w:sz w:val="20"/>
                <w:szCs w:val="20"/>
              </w:rPr>
            </w:pPr>
            <w:r w:rsidRPr="00BF210F">
              <w:rPr>
                <w:rFonts w:cs="Arial"/>
                <w:sz w:val="20"/>
                <w:szCs w:val="20"/>
              </w:rPr>
              <w:t>34.1</w:t>
            </w:r>
          </w:p>
        </w:tc>
        <w:tc>
          <w:tcPr>
            <w:tcW w:w="1446" w:type="dxa"/>
          </w:tcPr>
          <w:p w14:paraId="274DBF8D" w14:textId="77777777" w:rsidR="008E4836" w:rsidRPr="00BF210F" w:rsidRDefault="008E4836" w:rsidP="00D66A20">
            <w:pPr>
              <w:jc w:val="center"/>
              <w:rPr>
                <w:rFonts w:cs="Arial"/>
                <w:sz w:val="20"/>
                <w:szCs w:val="20"/>
              </w:rPr>
            </w:pPr>
            <w:r w:rsidRPr="00BF210F">
              <w:rPr>
                <w:rFonts w:cs="Arial"/>
                <w:sz w:val="20"/>
                <w:szCs w:val="20"/>
              </w:rPr>
              <w:t>0.180</w:t>
            </w:r>
          </w:p>
        </w:tc>
      </w:tr>
      <w:tr w:rsidR="008E4836" w:rsidRPr="00BF210F" w14:paraId="34B6D0BA" w14:textId="77777777" w:rsidTr="0000403B">
        <w:tc>
          <w:tcPr>
            <w:tcW w:w="2098" w:type="dxa"/>
          </w:tcPr>
          <w:p w14:paraId="4380EB74" w14:textId="77777777" w:rsidR="008E4836" w:rsidRPr="00BF210F" w:rsidRDefault="008E4836" w:rsidP="00D66A20">
            <w:pPr>
              <w:jc w:val="center"/>
              <w:rPr>
                <w:rFonts w:cs="Arial"/>
                <w:sz w:val="20"/>
                <w:szCs w:val="20"/>
              </w:rPr>
            </w:pPr>
            <w:r w:rsidRPr="00BF210F">
              <w:rPr>
                <w:rFonts w:cs="Arial"/>
                <w:sz w:val="20"/>
                <w:szCs w:val="20"/>
              </w:rPr>
              <w:t>Van Zyl 2018</w:t>
            </w:r>
          </w:p>
        </w:tc>
        <w:tc>
          <w:tcPr>
            <w:tcW w:w="1362" w:type="dxa"/>
          </w:tcPr>
          <w:p w14:paraId="43D58B65" w14:textId="77777777" w:rsidR="008E4836" w:rsidRPr="00BF210F" w:rsidRDefault="008E4836" w:rsidP="00D66A20">
            <w:pPr>
              <w:jc w:val="center"/>
              <w:rPr>
                <w:rFonts w:cs="Arial"/>
                <w:sz w:val="20"/>
                <w:szCs w:val="20"/>
              </w:rPr>
            </w:pPr>
            <w:r w:rsidRPr="00BF210F">
              <w:rPr>
                <w:rFonts w:cs="Arial"/>
                <w:sz w:val="20"/>
                <w:szCs w:val="20"/>
              </w:rPr>
              <w:t>1.04</w:t>
            </w:r>
          </w:p>
        </w:tc>
        <w:tc>
          <w:tcPr>
            <w:tcW w:w="1362" w:type="dxa"/>
          </w:tcPr>
          <w:p w14:paraId="72517BC1" w14:textId="77777777" w:rsidR="008E4836" w:rsidRPr="00BF210F" w:rsidRDefault="008E4836" w:rsidP="00D66A20">
            <w:pPr>
              <w:jc w:val="center"/>
              <w:rPr>
                <w:rFonts w:cs="Arial"/>
                <w:sz w:val="20"/>
                <w:szCs w:val="20"/>
              </w:rPr>
            </w:pPr>
            <w:r w:rsidRPr="00BF210F">
              <w:rPr>
                <w:rFonts w:cs="Arial"/>
                <w:sz w:val="20"/>
                <w:szCs w:val="20"/>
              </w:rPr>
              <w:t>0.72-1.51</w:t>
            </w:r>
          </w:p>
        </w:tc>
        <w:tc>
          <w:tcPr>
            <w:tcW w:w="1362" w:type="dxa"/>
          </w:tcPr>
          <w:p w14:paraId="3B0581B1" w14:textId="77777777" w:rsidR="008E4836" w:rsidRPr="00BF210F" w:rsidRDefault="008E4836" w:rsidP="00D66A20">
            <w:pPr>
              <w:jc w:val="center"/>
              <w:rPr>
                <w:rFonts w:cs="Arial"/>
                <w:sz w:val="20"/>
                <w:szCs w:val="20"/>
              </w:rPr>
            </w:pPr>
            <w:r w:rsidRPr="00BF210F">
              <w:rPr>
                <w:rFonts w:cs="Arial"/>
                <w:sz w:val="20"/>
                <w:szCs w:val="20"/>
              </w:rPr>
              <w:t>0.819</w:t>
            </w:r>
          </w:p>
        </w:tc>
        <w:tc>
          <w:tcPr>
            <w:tcW w:w="1539" w:type="dxa"/>
          </w:tcPr>
          <w:p w14:paraId="5D4D3067" w14:textId="77777777" w:rsidR="008E4836" w:rsidRPr="00BF210F" w:rsidRDefault="008E4836" w:rsidP="00D66A20">
            <w:pPr>
              <w:jc w:val="center"/>
              <w:rPr>
                <w:rFonts w:cs="Arial"/>
                <w:sz w:val="20"/>
                <w:szCs w:val="20"/>
              </w:rPr>
            </w:pPr>
            <w:r w:rsidRPr="00BF210F">
              <w:rPr>
                <w:rFonts w:cs="Arial"/>
                <w:sz w:val="20"/>
                <w:szCs w:val="20"/>
              </w:rPr>
              <w:t>44.5</w:t>
            </w:r>
          </w:p>
        </w:tc>
        <w:tc>
          <w:tcPr>
            <w:tcW w:w="1446" w:type="dxa"/>
          </w:tcPr>
          <w:p w14:paraId="7546B5BC" w14:textId="77777777" w:rsidR="008E4836" w:rsidRPr="00BF210F" w:rsidRDefault="008E4836" w:rsidP="00D66A20">
            <w:pPr>
              <w:jc w:val="center"/>
              <w:rPr>
                <w:rFonts w:cs="Arial"/>
                <w:sz w:val="20"/>
                <w:szCs w:val="20"/>
              </w:rPr>
            </w:pPr>
            <w:r w:rsidRPr="00BF210F">
              <w:rPr>
                <w:rFonts w:cs="Arial"/>
                <w:sz w:val="20"/>
                <w:szCs w:val="20"/>
              </w:rPr>
              <w:t>0.109</w:t>
            </w:r>
          </w:p>
        </w:tc>
      </w:tr>
      <w:tr w:rsidR="008E4836" w:rsidRPr="00BF210F" w14:paraId="43CD8697" w14:textId="77777777" w:rsidTr="0000403B">
        <w:tc>
          <w:tcPr>
            <w:tcW w:w="2098" w:type="dxa"/>
          </w:tcPr>
          <w:p w14:paraId="64724AE8" w14:textId="77777777" w:rsidR="008E4836" w:rsidRPr="00BF210F" w:rsidRDefault="008E4836" w:rsidP="00D66A20">
            <w:pPr>
              <w:jc w:val="center"/>
              <w:rPr>
                <w:rFonts w:cs="Arial"/>
                <w:sz w:val="20"/>
                <w:szCs w:val="20"/>
              </w:rPr>
            </w:pPr>
            <w:r w:rsidRPr="00BF210F">
              <w:rPr>
                <w:rFonts w:cs="Arial"/>
                <w:sz w:val="20"/>
                <w:szCs w:val="20"/>
              </w:rPr>
              <w:t>Bhatia 2019</w:t>
            </w:r>
          </w:p>
        </w:tc>
        <w:tc>
          <w:tcPr>
            <w:tcW w:w="1362" w:type="dxa"/>
          </w:tcPr>
          <w:p w14:paraId="0FB0903C" w14:textId="77777777" w:rsidR="008E4836" w:rsidRPr="00BF210F" w:rsidRDefault="008E4836" w:rsidP="00D66A20">
            <w:pPr>
              <w:jc w:val="center"/>
              <w:rPr>
                <w:rFonts w:cs="Arial"/>
                <w:sz w:val="20"/>
                <w:szCs w:val="20"/>
              </w:rPr>
            </w:pPr>
            <w:r w:rsidRPr="00BF210F">
              <w:rPr>
                <w:rFonts w:cs="Arial"/>
                <w:sz w:val="20"/>
                <w:szCs w:val="20"/>
              </w:rPr>
              <w:t>1.06</w:t>
            </w:r>
          </w:p>
        </w:tc>
        <w:tc>
          <w:tcPr>
            <w:tcW w:w="1362" w:type="dxa"/>
          </w:tcPr>
          <w:p w14:paraId="0399FB22" w14:textId="77777777" w:rsidR="008E4836" w:rsidRPr="00BF210F" w:rsidRDefault="008E4836" w:rsidP="00D66A20">
            <w:pPr>
              <w:jc w:val="center"/>
              <w:rPr>
                <w:rFonts w:cs="Arial"/>
                <w:sz w:val="20"/>
                <w:szCs w:val="20"/>
              </w:rPr>
            </w:pPr>
            <w:r w:rsidRPr="00BF210F">
              <w:rPr>
                <w:rFonts w:cs="Arial"/>
                <w:sz w:val="20"/>
                <w:szCs w:val="20"/>
              </w:rPr>
              <w:t>0.74-1.51</w:t>
            </w:r>
          </w:p>
        </w:tc>
        <w:tc>
          <w:tcPr>
            <w:tcW w:w="1362" w:type="dxa"/>
          </w:tcPr>
          <w:p w14:paraId="4543F6B5" w14:textId="77777777" w:rsidR="008E4836" w:rsidRPr="00BF210F" w:rsidRDefault="008E4836" w:rsidP="00D66A20">
            <w:pPr>
              <w:jc w:val="center"/>
              <w:rPr>
                <w:rFonts w:cs="Arial"/>
                <w:sz w:val="20"/>
                <w:szCs w:val="20"/>
              </w:rPr>
            </w:pPr>
            <w:r w:rsidRPr="00BF210F">
              <w:rPr>
                <w:rFonts w:cs="Arial"/>
                <w:sz w:val="20"/>
                <w:szCs w:val="20"/>
              </w:rPr>
              <w:t>0.759</w:t>
            </w:r>
          </w:p>
        </w:tc>
        <w:tc>
          <w:tcPr>
            <w:tcW w:w="1539" w:type="dxa"/>
          </w:tcPr>
          <w:p w14:paraId="5B5C4FCD" w14:textId="77777777" w:rsidR="008E4836" w:rsidRPr="00BF210F" w:rsidRDefault="008E4836" w:rsidP="00D66A20">
            <w:pPr>
              <w:jc w:val="center"/>
              <w:rPr>
                <w:rFonts w:cs="Arial"/>
                <w:sz w:val="20"/>
                <w:szCs w:val="20"/>
              </w:rPr>
            </w:pPr>
            <w:r w:rsidRPr="00BF210F">
              <w:rPr>
                <w:rFonts w:cs="Arial"/>
                <w:sz w:val="20"/>
                <w:szCs w:val="20"/>
              </w:rPr>
              <w:t>44.8</w:t>
            </w:r>
          </w:p>
        </w:tc>
        <w:tc>
          <w:tcPr>
            <w:tcW w:w="1446" w:type="dxa"/>
          </w:tcPr>
          <w:p w14:paraId="7F6E4156" w14:textId="77777777" w:rsidR="008E4836" w:rsidRPr="00BF210F" w:rsidRDefault="008E4836" w:rsidP="00D66A20">
            <w:pPr>
              <w:jc w:val="center"/>
              <w:rPr>
                <w:rFonts w:cs="Arial"/>
                <w:sz w:val="20"/>
                <w:szCs w:val="20"/>
              </w:rPr>
            </w:pPr>
            <w:r w:rsidRPr="00BF210F">
              <w:rPr>
                <w:rFonts w:cs="Arial"/>
                <w:sz w:val="20"/>
                <w:szCs w:val="20"/>
              </w:rPr>
              <w:t>0.107</w:t>
            </w:r>
          </w:p>
        </w:tc>
      </w:tr>
      <w:tr w:rsidR="008E4836" w:rsidRPr="00BF210F" w14:paraId="5589089B" w14:textId="77777777" w:rsidTr="0000403B">
        <w:tc>
          <w:tcPr>
            <w:tcW w:w="2098" w:type="dxa"/>
          </w:tcPr>
          <w:p w14:paraId="3EB11C8E" w14:textId="77777777" w:rsidR="008E4836" w:rsidRPr="00BF210F" w:rsidRDefault="008E4836" w:rsidP="00D66A20">
            <w:pPr>
              <w:jc w:val="center"/>
              <w:rPr>
                <w:rFonts w:cs="Arial"/>
                <w:sz w:val="20"/>
                <w:szCs w:val="20"/>
              </w:rPr>
            </w:pPr>
            <w:r w:rsidRPr="00BF210F">
              <w:rPr>
                <w:rFonts w:cs="Arial"/>
                <w:sz w:val="20"/>
                <w:szCs w:val="20"/>
              </w:rPr>
              <w:t>Brandao 2019</w:t>
            </w:r>
          </w:p>
        </w:tc>
        <w:tc>
          <w:tcPr>
            <w:tcW w:w="1362" w:type="dxa"/>
          </w:tcPr>
          <w:p w14:paraId="2BA15B4A" w14:textId="77777777" w:rsidR="008E4836" w:rsidRPr="00BF210F" w:rsidRDefault="008E4836" w:rsidP="00D66A20">
            <w:pPr>
              <w:jc w:val="center"/>
              <w:rPr>
                <w:rFonts w:cs="Arial"/>
                <w:sz w:val="20"/>
                <w:szCs w:val="20"/>
              </w:rPr>
            </w:pPr>
            <w:r w:rsidRPr="00BF210F">
              <w:rPr>
                <w:rFonts w:cs="Arial"/>
                <w:sz w:val="20"/>
                <w:szCs w:val="20"/>
              </w:rPr>
              <w:t>1.29</w:t>
            </w:r>
          </w:p>
        </w:tc>
        <w:tc>
          <w:tcPr>
            <w:tcW w:w="1362" w:type="dxa"/>
          </w:tcPr>
          <w:p w14:paraId="6837E858" w14:textId="77777777" w:rsidR="008E4836" w:rsidRPr="00BF210F" w:rsidRDefault="008E4836" w:rsidP="00D66A20">
            <w:pPr>
              <w:jc w:val="center"/>
              <w:rPr>
                <w:rFonts w:cs="Arial"/>
                <w:sz w:val="20"/>
                <w:szCs w:val="20"/>
              </w:rPr>
            </w:pPr>
            <w:r w:rsidRPr="00BF210F">
              <w:rPr>
                <w:rFonts w:cs="Arial"/>
                <w:sz w:val="20"/>
                <w:szCs w:val="20"/>
              </w:rPr>
              <w:t>1.02-1.62</w:t>
            </w:r>
          </w:p>
        </w:tc>
        <w:tc>
          <w:tcPr>
            <w:tcW w:w="1362" w:type="dxa"/>
          </w:tcPr>
          <w:p w14:paraId="43D9563B" w14:textId="77777777" w:rsidR="008E4836" w:rsidRPr="00BF210F" w:rsidRDefault="008E4836" w:rsidP="00D66A20">
            <w:pPr>
              <w:jc w:val="center"/>
              <w:rPr>
                <w:rFonts w:cs="Arial"/>
                <w:sz w:val="20"/>
                <w:szCs w:val="20"/>
              </w:rPr>
            </w:pPr>
            <w:r w:rsidRPr="00BF210F">
              <w:rPr>
                <w:rFonts w:cs="Arial"/>
                <w:sz w:val="20"/>
                <w:szCs w:val="20"/>
              </w:rPr>
              <w:t>0.032</w:t>
            </w:r>
          </w:p>
        </w:tc>
        <w:tc>
          <w:tcPr>
            <w:tcW w:w="1539" w:type="dxa"/>
          </w:tcPr>
          <w:p w14:paraId="03CDDC3F" w14:textId="77777777" w:rsidR="008E4836" w:rsidRPr="00BF210F" w:rsidRDefault="008E4836" w:rsidP="00D66A20">
            <w:pPr>
              <w:jc w:val="center"/>
              <w:rPr>
                <w:rFonts w:cs="Arial"/>
                <w:sz w:val="20"/>
                <w:szCs w:val="20"/>
              </w:rPr>
            </w:pPr>
            <w:r w:rsidRPr="00BF210F">
              <w:rPr>
                <w:rFonts w:cs="Arial"/>
                <w:sz w:val="20"/>
                <w:szCs w:val="20"/>
              </w:rPr>
              <w:t>0.0</w:t>
            </w:r>
          </w:p>
        </w:tc>
        <w:tc>
          <w:tcPr>
            <w:tcW w:w="1446" w:type="dxa"/>
          </w:tcPr>
          <w:p w14:paraId="0B8702F4" w14:textId="77777777" w:rsidR="008E4836" w:rsidRPr="00BF210F" w:rsidRDefault="008E4836" w:rsidP="00D66A20">
            <w:pPr>
              <w:jc w:val="center"/>
              <w:rPr>
                <w:rFonts w:cs="Arial"/>
                <w:sz w:val="20"/>
                <w:szCs w:val="20"/>
              </w:rPr>
            </w:pPr>
            <w:r w:rsidRPr="00BF210F">
              <w:rPr>
                <w:rFonts w:cs="Arial"/>
                <w:sz w:val="20"/>
                <w:szCs w:val="20"/>
              </w:rPr>
              <w:t>0.687</w:t>
            </w:r>
          </w:p>
        </w:tc>
      </w:tr>
      <w:tr w:rsidR="008E4836" w:rsidRPr="00BF210F" w14:paraId="0E2AD91B" w14:textId="77777777" w:rsidTr="0000403B">
        <w:tc>
          <w:tcPr>
            <w:tcW w:w="2098" w:type="dxa"/>
          </w:tcPr>
          <w:p w14:paraId="051C0478" w14:textId="77777777" w:rsidR="008E4836" w:rsidRPr="00BF210F" w:rsidRDefault="008E4836" w:rsidP="00D66A20">
            <w:pPr>
              <w:jc w:val="center"/>
              <w:rPr>
                <w:rFonts w:cs="Arial"/>
                <w:sz w:val="20"/>
                <w:szCs w:val="20"/>
              </w:rPr>
            </w:pPr>
            <w:r w:rsidRPr="00BF210F">
              <w:rPr>
                <w:rFonts w:cs="Arial"/>
                <w:sz w:val="20"/>
                <w:szCs w:val="20"/>
              </w:rPr>
              <w:t>Phakathi 2019</w:t>
            </w:r>
          </w:p>
        </w:tc>
        <w:tc>
          <w:tcPr>
            <w:tcW w:w="1362" w:type="dxa"/>
          </w:tcPr>
          <w:p w14:paraId="1EE42120" w14:textId="77777777" w:rsidR="008E4836" w:rsidRPr="00BF210F" w:rsidRDefault="008E4836" w:rsidP="00D66A20">
            <w:pPr>
              <w:jc w:val="center"/>
              <w:rPr>
                <w:rFonts w:cs="Arial"/>
                <w:sz w:val="20"/>
                <w:szCs w:val="20"/>
              </w:rPr>
            </w:pPr>
            <w:r w:rsidRPr="00BF210F">
              <w:rPr>
                <w:rFonts w:cs="Arial"/>
                <w:sz w:val="20"/>
                <w:szCs w:val="20"/>
              </w:rPr>
              <w:t>0.97</w:t>
            </w:r>
          </w:p>
        </w:tc>
        <w:tc>
          <w:tcPr>
            <w:tcW w:w="1362" w:type="dxa"/>
          </w:tcPr>
          <w:p w14:paraId="30D77E93" w14:textId="77777777" w:rsidR="008E4836" w:rsidRPr="00BF210F" w:rsidRDefault="008E4836" w:rsidP="00D66A20">
            <w:pPr>
              <w:jc w:val="center"/>
              <w:rPr>
                <w:rFonts w:cs="Arial"/>
                <w:sz w:val="20"/>
                <w:szCs w:val="20"/>
              </w:rPr>
            </w:pPr>
            <w:r w:rsidRPr="00BF210F">
              <w:rPr>
                <w:rFonts w:cs="Arial"/>
                <w:sz w:val="20"/>
                <w:szCs w:val="20"/>
              </w:rPr>
              <w:t>0.64-1.48</w:t>
            </w:r>
          </w:p>
        </w:tc>
        <w:tc>
          <w:tcPr>
            <w:tcW w:w="1362" w:type="dxa"/>
          </w:tcPr>
          <w:p w14:paraId="561F9ED9" w14:textId="77777777" w:rsidR="008E4836" w:rsidRPr="00BF210F" w:rsidRDefault="008E4836" w:rsidP="00D66A20">
            <w:pPr>
              <w:jc w:val="center"/>
              <w:rPr>
                <w:rFonts w:cs="Arial"/>
                <w:sz w:val="20"/>
                <w:szCs w:val="20"/>
              </w:rPr>
            </w:pPr>
            <w:r w:rsidRPr="00BF210F">
              <w:rPr>
                <w:rFonts w:cs="Arial"/>
                <w:sz w:val="20"/>
                <w:szCs w:val="20"/>
              </w:rPr>
              <w:t>0.895</w:t>
            </w:r>
          </w:p>
        </w:tc>
        <w:tc>
          <w:tcPr>
            <w:tcW w:w="1539" w:type="dxa"/>
          </w:tcPr>
          <w:p w14:paraId="161DD5AF" w14:textId="77777777" w:rsidR="008E4836" w:rsidRPr="00BF210F" w:rsidRDefault="008E4836" w:rsidP="00D66A20">
            <w:pPr>
              <w:jc w:val="center"/>
              <w:rPr>
                <w:rFonts w:cs="Arial"/>
                <w:sz w:val="20"/>
                <w:szCs w:val="20"/>
              </w:rPr>
            </w:pPr>
            <w:r w:rsidRPr="00BF210F">
              <w:rPr>
                <w:rFonts w:cs="Arial"/>
                <w:sz w:val="20"/>
                <w:szCs w:val="20"/>
              </w:rPr>
              <w:t>35.1</w:t>
            </w:r>
          </w:p>
        </w:tc>
        <w:tc>
          <w:tcPr>
            <w:tcW w:w="1446" w:type="dxa"/>
          </w:tcPr>
          <w:p w14:paraId="119B4ECD" w14:textId="77777777" w:rsidR="008E4836" w:rsidRPr="00BF210F" w:rsidRDefault="008E4836" w:rsidP="00D66A20">
            <w:pPr>
              <w:jc w:val="center"/>
              <w:rPr>
                <w:rFonts w:cs="Arial"/>
                <w:sz w:val="20"/>
                <w:szCs w:val="20"/>
              </w:rPr>
            </w:pPr>
            <w:r w:rsidRPr="00BF210F">
              <w:rPr>
                <w:rFonts w:cs="Arial"/>
                <w:sz w:val="20"/>
                <w:szCs w:val="20"/>
              </w:rPr>
              <w:t>0.173</w:t>
            </w:r>
          </w:p>
        </w:tc>
      </w:tr>
    </w:tbl>
    <w:p w14:paraId="473440AE" w14:textId="77777777" w:rsidR="005E698C" w:rsidRPr="00BF210F" w:rsidRDefault="005E698C" w:rsidP="005E698C">
      <w:pPr>
        <w:rPr>
          <w:rFonts w:cs="Arial"/>
          <w:sz w:val="16"/>
          <w:szCs w:val="16"/>
          <w:lang w:val="en-US"/>
        </w:rPr>
      </w:pPr>
      <w:r w:rsidRPr="00BF210F">
        <w:rPr>
          <w:rFonts w:cs="Arial"/>
          <w:sz w:val="16"/>
          <w:szCs w:val="16"/>
          <w:lang w:val="en-US"/>
        </w:rPr>
        <w:t>CI: confidence interval; OR: odds ratio.</w:t>
      </w:r>
    </w:p>
    <w:p w14:paraId="1CD790FD" w14:textId="77777777" w:rsidR="008E4836" w:rsidRPr="00BF210F" w:rsidRDefault="008E4836" w:rsidP="00D66A20">
      <w:pPr>
        <w:rPr>
          <w:rFonts w:cs="Arial"/>
          <w:lang w:val="en-US"/>
        </w:rPr>
      </w:pPr>
    </w:p>
    <w:p w14:paraId="6549601A" w14:textId="4F8611ED" w:rsidR="00A324DC" w:rsidRPr="00BF210F" w:rsidRDefault="00BF210F" w:rsidP="00D66A20">
      <w:pPr>
        <w:rPr>
          <w:rFonts w:cs="Arial"/>
          <w:b/>
          <w:sz w:val="24"/>
          <w:szCs w:val="24"/>
          <w:lang w:val="en-US"/>
        </w:rPr>
      </w:pPr>
      <w:r>
        <w:rPr>
          <w:rFonts w:cs="Arial"/>
          <w:b/>
          <w:sz w:val="24"/>
          <w:szCs w:val="24"/>
          <w:lang w:val="en-US"/>
        </w:rPr>
        <w:t xml:space="preserve">Supplementary </w:t>
      </w:r>
      <w:r w:rsidR="008E4836" w:rsidRPr="00BF210F">
        <w:rPr>
          <w:rFonts w:cs="Arial"/>
          <w:b/>
          <w:sz w:val="24"/>
          <w:szCs w:val="24"/>
          <w:lang w:val="en-US"/>
        </w:rPr>
        <w:t xml:space="preserve">Table </w:t>
      </w:r>
      <w:r w:rsidR="0056019E" w:rsidRPr="00BF210F">
        <w:rPr>
          <w:rFonts w:cs="Arial"/>
          <w:b/>
          <w:sz w:val="24"/>
          <w:szCs w:val="24"/>
          <w:lang w:val="en-US"/>
        </w:rPr>
        <w:t>7</w:t>
      </w:r>
      <w:r w:rsidR="008E4836" w:rsidRPr="00BF210F">
        <w:rPr>
          <w:rFonts w:cs="Arial"/>
          <w:b/>
          <w:sz w:val="24"/>
          <w:szCs w:val="24"/>
          <w:lang w:val="en-US"/>
        </w:rPr>
        <w:t xml:space="preserve"> – </w:t>
      </w:r>
      <w:r w:rsidR="0056019E" w:rsidRPr="00BF210F">
        <w:rPr>
          <w:rFonts w:cs="Arial"/>
          <w:b/>
          <w:sz w:val="24"/>
          <w:szCs w:val="24"/>
          <w:lang w:val="en-US"/>
        </w:rPr>
        <w:t xml:space="preserve">Sensitivity analysis of the odds of presenting with </w:t>
      </w:r>
      <w:r w:rsidR="008E4836" w:rsidRPr="00BF210F">
        <w:rPr>
          <w:rFonts w:cs="Arial"/>
          <w:b/>
          <w:sz w:val="24"/>
          <w:szCs w:val="24"/>
          <w:lang w:val="en-US"/>
        </w:rPr>
        <w:t>triple-negative subtype</w:t>
      </w:r>
      <w:r w:rsidR="00A7053A" w:rsidRPr="00BF210F">
        <w:rPr>
          <w:rFonts w:cs="Arial"/>
          <w:b/>
          <w:sz w:val="24"/>
          <w:szCs w:val="24"/>
          <w:lang w:val="en-US"/>
        </w:rPr>
        <w:t xml:space="preserve"> / basal-like subtype</w:t>
      </w:r>
      <w:r w:rsidR="008E4836" w:rsidRPr="00BF210F">
        <w:rPr>
          <w:rFonts w:cs="Arial"/>
          <w:b/>
          <w:sz w:val="24"/>
          <w:szCs w:val="24"/>
          <w:lang w:val="en-US"/>
        </w:rPr>
        <w:t xml:space="preserve">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A324DC" w:rsidRPr="00BF210F">
        <w:rPr>
          <w:rFonts w:cs="Arial"/>
          <w:b/>
          <w:sz w:val="24"/>
          <w:szCs w:val="24"/>
          <w:lang w:val="en-US"/>
        </w:rPr>
        <w:t>.</w:t>
      </w:r>
    </w:p>
    <w:p w14:paraId="4AF8B90F" w14:textId="77777777" w:rsidR="00573809" w:rsidRPr="00BF210F" w:rsidRDefault="00573809" w:rsidP="00D66A20">
      <w:pPr>
        <w:rPr>
          <w:rFonts w:cs="Arial"/>
          <w:i/>
          <w:sz w:val="20"/>
          <w:szCs w:val="20"/>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8E4836" w:rsidRPr="00BF210F" w14:paraId="7088EF66" w14:textId="77777777" w:rsidTr="00C25E84">
        <w:tc>
          <w:tcPr>
            <w:tcW w:w="2098" w:type="dxa"/>
            <w:vMerge w:val="restart"/>
          </w:tcPr>
          <w:p w14:paraId="42E058B4" w14:textId="77777777" w:rsidR="008E4836" w:rsidRPr="00BF210F" w:rsidRDefault="008E4836" w:rsidP="00D66A20">
            <w:pPr>
              <w:jc w:val="center"/>
              <w:rPr>
                <w:rFonts w:cs="Arial"/>
                <w:b/>
                <w:sz w:val="20"/>
                <w:szCs w:val="20"/>
              </w:rPr>
            </w:pPr>
            <w:r w:rsidRPr="00BF210F">
              <w:rPr>
                <w:rFonts w:cs="Arial"/>
                <w:b/>
                <w:sz w:val="20"/>
                <w:szCs w:val="20"/>
              </w:rPr>
              <w:t>Study excluded</w:t>
            </w:r>
          </w:p>
        </w:tc>
        <w:tc>
          <w:tcPr>
            <w:tcW w:w="4086" w:type="dxa"/>
            <w:gridSpan w:val="3"/>
          </w:tcPr>
          <w:p w14:paraId="33B7CC94" w14:textId="77777777" w:rsidR="008E4836" w:rsidRPr="00BF210F" w:rsidRDefault="008E4836" w:rsidP="00D66A20">
            <w:pPr>
              <w:jc w:val="center"/>
              <w:rPr>
                <w:rFonts w:cs="Arial"/>
                <w:b/>
                <w:sz w:val="20"/>
                <w:szCs w:val="20"/>
              </w:rPr>
            </w:pPr>
            <w:r w:rsidRPr="00BF210F">
              <w:rPr>
                <w:rFonts w:cs="Arial"/>
                <w:b/>
                <w:sz w:val="20"/>
                <w:szCs w:val="20"/>
              </w:rPr>
              <w:t>Random effect</w:t>
            </w:r>
          </w:p>
        </w:tc>
        <w:tc>
          <w:tcPr>
            <w:tcW w:w="1539" w:type="dxa"/>
            <w:vMerge w:val="restart"/>
          </w:tcPr>
          <w:p w14:paraId="2D3025C7" w14:textId="01F54BA5" w:rsidR="008E4836" w:rsidRPr="00BF210F" w:rsidRDefault="005E698C"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w:t>
            </w:r>
            <w:r w:rsidR="008E4836" w:rsidRPr="00BF210F">
              <w:rPr>
                <w:rFonts w:cs="Arial"/>
                <w:b/>
                <w:sz w:val="20"/>
                <w:szCs w:val="20"/>
              </w:rPr>
              <w:t>(%)</w:t>
            </w:r>
          </w:p>
        </w:tc>
        <w:tc>
          <w:tcPr>
            <w:tcW w:w="1446" w:type="dxa"/>
            <w:vMerge w:val="restart"/>
          </w:tcPr>
          <w:p w14:paraId="2B261F3B" w14:textId="1DC902CF" w:rsidR="008E4836" w:rsidRPr="00BF210F" w:rsidRDefault="005E698C"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008E4836" w:rsidRPr="00BF210F">
              <w:rPr>
                <w:rFonts w:cs="Arial"/>
                <w:b/>
                <w:sz w:val="20"/>
                <w:szCs w:val="20"/>
              </w:rPr>
              <w:t xml:space="preserve"> P-value</w:t>
            </w:r>
          </w:p>
        </w:tc>
      </w:tr>
      <w:tr w:rsidR="008E4836" w:rsidRPr="00BF210F" w14:paraId="6AF92C0D" w14:textId="77777777" w:rsidTr="00632CFE">
        <w:tc>
          <w:tcPr>
            <w:tcW w:w="2098" w:type="dxa"/>
            <w:vMerge/>
          </w:tcPr>
          <w:p w14:paraId="50551B82" w14:textId="77777777" w:rsidR="008E4836" w:rsidRPr="00BF210F" w:rsidRDefault="008E4836" w:rsidP="00D66A20">
            <w:pPr>
              <w:jc w:val="center"/>
              <w:rPr>
                <w:rFonts w:cs="Arial"/>
                <w:b/>
                <w:sz w:val="20"/>
                <w:szCs w:val="20"/>
              </w:rPr>
            </w:pPr>
          </w:p>
        </w:tc>
        <w:tc>
          <w:tcPr>
            <w:tcW w:w="1362" w:type="dxa"/>
          </w:tcPr>
          <w:p w14:paraId="6C0D2304" w14:textId="16F61ED4" w:rsidR="008E4836" w:rsidRPr="00BF210F" w:rsidRDefault="005E698C" w:rsidP="00D66A20">
            <w:pPr>
              <w:jc w:val="center"/>
              <w:rPr>
                <w:rFonts w:cs="Arial"/>
                <w:b/>
                <w:sz w:val="20"/>
                <w:szCs w:val="20"/>
              </w:rPr>
            </w:pPr>
            <w:r w:rsidRPr="00BF210F">
              <w:rPr>
                <w:rFonts w:cs="Arial"/>
                <w:b/>
                <w:sz w:val="20"/>
                <w:szCs w:val="20"/>
              </w:rPr>
              <w:t xml:space="preserve">Pooled </w:t>
            </w:r>
            <w:r w:rsidR="008E4836" w:rsidRPr="00BF210F">
              <w:rPr>
                <w:rFonts w:cs="Arial"/>
                <w:b/>
                <w:sz w:val="20"/>
                <w:szCs w:val="20"/>
              </w:rPr>
              <w:t>OR</w:t>
            </w:r>
          </w:p>
        </w:tc>
        <w:tc>
          <w:tcPr>
            <w:tcW w:w="1362" w:type="dxa"/>
          </w:tcPr>
          <w:p w14:paraId="4F0533A8" w14:textId="77777777" w:rsidR="008E4836" w:rsidRPr="00BF210F" w:rsidRDefault="008E4836" w:rsidP="00D66A20">
            <w:pPr>
              <w:jc w:val="center"/>
              <w:rPr>
                <w:rFonts w:cs="Arial"/>
                <w:b/>
                <w:sz w:val="20"/>
                <w:szCs w:val="20"/>
              </w:rPr>
            </w:pPr>
            <w:r w:rsidRPr="00BF210F">
              <w:rPr>
                <w:rFonts w:cs="Arial"/>
                <w:b/>
                <w:sz w:val="20"/>
                <w:szCs w:val="20"/>
              </w:rPr>
              <w:t>95% CI</w:t>
            </w:r>
          </w:p>
        </w:tc>
        <w:tc>
          <w:tcPr>
            <w:tcW w:w="1362" w:type="dxa"/>
          </w:tcPr>
          <w:p w14:paraId="159BA0C1" w14:textId="77777777" w:rsidR="008E4836" w:rsidRPr="00BF210F" w:rsidRDefault="008E4836" w:rsidP="00D66A20">
            <w:pPr>
              <w:jc w:val="center"/>
              <w:rPr>
                <w:rFonts w:cs="Arial"/>
                <w:b/>
                <w:sz w:val="20"/>
                <w:szCs w:val="20"/>
              </w:rPr>
            </w:pPr>
            <w:r w:rsidRPr="00BF210F">
              <w:rPr>
                <w:rFonts w:cs="Arial"/>
                <w:b/>
                <w:sz w:val="20"/>
                <w:szCs w:val="20"/>
              </w:rPr>
              <w:t>P-value</w:t>
            </w:r>
          </w:p>
        </w:tc>
        <w:tc>
          <w:tcPr>
            <w:tcW w:w="1539" w:type="dxa"/>
            <w:vMerge/>
          </w:tcPr>
          <w:p w14:paraId="0E72D519" w14:textId="77777777" w:rsidR="008E4836" w:rsidRPr="00BF210F" w:rsidRDefault="008E4836" w:rsidP="00D66A20">
            <w:pPr>
              <w:jc w:val="center"/>
              <w:rPr>
                <w:rFonts w:cs="Arial"/>
                <w:b/>
                <w:sz w:val="20"/>
                <w:szCs w:val="20"/>
              </w:rPr>
            </w:pPr>
          </w:p>
        </w:tc>
        <w:tc>
          <w:tcPr>
            <w:tcW w:w="1446" w:type="dxa"/>
            <w:vMerge/>
          </w:tcPr>
          <w:p w14:paraId="6665D069" w14:textId="77777777" w:rsidR="008E4836" w:rsidRPr="00BF210F" w:rsidRDefault="008E4836" w:rsidP="00D66A20">
            <w:pPr>
              <w:jc w:val="center"/>
              <w:rPr>
                <w:rFonts w:cs="Arial"/>
                <w:b/>
                <w:sz w:val="20"/>
                <w:szCs w:val="20"/>
              </w:rPr>
            </w:pPr>
          </w:p>
        </w:tc>
      </w:tr>
      <w:tr w:rsidR="008E4836" w:rsidRPr="00BF210F" w14:paraId="6F623053" w14:textId="77777777" w:rsidTr="00632CFE">
        <w:tc>
          <w:tcPr>
            <w:tcW w:w="2098" w:type="dxa"/>
          </w:tcPr>
          <w:p w14:paraId="741BDBBE" w14:textId="77777777" w:rsidR="008E4836" w:rsidRPr="00BF210F" w:rsidRDefault="008E4836" w:rsidP="00D66A20">
            <w:pPr>
              <w:jc w:val="center"/>
              <w:rPr>
                <w:rFonts w:cs="Arial"/>
                <w:sz w:val="20"/>
                <w:szCs w:val="20"/>
              </w:rPr>
            </w:pPr>
            <w:r w:rsidRPr="00BF210F">
              <w:rPr>
                <w:rFonts w:cs="Arial"/>
                <w:sz w:val="20"/>
                <w:szCs w:val="20"/>
              </w:rPr>
              <w:t>Cubasch 2013</w:t>
            </w:r>
          </w:p>
        </w:tc>
        <w:tc>
          <w:tcPr>
            <w:tcW w:w="1362" w:type="dxa"/>
          </w:tcPr>
          <w:p w14:paraId="6BC9ECF3" w14:textId="77777777" w:rsidR="008E4836" w:rsidRPr="00BF210F" w:rsidRDefault="008E4836" w:rsidP="00D66A20">
            <w:pPr>
              <w:jc w:val="center"/>
              <w:rPr>
                <w:rFonts w:cs="Arial"/>
                <w:sz w:val="20"/>
                <w:szCs w:val="20"/>
              </w:rPr>
            </w:pPr>
            <w:r w:rsidRPr="00BF210F">
              <w:rPr>
                <w:rFonts w:cs="Arial"/>
                <w:sz w:val="20"/>
                <w:szCs w:val="20"/>
              </w:rPr>
              <w:t>1.26</w:t>
            </w:r>
          </w:p>
        </w:tc>
        <w:tc>
          <w:tcPr>
            <w:tcW w:w="1362" w:type="dxa"/>
          </w:tcPr>
          <w:p w14:paraId="3C9419E4" w14:textId="77777777" w:rsidR="008E4836" w:rsidRPr="00BF210F" w:rsidRDefault="008E4836" w:rsidP="00D66A20">
            <w:pPr>
              <w:jc w:val="center"/>
              <w:rPr>
                <w:rFonts w:cs="Arial"/>
                <w:sz w:val="20"/>
                <w:szCs w:val="20"/>
              </w:rPr>
            </w:pPr>
            <w:r w:rsidRPr="00BF210F">
              <w:rPr>
                <w:rFonts w:cs="Arial"/>
                <w:sz w:val="20"/>
                <w:szCs w:val="20"/>
              </w:rPr>
              <w:t>0.98-1.64</w:t>
            </w:r>
          </w:p>
        </w:tc>
        <w:tc>
          <w:tcPr>
            <w:tcW w:w="1362" w:type="dxa"/>
          </w:tcPr>
          <w:p w14:paraId="18B22429" w14:textId="77777777" w:rsidR="008E4836" w:rsidRPr="00BF210F" w:rsidRDefault="008E4836" w:rsidP="00D66A20">
            <w:pPr>
              <w:jc w:val="center"/>
              <w:rPr>
                <w:rFonts w:cs="Arial"/>
                <w:sz w:val="20"/>
                <w:szCs w:val="20"/>
              </w:rPr>
            </w:pPr>
            <w:r w:rsidRPr="00BF210F">
              <w:rPr>
                <w:rFonts w:cs="Arial"/>
                <w:sz w:val="20"/>
                <w:szCs w:val="20"/>
              </w:rPr>
              <w:t>0.076</w:t>
            </w:r>
          </w:p>
        </w:tc>
        <w:tc>
          <w:tcPr>
            <w:tcW w:w="1539" w:type="dxa"/>
          </w:tcPr>
          <w:p w14:paraId="0521F4B1" w14:textId="77777777" w:rsidR="008E4836" w:rsidRPr="00BF210F" w:rsidRDefault="008E4836" w:rsidP="00D66A20">
            <w:pPr>
              <w:jc w:val="center"/>
              <w:rPr>
                <w:rFonts w:cs="Arial"/>
                <w:sz w:val="20"/>
                <w:szCs w:val="20"/>
              </w:rPr>
            </w:pPr>
            <w:r w:rsidRPr="00BF210F">
              <w:rPr>
                <w:rFonts w:cs="Arial"/>
                <w:sz w:val="20"/>
                <w:szCs w:val="20"/>
              </w:rPr>
              <w:t>0.0</w:t>
            </w:r>
          </w:p>
        </w:tc>
        <w:tc>
          <w:tcPr>
            <w:tcW w:w="1446" w:type="dxa"/>
          </w:tcPr>
          <w:p w14:paraId="02B4DBD5" w14:textId="77777777" w:rsidR="008E4836" w:rsidRPr="00BF210F" w:rsidRDefault="008E4836" w:rsidP="00D66A20">
            <w:pPr>
              <w:jc w:val="center"/>
              <w:rPr>
                <w:rFonts w:cs="Arial"/>
                <w:sz w:val="20"/>
                <w:szCs w:val="20"/>
              </w:rPr>
            </w:pPr>
            <w:r w:rsidRPr="00BF210F">
              <w:rPr>
                <w:rFonts w:cs="Arial"/>
                <w:sz w:val="20"/>
                <w:szCs w:val="20"/>
              </w:rPr>
              <w:t>0.737</w:t>
            </w:r>
          </w:p>
        </w:tc>
      </w:tr>
      <w:tr w:rsidR="008E4836" w:rsidRPr="00BF210F" w14:paraId="494C0C1C" w14:textId="77777777" w:rsidTr="00632CFE">
        <w:tc>
          <w:tcPr>
            <w:tcW w:w="2098" w:type="dxa"/>
          </w:tcPr>
          <w:p w14:paraId="24E4D7F8" w14:textId="77777777" w:rsidR="008E4836" w:rsidRPr="00BF210F" w:rsidRDefault="008E4836" w:rsidP="00D66A20">
            <w:pPr>
              <w:jc w:val="center"/>
              <w:rPr>
                <w:rFonts w:cs="Arial"/>
                <w:sz w:val="20"/>
                <w:szCs w:val="20"/>
              </w:rPr>
            </w:pPr>
            <w:r w:rsidRPr="00BF210F">
              <w:rPr>
                <w:rFonts w:cs="Arial"/>
                <w:sz w:val="20"/>
                <w:szCs w:val="20"/>
              </w:rPr>
              <w:t>Langenhoven 2016</w:t>
            </w:r>
          </w:p>
        </w:tc>
        <w:tc>
          <w:tcPr>
            <w:tcW w:w="1362" w:type="dxa"/>
          </w:tcPr>
          <w:p w14:paraId="7A3DFA37" w14:textId="77777777" w:rsidR="008E4836" w:rsidRPr="00BF210F" w:rsidRDefault="008E4836" w:rsidP="00D66A20">
            <w:pPr>
              <w:jc w:val="center"/>
              <w:rPr>
                <w:rFonts w:cs="Arial"/>
                <w:sz w:val="20"/>
                <w:szCs w:val="20"/>
              </w:rPr>
            </w:pPr>
            <w:r w:rsidRPr="00BF210F">
              <w:rPr>
                <w:rFonts w:cs="Arial"/>
                <w:sz w:val="20"/>
                <w:szCs w:val="20"/>
              </w:rPr>
              <w:t>1.15</w:t>
            </w:r>
          </w:p>
        </w:tc>
        <w:tc>
          <w:tcPr>
            <w:tcW w:w="1362" w:type="dxa"/>
          </w:tcPr>
          <w:p w14:paraId="36B507DE" w14:textId="77777777" w:rsidR="008E4836" w:rsidRPr="00BF210F" w:rsidRDefault="008E4836" w:rsidP="00D66A20">
            <w:pPr>
              <w:jc w:val="center"/>
              <w:rPr>
                <w:rFonts w:cs="Arial"/>
                <w:sz w:val="20"/>
                <w:szCs w:val="20"/>
              </w:rPr>
            </w:pPr>
            <w:r w:rsidRPr="00BF210F">
              <w:rPr>
                <w:rFonts w:cs="Arial"/>
                <w:sz w:val="20"/>
                <w:szCs w:val="20"/>
              </w:rPr>
              <w:t>0.89-1.47</w:t>
            </w:r>
          </w:p>
        </w:tc>
        <w:tc>
          <w:tcPr>
            <w:tcW w:w="1362" w:type="dxa"/>
          </w:tcPr>
          <w:p w14:paraId="59FB9B1A" w14:textId="77777777" w:rsidR="008E4836" w:rsidRPr="00BF210F" w:rsidRDefault="008E4836" w:rsidP="00D66A20">
            <w:pPr>
              <w:jc w:val="center"/>
              <w:rPr>
                <w:rFonts w:cs="Arial"/>
                <w:sz w:val="20"/>
                <w:szCs w:val="20"/>
              </w:rPr>
            </w:pPr>
            <w:r w:rsidRPr="00BF210F">
              <w:rPr>
                <w:rFonts w:cs="Arial"/>
                <w:sz w:val="20"/>
                <w:szCs w:val="20"/>
              </w:rPr>
              <w:t>0.279</w:t>
            </w:r>
          </w:p>
        </w:tc>
        <w:tc>
          <w:tcPr>
            <w:tcW w:w="1539" w:type="dxa"/>
          </w:tcPr>
          <w:p w14:paraId="247A0AEA" w14:textId="77777777" w:rsidR="008E4836" w:rsidRPr="00BF210F" w:rsidRDefault="008E4836" w:rsidP="00D66A20">
            <w:pPr>
              <w:jc w:val="center"/>
              <w:rPr>
                <w:rFonts w:cs="Arial"/>
                <w:sz w:val="20"/>
                <w:szCs w:val="20"/>
              </w:rPr>
            </w:pPr>
            <w:r w:rsidRPr="00BF210F">
              <w:rPr>
                <w:rFonts w:cs="Arial"/>
                <w:sz w:val="20"/>
                <w:szCs w:val="20"/>
              </w:rPr>
              <w:t>6.9</w:t>
            </w:r>
          </w:p>
        </w:tc>
        <w:tc>
          <w:tcPr>
            <w:tcW w:w="1446" w:type="dxa"/>
          </w:tcPr>
          <w:p w14:paraId="79017E02" w14:textId="77777777" w:rsidR="008E4836" w:rsidRPr="00BF210F" w:rsidRDefault="008E4836" w:rsidP="00D66A20">
            <w:pPr>
              <w:jc w:val="center"/>
              <w:rPr>
                <w:rFonts w:cs="Arial"/>
                <w:sz w:val="20"/>
                <w:szCs w:val="20"/>
              </w:rPr>
            </w:pPr>
            <w:r w:rsidRPr="00BF210F">
              <w:rPr>
                <w:rFonts w:cs="Arial"/>
                <w:sz w:val="20"/>
                <w:szCs w:val="20"/>
              </w:rPr>
              <w:t>0.376</w:t>
            </w:r>
          </w:p>
        </w:tc>
      </w:tr>
      <w:tr w:rsidR="008E4836" w:rsidRPr="00BF210F" w14:paraId="3D72B4ED" w14:textId="77777777" w:rsidTr="00632CFE">
        <w:tc>
          <w:tcPr>
            <w:tcW w:w="2098" w:type="dxa"/>
          </w:tcPr>
          <w:p w14:paraId="057971E8" w14:textId="77777777" w:rsidR="008E4836" w:rsidRPr="00BF210F" w:rsidRDefault="008E4836" w:rsidP="00D66A20">
            <w:pPr>
              <w:jc w:val="center"/>
              <w:rPr>
                <w:rFonts w:cs="Arial"/>
                <w:sz w:val="20"/>
                <w:szCs w:val="20"/>
              </w:rPr>
            </w:pPr>
            <w:r w:rsidRPr="00BF210F">
              <w:rPr>
                <w:rFonts w:cs="Arial"/>
                <w:sz w:val="20"/>
                <w:szCs w:val="20"/>
              </w:rPr>
              <w:t>Presti 2017</w:t>
            </w:r>
          </w:p>
        </w:tc>
        <w:tc>
          <w:tcPr>
            <w:tcW w:w="1362" w:type="dxa"/>
          </w:tcPr>
          <w:p w14:paraId="1F137BB1" w14:textId="77777777" w:rsidR="008E4836" w:rsidRPr="00BF210F" w:rsidRDefault="008E4836" w:rsidP="00D66A20">
            <w:pPr>
              <w:jc w:val="center"/>
              <w:rPr>
                <w:rFonts w:cs="Arial"/>
                <w:sz w:val="20"/>
                <w:szCs w:val="20"/>
              </w:rPr>
            </w:pPr>
            <w:r w:rsidRPr="00BF210F">
              <w:rPr>
                <w:rFonts w:cs="Arial"/>
                <w:sz w:val="20"/>
                <w:szCs w:val="20"/>
              </w:rPr>
              <w:t>1.10</w:t>
            </w:r>
          </w:p>
        </w:tc>
        <w:tc>
          <w:tcPr>
            <w:tcW w:w="1362" w:type="dxa"/>
          </w:tcPr>
          <w:p w14:paraId="497D07CC" w14:textId="77777777" w:rsidR="008E4836" w:rsidRPr="00BF210F" w:rsidRDefault="008E4836" w:rsidP="00D66A20">
            <w:pPr>
              <w:jc w:val="center"/>
              <w:rPr>
                <w:rFonts w:cs="Arial"/>
                <w:sz w:val="20"/>
                <w:szCs w:val="20"/>
              </w:rPr>
            </w:pPr>
            <w:r w:rsidRPr="00BF210F">
              <w:rPr>
                <w:rFonts w:cs="Arial"/>
                <w:sz w:val="20"/>
                <w:szCs w:val="20"/>
              </w:rPr>
              <w:t>0.86-1.39</w:t>
            </w:r>
          </w:p>
        </w:tc>
        <w:tc>
          <w:tcPr>
            <w:tcW w:w="1362" w:type="dxa"/>
          </w:tcPr>
          <w:p w14:paraId="5CA0F66C" w14:textId="77777777" w:rsidR="008E4836" w:rsidRPr="00BF210F" w:rsidRDefault="008E4836" w:rsidP="00D66A20">
            <w:pPr>
              <w:jc w:val="center"/>
              <w:rPr>
                <w:rFonts w:cs="Arial"/>
                <w:sz w:val="20"/>
                <w:szCs w:val="20"/>
              </w:rPr>
            </w:pPr>
            <w:r w:rsidRPr="00BF210F">
              <w:rPr>
                <w:rFonts w:cs="Arial"/>
                <w:sz w:val="20"/>
                <w:szCs w:val="20"/>
              </w:rPr>
              <w:t>0.453</w:t>
            </w:r>
          </w:p>
        </w:tc>
        <w:tc>
          <w:tcPr>
            <w:tcW w:w="1539" w:type="dxa"/>
          </w:tcPr>
          <w:p w14:paraId="261A7ADB" w14:textId="77777777" w:rsidR="008E4836" w:rsidRPr="00BF210F" w:rsidRDefault="008E4836" w:rsidP="00D66A20">
            <w:pPr>
              <w:jc w:val="center"/>
              <w:rPr>
                <w:rFonts w:cs="Arial"/>
                <w:sz w:val="20"/>
                <w:szCs w:val="20"/>
              </w:rPr>
            </w:pPr>
            <w:r w:rsidRPr="00BF210F">
              <w:rPr>
                <w:rFonts w:cs="Arial"/>
                <w:sz w:val="20"/>
                <w:szCs w:val="20"/>
              </w:rPr>
              <w:t>0.0</w:t>
            </w:r>
          </w:p>
        </w:tc>
        <w:tc>
          <w:tcPr>
            <w:tcW w:w="1446" w:type="dxa"/>
          </w:tcPr>
          <w:p w14:paraId="60E7F36E" w14:textId="77777777" w:rsidR="008E4836" w:rsidRPr="00BF210F" w:rsidRDefault="008E4836" w:rsidP="00D66A20">
            <w:pPr>
              <w:jc w:val="center"/>
              <w:rPr>
                <w:rFonts w:cs="Arial"/>
                <w:sz w:val="20"/>
                <w:szCs w:val="20"/>
              </w:rPr>
            </w:pPr>
            <w:r w:rsidRPr="00BF210F">
              <w:rPr>
                <w:rFonts w:cs="Arial"/>
                <w:sz w:val="20"/>
                <w:szCs w:val="20"/>
              </w:rPr>
              <w:t>0.502</w:t>
            </w:r>
          </w:p>
        </w:tc>
      </w:tr>
      <w:tr w:rsidR="008E4836" w:rsidRPr="00BF210F" w14:paraId="6E9585B3" w14:textId="77777777" w:rsidTr="00632CFE">
        <w:tc>
          <w:tcPr>
            <w:tcW w:w="2098" w:type="dxa"/>
          </w:tcPr>
          <w:p w14:paraId="7493CC80" w14:textId="77777777" w:rsidR="008E4836" w:rsidRPr="00BF210F" w:rsidRDefault="008E4836" w:rsidP="00D66A20">
            <w:pPr>
              <w:jc w:val="center"/>
              <w:rPr>
                <w:rFonts w:cs="Arial"/>
                <w:sz w:val="20"/>
                <w:szCs w:val="20"/>
              </w:rPr>
            </w:pPr>
            <w:r w:rsidRPr="00BF210F">
              <w:rPr>
                <w:rFonts w:cs="Arial"/>
                <w:sz w:val="20"/>
                <w:szCs w:val="20"/>
              </w:rPr>
              <w:t>Van Zyl 2018</w:t>
            </w:r>
          </w:p>
        </w:tc>
        <w:tc>
          <w:tcPr>
            <w:tcW w:w="1362" w:type="dxa"/>
          </w:tcPr>
          <w:p w14:paraId="6519339F" w14:textId="77777777" w:rsidR="008E4836" w:rsidRPr="00BF210F" w:rsidRDefault="008E4836" w:rsidP="00D66A20">
            <w:pPr>
              <w:jc w:val="center"/>
              <w:rPr>
                <w:rFonts w:cs="Arial"/>
                <w:sz w:val="20"/>
                <w:szCs w:val="20"/>
              </w:rPr>
            </w:pPr>
            <w:r w:rsidRPr="00BF210F">
              <w:rPr>
                <w:rFonts w:cs="Arial"/>
                <w:sz w:val="20"/>
                <w:szCs w:val="20"/>
              </w:rPr>
              <w:t>1.16</w:t>
            </w:r>
          </w:p>
        </w:tc>
        <w:tc>
          <w:tcPr>
            <w:tcW w:w="1362" w:type="dxa"/>
          </w:tcPr>
          <w:p w14:paraId="12DE54F9" w14:textId="77777777" w:rsidR="008E4836" w:rsidRPr="00BF210F" w:rsidRDefault="008E4836" w:rsidP="00D66A20">
            <w:pPr>
              <w:jc w:val="center"/>
              <w:rPr>
                <w:rFonts w:cs="Arial"/>
                <w:sz w:val="20"/>
                <w:szCs w:val="20"/>
              </w:rPr>
            </w:pPr>
            <w:r w:rsidRPr="00BF210F">
              <w:rPr>
                <w:rFonts w:cs="Arial"/>
                <w:sz w:val="20"/>
                <w:szCs w:val="20"/>
              </w:rPr>
              <w:t>0.91-1.47</w:t>
            </w:r>
          </w:p>
        </w:tc>
        <w:tc>
          <w:tcPr>
            <w:tcW w:w="1362" w:type="dxa"/>
          </w:tcPr>
          <w:p w14:paraId="766E91BF" w14:textId="77777777" w:rsidR="008E4836" w:rsidRPr="00BF210F" w:rsidRDefault="008E4836" w:rsidP="00D66A20">
            <w:pPr>
              <w:jc w:val="center"/>
              <w:rPr>
                <w:rFonts w:cs="Arial"/>
                <w:sz w:val="20"/>
                <w:szCs w:val="20"/>
              </w:rPr>
            </w:pPr>
            <w:r w:rsidRPr="00BF210F">
              <w:rPr>
                <w:rFonts w:cs="Arial"/>
                <w:sz w:val="20"/>
                <w:szCs w:val="20"/>
              </w:rPr>
              <w:t>0.237</w:t>
            </w:r>
          </w:p>
        </w:tc>
        <w:tc>
          <w:tcPr>
            <w:tcW w:w="1539" w:type="dxa"/>
          </w:tcPr>
          <w:p w14:paraId="0ADA3C8F" w14:textId="77777777" w:rsidR="008E4836" w:rsidRPr="00BF210F" w:rsidRDefault="008E4836" w:rsidP="00D66A20">
            <w:pPr>
              <w:jc w:val="center"/>
              <w:rPr>
                <w:rFonts w:cs="Arial"/>
                <w:sz w:val="20"/>
                <w:szCs w:val="20"/>
              </w:rPr>
            </w:pPr>
            <w:r w:rsidRPr="00BF210F">
              <w:rPr>
                <w:rFonts w:cs="Arial"/>
                <w:sz w:val="20"/>
                <w:szCs w:val="20"/>
              </w:rPr>
              <w:t>3.0</w:t>
            </w:r>
          </w:p>
        </w:tc>
        <w:tc>
          <w:tcPr>
            <w:tcW w:w="1446" w:type="dxa"/>
          </w:tcPr>
          <w:p w14:paraId="7151EA46" w14:textId="77777777" w:rsidR="008E4836" w:rsidRPr="00BF210F" w:rsidRDefault="008E4836" w:rsidP="00D66A20">
            <w:pPr>
              <w:jc w:val="center"/>
              <w:rPr>
                <w:rFonts w:cs="Arial"/>
                <w:sz w:val="20"/>
                <w:szCs w:val="20"/>
              </w:rPr>
            </w:pPr>
            <w:r w:rsidRPr="00BF210F">
              <w:rPr>
                <w:rFonts w:cs="Arial"/>
                <w:sz w:val="20"/>
                <w:szCs w:val="20"/>
              </w:rPr>
              <w:t>0.403</w:t>
            </w:r>
          </w:p>
        </w:tc>
      </w:tr>
      <w:tr w:rsidR="008E4836" w:rsidRPr="00BF210F" w14:paraId="609374BD" w14:textId="77777777" w:rsidTr="00632CFE">
        <w:tc>
          <w:tcPr>
            <w:tcW w:w="2098" w:type="dxa"/>
          </w:tcPr>
          <w:p w14:paraId="7937110B" w14:textId="77777777" w:rsidR="008E4836" w:rsidRPr="00BF210F" w:rsidRDefault="008E4836" w:rsidP="00D66A20">
            <w:pPr>
              <w:jc w:val="center"/>
              <w:rPr>
                <w:rFonts w:cs="Arial"/>
                <w:sz w:val="20"/>
                <w:szCs w:val="20"/>
              </w:rPr>
            </w:pPr>
            <w:r w:rsidRPr="00BF210F">
              <w:rPr>
                <w:rFonts w:cs="Arial"/>
                <w:sz w:val="20"/>
                <w:szCs w:val="20"/>
              </w:rPr>
              <w:t>Bhatia 2019</w:t>
            </w:r>
          </w:p>
        </w:tc>
        <w:tc>
          <w:tcPr>
            <w:tcW w:w="1362" w:type="dxa"/>
          </w:tcPr>
          <w:p w14:paraId="5095DE49" w14:textId="77777777" w:rsidR="008E4836" w:rsidRPr="00BF210F" w:rsidRDefault="008E4836" w:rsidP="00D66A20">
            <w:pPr>
              <w:jc w:val="center"/>
              <w:rPr>
                <w:rFonts w:cs="Arial"/>
                <w:sz w:val="20"/>
                <w:szCs w:val="20"/>
              </w:rPr>
            </w:pPr>
            <w:r w:rsidRPr="00BF210F">
              <w:rPr>
                <w:rFonts w:cs="Arial"/>
                <w:sz w:val="20"/>
                <w:szCs w:val="20"/>
              </w:rPr>
              <w:t>1.14</w:t>
            </w:r>
          </w:p>
        </w:tc>
        <w:tc>
          <w:tcPr>
            <w:tcW w:w="1362" w:type="dxa"/>
          </w:tcPr>
          <w:p w14:paraId="207D8A23" w14:textId="77777777" w:rsidR="008E4836" w:rsidRPr="00BF210F" w:rsidRDefault="008E4836" w:rsidP="00D66A20">
            <w:pPr>
              <w:jc w:val="center"/>
              <w:rPr>
                <w:rFonts w:cs="Arial"/>
                <w:sz w:val="20"/>
                <w:szCs w:val="20"/>
              </w:rPr>
            </w:pPr>
            <w:r w:rsidRPr="00BF210F">
              <w:rPr>
                <w:rFonts w:cs="Arial"/>
                <w:sz w:val="20"/>
                <w:szCs w:val="20"/>
              </w:rPr>
              <w:t>0.89-1.45</w:t>
            </w:r>
          </w:p>
        </w:tc>
        <w:tc>
          <w:tcPr>
            <w:tcW w:w="1362" w:type="dxa"/>
          </w:tcPr>
          <w:p w14:paraId="0B291E9C" w14:textId="77777777" w:rsidR="008E4836" w:rsidRPr="00BF210F" w:rsidRDefault="008E4836" w:rsidP="00D66A20">
            <w:pPr>
              <w:jc w:val="center"/>
              <w:rPr>
                <w:rFonts w:cs="Arial"/>
                <w:sz w:val="20"/>
                <w:szCs w:val="20"/>
              </w:rPr>
            </w:pPr>
            <w:r w:rsidRPr="00BF210F">
              <w:rPr>
                <w:rFonts w:cs="Arial"/>
                <w:sz w:val="20"/>
                <w:szCs w:val="20"/>
              </w:rPr>
              <w:t>0.306</w:t>
            </w:r>
          </w:p>
        </w:tc>
        <w:tc>
          <w:tcPr>
            <w:tcW w:w="1539" w:type="dxa"/>
          </w:tcPr>
          <w:p w14:paraId="4387FB7F" w14:textId="77777777" w:rsidR="008E4836" w:rsidRPr="00BF210F" w:rsidRDefault="008E4836" w:rsidP="00D66A20">
            <w:pPr>
              <w:jc w:val="center"/>
              <w:rPr>
                <w:rFonts w:cs="Arial"/>
                <w:sz w:val="20"/>
                <w:szCs w:val="20"/>
              </w:rPr>
            </w:pPr>
            <w:r w:rsidRPr="00BF210F">
              <w:rPr>
                <w:rFonts w:cs="Arial"/>
                <w:sz w:val="20"/>
                <w:szCs w:val="20"/>
              </w:rPr>
              <w:t>6.6</w:t>
            </w:r>
          </w:p>
        </w:tc>
        <w:tc>
          <w:tcPr>
            <w:tcW w:w="1446" w:type="dxa"/>
          </w:tcPr>
          <w:p w14:paraId="52C81326" w14:textId="77777777" w:rsidR="008E4836" w:rsidRPr="00BF210F" w:rsidRDefault="008E4836" w:rsidP="00D66A20">
            <w:pPr>
              <w:jc w:val="center"/>
              <w:rPr>
                <w:rFonts w:cs="Arial"/>
                <w:sz w:val="20"/>
                <w:szCs w:val="20"/>
              </w:rPr>
            </w:pPr>
            <w:r w:rsidRPr="00BF210F">
              <w:rPr>
                <w:rFonts w:cs="Arial"/>
                <w:sz w:val="20"/>
                <w:szCs w:val="20"/>
              </w:rPr>
              <w:t>0.378</w:t>
            </w:r>
          </w:p>
        </w:tc>
      </w:tr>
      <w:tr w:rsidR="008E4836" w:rsidRPr="00BF210F" w14:paraId="3D59A5F9" w14:textId="77777777" w:rsidTr="00632CFE">
        <w:tc>
          <w:tcPr>
            <w:tcW w:w="2098" w:type="dxa"/>
          </w:tcPr>
          <w:p w14:paraId="13F271FF" w14:textId="77777777" w:rsidR="008E4836" w:rsidRPr="00BF210F" w:rsidRDefault="008E4836" w:rsidP="00D66A20">
            <w:pPr>
              <w:jc w:val="center"/>
              <w:rPr>
                <w:rFonts w:cs="Arial"/>
                <w:sz w:val="20"/>
                <w:szCs w:val="20"/>
              </w:rPr>
            </w:pPr>
            <w:r w:rsidRPr="00BF210F">
              <w:rPr>
                <w:rFonts w:cs="Arial"/>
                <w:sz w:val="20"/>
                <w:szCs w:val="20"/>
              </w:rPr>
              <w:t>Brandao 2019</w:t>
            </w:r>
          </w:p>
        </w:tc>
        <w:tc>
          <w:tcPr>
            <w:tcW w:w="1362" w:type="dxa"/>
          </w:tcPr>
          <w:p w14:paraId="570BF65D" w14:textId="77777777" w:rsidR="008E4836" w:rsidRPr="00BF210F" w:rsidRDefault="008E4836" w:rsidP="00D66A20">
            <w:pPr>
              <w:jc w:val="center"/>
              <w:rPr>
                <w:rFonts w:cs="Arial"/>
                <w:sz w:val="20"/>
                <w:szCs w:val="20"/>
              </w:rPr>
            </w:pPr>
            <w:r w:rsidRPr="00BF210F">
              <w:rPr>
                <w:rFonts w:cs="Arial"/>
                <w:sz w:val="20"/>
                <w:szCs w:val="20"/>
              </w:rPr>
              <w:t>1.07</w:t>
            </w:r>
          </w:p>
        </w:tc>
        <w:tc>
          <w:tcPr>
            <w:tcW w:w="1362" w:type="dxa"/>
          </w:tcPr>
          <w:p w14:paraId="00F72681" w14:textId="77777777" w:rsidR="008E4836" w:rsidRPr="00BF210F" w:rsidRDefault="008E4836" w:rsidP="00D66A20">
            <w:pPr>
              <w:jc w:val="center"/>
              <w:rPr>
                <w:rFonts w:cs="Arial"/>
                <w:sz w:val="20"/>
                <w:szCs w:val="20"/>
              </w:rPr>
            </w:pPr>
            <w:r w:rsidRPr="00BF210F">
              <w:rPr>
                <w:rFonts w:cs="Arial"/>
                <w:sz w:val="20"/>
                <w:szCs w:val="20"/>
              </w:rPr>
              <w:t>0.84-1.36</w:t>
            </w:r>
          </w:p>
        </w:tc>
        <w:tc>
          <w:tcPr>
            <w:tcW w:w="1362" w:type="dxa"/>
          </w:tcPr>
          <w:p w14:paraId="248CD8BD" w14:textId="77777777" w:rsidR="008E4836" w:rsidRPr="00BF210F" w:rsidRDefault="008E4836" w:rsidP="00D66A20">
            <w:pPr>
              <w:jc w:val="center"/>
              <w:rPr>
                <w:rFonts w:cs="Arial"/>
                <w:sz w:val="20"/>
                <w:szCs w:val="20"/>
              </w:rPr>
            </w:pPr>
            <w:r w:rsidRPr="00BF210F">
              <w:rPr>
                <w:rFonts w:cs="Arial"/>
                <w:sz w:val="20"/>
                <w:szCs w:val="20"/>
              </w:rPr>
              <w:t>0.576</w:t>
            </w:r>
          </w:p>
        </w:tc>
        <w:tc>
          <w:tcPr>
            <w:tcW w:w="1539" w:type="dxa"/>
          </w:tcPr>
          <w:p w14:paraId="4A639524" w14:textId="77777777" w:rsidR="008E4836" w:rsidRPr="00BF210F" w:rsidRDefault="008E4836" w:rsidP="00D66A20">
            <w:pPr>
              <w:jc w:val="center"/>
              <w:rPr>
                <w:rFonts w:cs="Arial"/>
                <w:sz w:val="20"/>
                <w:szCs w:val="20"/>
              </w:rPr>
            </w:pPr>
            <w:r w:rsidRPr="00BF210F">
              <w:rPr>
                <w:rFonts w:cs="Arial"/>
                <w:sz w:val="20"/>
                <w:szCs w:val="20"/>
              </w:rPr>
              <w:t>0.0</w:t>
            </w:r>
          </w:p>
        </w:tc>
        <w:tc>
          <w:tcPr>
            <w:tcW w:w="1446" w:type="dxa"/>
          </w:tcPr>
          <w:p w14:paraId="695D5A2F" w14:textId="77777777" w:rsidR="008E4836" w:rsidRPr="00BF210F" w:rsidRDefault="008E4836" w:rsidP="00D66A20">
            <w:pPr>
              <w:jc w:val="center"/>
              <w:rPr>
                <w:rFonts w:cs="Arial"/>
                <w:sz w:val="20"/>
                <w:szCs w:val="20"/>
              </w:rPr>
            </w:pPr>
            <w:r w:rsidRPr="00BF210F">
              <w:rPr>
                <w:rFonts w:cs="Arial"/>
                <w:sz w:val="20"/>
                <w:szCs w:val="20"/>
              </w:rPr>
              <w:t>0.705</w:t>
            </w:r>
          </w:p>
        </w:tc>
      </w:tr>
      <w:tr w:rsidR="008E4836" w:rsidRPr="00BF210F" w14:paraId="662A8A25" w14:textId="77777777" w:rsidTr="00632CFE">
        <w:tc>
          <w:tcPr>
            <w:tcW w:w="2098" w:type="dxa"/>
          </w:tcPr>
          <w:p w14:paraId="334126B0" w14:textId="77777777" w:rsidR="008E4836" w:rsidRPr="00BF210F" w:rsidRDefault="008E4836" w:rsidP="00D66A20">
            <w:pPr>
              <w:jc w:val="center"/>
              <w:rPr>
                <w:rFonts w:cs="Arial"/>
                <w:sz w:val="20"/>
                <w:szCs w:val="20"/>
              </w:rPr>
            </w:pPr>
            <w:r w:rsidRPr="00BF210F">
              <w:rPr>
                <w:rFonts w:cs="Arial"/>
                <w:sz w:val="20"/>
                <w:szCs w:val="20"/>
              </w:rPr>
              <w:t>Phakathi 2019</w:t>
            </w:r>
          </w:p>
        </w:tc>
        <w:tc>
          <w:tcPr>
            <w:tcW w:w="1362" w:type="dxa"/>
          </w:tcPr>
          <w:p w14:paraId="6575F09F" w14:textId="77777777" w:rsidR="008E4836" w:rsidRPr="00BF210F" w:rsidRDefault="008E4836" w:rsidP="00D66A20">
            <w:pPr>
              <w:jc w:val="center"/>
              <w:rPr>
                <w:rFonts w:cs="Arial"/>
                <w:sz w:val="20"/>
                <w:szCs w:val="20"/>
              </w:rPr>
            </w:pPr>
            <w:r w:rsidRPr="00BF210F">
              <w:rPr>
                <w:rFonts w:cs="Arial"/>
                <w:sz w:val="20"/>
                <w:szCs w:val="20"/>
              </w:rPr>
              <w:t>1.10</w:t>
            </w:r>
          </w:p>
        </w:tc>
        <w:tc>
          <w:tcPr>
            <w:tcW w:w="1362" w:type="dxa"/>
          </w:tcPr>
          <w:p w14:paraId="789CF6EC" w14:textId="77777777" w:rsidR="008E4836" w:rsidRPr="00BF210F" w:rsidRDefault="008E4836" w:rsidP="00D66A20">
            <w:pPr>
              <w:jc w:val="center"/>
              <w:rPr>
                <w:rFonts w:cs="Arial"/>
                <w:sz w:val="20"/>
                <w:szCs w:val="20"/>
              </w:rPr>
            </w:pPr>
            <w:r w:rsidRPr="00BF210F">
              <w:rPr>
                <w:rFonts w:cs="Arial"/>
                <w:sz w:val="20"/>
                <w:szCs w:val="20"/>
              </w:rPr>
              <w:t>0.83-1.46</w:t>
            </w:r>
          </w:p>
        </w:tc>
        <w:tc>
          <w:tcPr>
            <w:tcW w:w="1362" w:type="dxa"/>
          </w:tcPr>
          <w:p w14:paraId="38B9C2E8" w14:textId="77777777" w:rsidR="008E4836" w:rsidRPr="00BF210F" w:rsidRDefault="008E4836" w:rsidP="00D66A20">
            <w:pPr>
              <w:jc w:val="center"/>
              <w:rPr>
                <w:rFonts w:cs="Arial"/>
                <w:sz w:val="20"/>
                <w:szCs w:val="20"/>
              </w:rPr>
            </w:pPr>
            <w:r w:rsidRPr="00BF210F">
              <w:rPr>
                <w:rFonts w:cs="Arial"/>
                <w:sz w:val="20"/>
                <w:szCs w:val="20"/>
              </w:rPr>
              <w:t>0.519</w:t>
            </w:r>
          </w:p>
        </w:tc>
        <w:tc>
          <w:tcPr>
            <w:tcW w:w="1539" w:type="dxa"/>
          </w:tcPr>
          <w:p w14:paraId="49770BD5" w14:textId="77777777" w:rsidR="008E4836" w:rsidRPr="00BF210F" w:rsidRDefault="008E4836" w:rsidP="00D66A20">
            <w:pPr>
              <w:jc w:val="center"/>
              <w:rPr>
                <w:rFonts w:cs="Arial"/>
                <w:sz w:val="20"/>
                <w:szCs w:val="20"/>
              </w:rPr>
            </w:pPr>
            <w:r w:rsidRPr="00BF210F">
              <w:rPr>
                <w:rFonts w:cs="Arial"/>
                <w:sz w:val="20"/>
                <w:szCs w:val="20"/>
              </w:rPr>
              <w:t>3.3</w:t>
            </w:r>
          </w:p>
        </w:tc>
        <w:tc>
          <w:tcPr>
            <w:tcW w:w="1446" w:type="dxa"/>
          </w:tcPr>
          <w:p w14:paraId="770DC424" w14:textId="77777777" w:rsidR="008E4836" w:rsidRPr="00BF210F" w:rsidRDefault="008E4836" w:rsidP="00D66A20">
            <w:pPr>
              <w:jc w:val="center"/>
              <w:rPr>
                <w:rFonts w:cs="Arial"/>
                <w:sz w:val="20"/>
                <w:szCs w:val="20"/>
              </w:rPr>
            </w:pPr>
            <w:r w:rsidRPr="00BF210F">
              <w:rPr>
                <w:rFonts w:cs="Arial"/>
                <w:sz w:val="20"/>
                <w:szCs w:val="20"/>
              </w:rPr>
              <w:t>0.400</w:t>
            </w:r>
          </w:p>
        </w:tc>
      </w:tr>
      <w:tr w:rsidR="008E4836" w:rsidRPr="00BF210F" w14:paraId="4D725D01" w14:textId="77777777" w:rsidTr="00632CFE">
        <w:tc>
          <w:tcPr>
            <w:tcW w:w="2098" w:type="dxa"/>
          </w:tcPr>
          <w:p w14:paraId="09028B08" w14:textId="77777777" w:rsidR="008E4836" w:rsidRPr="00BF210F" w:rsidRDefault="008E4836" w:rsidP="00D66A20">
            <w:pPr>
              <w:jc w:val="center"/>
              <w:rPr>
                <w:rFonts w:cs="Arial"/>
                <w:sz w:val="20"/>
                <w:szCs w:val="20"/>
              </w:rPr>
            </w:pPr>
            <w:r w:rsidRPr="00BF210F">
              <w:rPr>
                <w:rFonts w:cs="Arial"/>
                <w:sz w:val="20"/>
                <w:szCs w:val="20"/>
              </w:rPr>
              <w:t>Sadigh 2019</w:t>
            </w:r>
          </w:p>
        </w:tc>
        <w:tc>
          <w:tcPr>
            <w:tcW w:w="1362" w:type="dxa"/>
          </w:tcPr>
          <w:p w14:paraId="419C605D" w14:textId="77777777" w:rsidR="008E4836" w:rsidRPr="00BF210F" w:rsidRDefault="008E4836" w:rsidP="00D66A20">
            <w:pPr>
              <w:jc w:val="center"/>
              <w:rPr>
                <w:rFonts w:cs="Arial"/>
                <w:sz w:val="20"/>
                <w:szCs w:val="20"/>
              </w:rPr>
            </w:pPr>
            <w:r w:rsidRPr="00BF210F">
              <w:rPr>
                <w:rFonts w:cs="Arial"/>
                <w:sz w:val="20"/>
                <w:szCs w:val="20"/>
              </w:rPr>
              <w:t>1.17</w:t>
            </w:r>
          </w:p>
        </w:tc>
        <w:tc>
          <w:tcPr>
            <w:tcW w:w="1362" w:type="dxa"/>
          </w:tcPr>
          <w:p w14:paraId="27299AF1" w14:textId="77777777" w:rsidR="008E4836" w:rsidRPr="00BF210F" w:rsidRDefault="008E4836" w:rsidP="00D66A20">
            <w:pPr>
              <w:jc w:val="center"/>
              <w:rPr>
                <w:rFonts w:cs="Arial"/>
                <w:sz w:val="20"/>
                <w:szCs w:val="20"/>
              </w:rPr>
            </w:pPr>
            <w:r w:rsidRPr="00BF210F">
              <w:rPr>
                <w:rFonts w:cs="Arial"/>
                <w:sz w:val="20"/>
                <w:szCs w:val="20"/>
              </w:rPr>
              <w:t>0.90-1.51</w:t>
            </w:r>
          </w:p>
        </w:tc>
        <w:tc>
          <w:tcPr>
            <w:tcW w:w="1362" w:type="dxa"/>
          </w:tcPr>
          <w:p w14:paraId="0229CA26" w14:textId="77777777" w:rsidR="008E4836" w:rsidRPr="00BF210F" w:rsidRDefault="008E4836" w:rsidP="00D66A20">
            <w:pPr>
              <w:jc w:val="center"/>
              <w:rPr>
                <w:rFonts w:cs="Arial"/>
                <w:sz w:val="20"/>
                <w:szCs w:val="20"/>
              </w:rPr>
            </w:pPr>
            <w:r w:rsidRPr="00BF210F">
              <w:rPr>
                <w:rFonts w:cs="Arial"/>
                <w:sz w:val="20"/>
                <w:szCs w:val="20"/>
              </w:rPr>
              <w:t>0.233</w:t>
            </w:r>
          </w:p>
        </w:tc>
        <w:tc>
          <w:tcPr>
            <w:tcW w:w="1539" w:type="dxa"/>
          </w:tcPr>
          <w:p w14:paraId="183CC8EE" w14:textId="77777777" w:rsidR="008E4836" w:rsidRPr="00BF210F" w:rsidRDefault="008E4836" w:rsidP="00D66A20">
            <w:pPr>
              <w:jc w:val="center"/>
              <w:rPr>
                <w:rFonts w:cs="Arial"/>
                <w:sz w:val="20"/>
                <w:szCs w:val="20"/>
              </w:rPr>
            </w:pPr>
            <w:r w:rsidRPr="00BF210F">
              <w:rPr>
                <w:rFonts w:cs="Arial"/>
                <w:sz w:val="20"/>
                <w:szCs w:val="20"/>
              </w:rPr>
              <w:t>3.5</w:t>
            </w:r>
          </w:p>
        </w:tc>
        <w:tc>
          <w:tcPr>
            <w:tcW w:w="1446" w:type="dxa"/>
          </w:tcPr>
          <w:p w14:paraId="6EF523FC" w14:textId="77777777" w:rsidR="008E4836" w:rsidRPr="00BF210F" w:rsidRDefault="008E4836" w:rsidP="00D66A20">
            <w:pPr>
              <w:jc w:val="center"/>
              <w:rPr>
                <w:rFonts w:cs="Arial"/>
                <w:sz w:val="20"/>
                <w:szCs w:val="20"/>
              </w:rPr>
            </w:pPr>
            <w:r w:rsidRPr="00BF210F">
              <w:rPr>
                <w:rFonts w:cs="Arial"/>
                <w:sz w:val="20"/>
                <w:szCs w:val="20"/>
              </w:rPr>
              <w:t>0.399</w:t>
            </w:r>
          </w:p>
        </w:tc>
      </w:tr>
    </w:tbl>
    <w:p w14:paraId="7CFA229F" w14:textId="77777777" w:rsidR="005E698C" w:rsidRPr="00BF210F" w:rsidRDefault="005E698C" w:rsidP="005E698C">
      <w:pPr>
        <w:rPr>
          <w:rFonts w:cs="Arial"/>
          <w:sz w:val="16"/>
          <w:szCs w:val="16"/>
          <w:lang w:val="en-US"/>
        </w:rPr>
      </w:pPr>
      <w:r w:rsidRPr="00BF210F">
        <w:rPr>
          <w:rFonts w:cs="Arial"/>
          <w:sz w:val="16"/>
          <w:szCs w:val="16"/>
          <w:lang w:val="en-US"/>
        </w:rPr>
        <w:t>CI: confidence interval; OR: odds ratio.</w:t>
      </w:r>
    </w:p>
    <w:p w14:paraId="3766BCEA" w14:textId="77777777" w:rsidR="008E4836" w:rsidRPr="00BF210F" w:rsidRDefault="008E4836" w:rsidP="00D66A20">
      <w:pPr>
        <w:rPr>
          <w:rFonts w:cs="Arial"/>
          <w:sz w:val="20"/>
          <w:lang w:val="en-US"/>
        </w:rPr>
      </w:pPr>
    </w:p>
    <w:p w14:paraId="244AC2B8" w14:textId="700E9342" w:rsidR="00443FB3" w:rsidRPr="00BF210F" w:rsidRDefault="00443FB3" w:rsidP="00D66A20">
      <w:pPr>
        <w:rPr>
          <w:rFonts w:cs="Arial"/>
          <w:lang w:val="en-US"/>
        </w:rPr>
      </w:pPr>
      <w:r w:rsidRPr="00BF210F">
        <w:rPr>
          <w:rFonts w:cs="Arial"/>
          <w:lang w:val="en-US"/>
        </w:rPr>
        <w:br w:type="page"/>
      </w:r>
    </w:p>
    <w:p w14:paraId="631CE316" w14:textId="43E804C8" w:rsidR="00A324DC" w:rsidRPr="00BF210F" w:rsidRDefault="00BF210F" w:rsidP="00D66A20">
      <w:pPr>
        <w:rPr>
          <w:rFonts w:cs="Arial"/>
          <w:b/>
          <w:sz w:val="24"/>
          <w:szCs w:val="24"/>
          <w:lang w:val="en-US"/>
        </w:rPr>
      </w:pPr>
      <w:r>
        <w:rPr>
          <w:rFonts w:cs="Arial"/>
          <w:b/>
          <w:sz w:val="24"/>
          <w:szCs w:val="24"/>
          <w:lang w:val="en-US"/>
        </w:rPr>
        <w:lastRenderedPageBreak/>
        <w:t xml:space="preserve">Supplementary </w:t>
      </w:r>
      <w:r w:rsidR="00443FB3" w:rsidRPr="00BF210F">
        <w:rPr>
          <w:rFonts w:cs="Arial"/>
          <w:b/>
          <w:sz w:val="24"/>
          <w:szCs w:val="24"/>
          <w:lang w:val="en-US"/>
        </w:rPr>
        <w:t>Figure 1</w:t>
      </w:r>
      <w:r w:rsidR="001603F4" w:rsidRPr="00BF210F">
        <w:rPr>
          <w:rFonts w:cs="Arial"/>
          <w:b/>
          <w:sz w:val="24"/>
          <w:szCs w:val="24"/>
          <w:lang w:val="en-US"/>
        </w:rPr>
        <w:t>2</w:t>
      </w:r>
      <w:r w:rsidR="00636756" w:rsidRPr="00BF210F">
        <w:rPr>
          <w:rFonts w:cs="Arial"/>
          <w:b/>
          <w:sz w:val="24"/>
          <w:szCs w:val="24"/>
          <w:lang w:val="en-US"/>
        </w:rPr>
        <w:t xml:space="preserve"> –</w:t>
      </w:r>
      <w:r w:rsidR="00443FB3" w:rsidRPr="00BF210F">
        <w:rPr>
          <w:rFonts w:cs="Arial"/>
          <w:b/>
          <w:sz w:val="24"/>
          <w:szCs w:val="24"/>
          <w:lang w:val="en-US"/>
        </w:rPr>
        <w:t xml:space="preserve"> Meta-analysis </w:t>
      </w:r>
      <w:r w:rsidR="001603F4" w:rsidRPr="00BF210F">
        <w:rPr>
          <w:rFonts w:cs="Arial"/>
          <w:b/>
          <w:sz w:val="24"/>
          <w:szCs w:val="24"/>
          <w:lang w:val="en-US"/>
        </w:rPr>
        <w:t xml:space="preserve">of the odds of presenting with </w:t>
      </w:r>
      <w:r w:rsidR="00443FB3" w:rsidRPr="00BF210F">
        <w:rPr>
          <w:rFonts w:cs="Arial"/>
          <w:b/>
          <w:sz w:val="24"/>
          <w:szCs w:val="24"/>
          <w:lang w:val="en-US"/>
        </w:rPr>
        <w:t xml:space="preserve">stage 0/I at diagnosis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A324DC" w:rsidRPr="00BF210F">
        <w:rPr>
          <w:rFonts w:cs="Arial"/>
          <w:b/>
          <w:sz w:val="24"/>
          <w:szCs w:val="24"/>
          <w:lang w:val="en-US"/>
        </w:rPr>
        <w:t>.</w:t>
      </w:r>
    </w:p>
    <w:p w14:paraId="66409F74" w14:textId="77777777" w:rsidR="00443FB3" w:rsidRPr="00BF210F" w:rsidRDefault="00896EA9" w:rsidP="00D66A20">
      <w:pPr>
        <w:rPr>
          <w:rFonts w:cs="Arial"/>
          <w:lang w:val="en-US"/>
        </w:rPr>
      </w:pPr>
      <w:r w:rsidRPr="00BF210F">
        <w:rPr>
          <w:rFonts w:cs="Arial"/>
          <w:noProof/>
          <w:lang w:val="pt-PT" w:eastAsia="pt-PT"/>
        </w:rPr>
        <mc:AlternateContent>
          <mc:Choice Requires="wps">
            <w:drawing>
              <wp:anchor distT="0" distB="0" distL="114300" distR="114300" simplePos="0" relativeHeight="251659264" behindDoc="0" locked="0" layoutInCell="1" allowOverlap="1" wp14:anchorId="15CE6AD6" wp14:editId="2AE5541B">
                <wp:simplePos x="0" y="0"/>
                <wp:positionH relativeFrom="column">
                  <wp:posOffset>1794510</wp:posOffset>
                </wp:positionH>
                <wp:positionV relativeFrom="paragraph">
                  <wp:posOffset>3999865</wp:posOffset>
                </wp:positionV>
                <wp:extent cx="889000" cy="222250"/>
                <wp:effectExtent l="0" t="0" r="0" b="0"/>
                <wp:wrapNone/>
                <wp:docPr id="28" name="Rectangle 28"/>
                <wp:cNvGraphicFramePr/>
                <a:graphic xmlns:a="http://schemas.openxmlformats.org/drawingml/2006/main">
                  <a:graphicData uri="http://schemas.microsoft.com/office/word/2010/wordprocessingShape">
                    <wps:wsp>
                      <wps:cNvSpPr/>
                      <wps:spPr>
                        <a:xfrm>
                          <a:off x="0" y="0"/>
                          <a:ext cx="889000" cy="2222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B535975" w14:textId="35503C17" w:rsidR="00363D1D" w:rsidRPr="00896EA9" w:rsidRDefault="00363D1D" w:rsidP="00896EA9">
                            <w:pPr>
                              <w:jc w:val="center"/>
                              <w:rPr>
                                <w:sz w:val="16"/>
                                <w:szCs w:val="16"/>
                                <w:lang w:val="en-US"/>
                              </w:rPr>
                            </w:pPr>
                            <w:r>
                              <w:rPr>
                                <w:sz w:val="16"/>
                                <w:szCs w:val="16"/>
                                <w:lang w:val="en-US"/>
                              </w:rPr>
                              <w:t>OR (95% 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CE6AD6" id="Rectangle 28" o:spid="_x0000_s1026" style="position:absolute;margin-left:141.3pt;margin-top:314.95pt;width:70pt;height: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" filled="f" stroked="f" strokeweight="2pt">
                <v:textbox>
                  <w:txbxContent>
                    <w:p w14:paraId="3B535975" w14:textId="35503C17" w:rsidR="00363D1D" w:rsidRPr="00896EA9" w:rsidRDefault="00363D1D" w:rsidP="00896EA9">
                      <w:pPr>
                        <w:jc w:val="center"/>
                        <w:rPr>
                          <w:sz w:val="16"/>
                          <w:szCs w:val="16"/>
                          <w:lang w:val="en-US"/>
                        </w:rPr>
                      </w:pPr>
                      <w:r>
                        <w:rPr>
                          <w:sz w:val="16"/>
                          <w:szCs w:val="16"/>
                          <w:lang w:val="en-US"/>
                        </w:rPr>
                        <w:t>OR (95% CI)</w:t>
                      </w:r>
                    </w:p>
                  </w:txbxContent>
                </v:textbox>
              </v:rect>
            </w:pict>
          </mc:Fallback>
        </mc:AlternateContent>
      </w:r>
      <w:r w:rsidR="00443FB3" w:rsidRPr="00BF210F">
        <w:rPr>
          <w:rFonts w:cs="Arial"/>
          <w:noProof/>
          <w:lang w:val="pt-PT" w:eastAsia="pt-PT"/>
        </w:rPr>
        <w:drawing>
          <wp:inline distT="0" distB="0" distL="0" distR="0" wp14:anchorId="3AD86AC6" wp14:editId="1B84F50A">
            <wp:extent cx="6120130" cy="4351020"/>
            <wp:effectExtent l="0" t="0" r="0" b="0"/>
            <wp:docPr id="20"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4351020"/>
                    </a:xfrm>
                    <a:prstGeom prst="rect">
                      <a:avLst/>
                    </a:prstGeom>
                    <a:noFill/>
                    <a:ln>
                      <a:noFill/>
                    </a:ln>
                  </pic:spPr>
                </pic:pic>
              </a:graphicData>
            </a:graphic>
          </wp:inline>
        </w:drawing>
      </w:r>
    </w:p>
    <w:p w14:paraId="58320486" w14:textId="43094ADE" w:rsidR="00636756" w:rsidRPr="00BF210F" w:rsidRDefault="00636756" w:rsidP="00D66A20">
      <w:pPr>
        <w:rPr>
          <w:rFonts w:cs="Arial"/>
          <w:sz w:val="16"/>
          <w:szCs w:val="16"/>
          <w:lang w:val="en-US"/>
        </w:rPr>
      </w:pPr>
      <w:r w:rsidRPr="00BF210F">
        <w:rPr>
          <w:rFonts w:cs="Arial"/>
          <w:sz w:val="16"/>
          <w:szCs w:val="16"/>
          <w:lang w:val="en-US"/>
        </w:rPr>
        <w:t>Random effect: p&lt;0.001</w:t>
      </w:r>
      <w:r w:rsidR="00FD2339" w:rsidRPr="00BF210F">
        <w:rPr>
          <w:rFonts w:cs="Arial"/>
          <w:sz w:val="16"/>
          <w:szCs w:val="16"/>
          <w:lang w:val="en-US"/>
        </w:rPr>
        <w:t>. CI=confidence interval; OR=odds ratio.</w:t>
      </w:r>
    </w:p>
    <w:p w14:paraId="11E46B4A" w14:textId="77777777" w:rsidR="00443FB3" w:rsidRPr="00BF210F" w:rsidRDefault="00443FB3" w:rsidP="00D66A20">
      <w:pPr>
        <w:rPr>
          <w:rFonts w:cs="Arial"/>
          <w:lang w:val="en-US"/>
        </w:rPr>
      </w:pPr>
    </w:p>
    <w:p w14:paraId="02F4AADC" w14:textId="77777777" w:rsidR="00E423E2" w:rsidRPr="00BF210F" w:rsidRDefault="00E423E2" w:rsidP="00D66A20">
      <w:pPr>
        <w:rPr>
          <w:rFonts w:cs="Arial"/>
          <w:lang w:val="en-US"/>
        </w:rPr>
      </w:pPr>
    </w:p>
    <w:p w14:paraId="7F4B7D81" w14:textId="6CA02BD1" w:rsidR="00A324DC" w:rsidRPr="00BF210F" w:rsidRDefault="00BF210F" w:rsidP="00D66A20">
      <w:pPr>
        <w:rPr>
          <w:rFonts w:cs="Arial"/>
          <w:b/>
          <w:sz w:val="24"/>
          <w:szCs w:val="24"/>
          <w:lang w:val="en-US"/>
        </w:rPr>
      </w:pPr>
      <w:r>
        <w:rPr>
          <w:rFonts w:cs="Arial"/>
          <w:b/>
          <w:sz w:val="24"/>
          <w:szCs w:val="24"/>
          <w:lang w:val="en-US"/>
        </w:rPr>
        <w:t xml:space="preserve">Supplementary </w:t>
      </w:r>
      <w:r w:rsidR="005432BA" w:rsidRPr="00BF210F">
        <w:rPr>
          <w:rFonts w:cs="Arial"/>
          <w:b/>
          <w:sz w:val="24"/>
          <w:szCs w:val="24"/>
          <w:lang w:val="en-US"/>
        </w:rPr>
        <w:t>Table 8</w:t>
      </w:r>
      <w:r w:rsidR="00443FB3" w:rsidRPr="00BF210F">
        <w:rPr>
          <w:rFonts w:cs="Arial"/>
          <w:b/>
          <w:sz w:val="24"/>
          <w:szCs w:val="24"/>
          <w:lang w:val="en-US"/>
        </w:rPr>
        <w:t xml:space="preserve"> – </w:t>
      </w:r>
      <w:r w:rsidR="001603F4" w:rsidRPr="00BF210F">
        <w:rPr>
          <w:rFonts w:cs="Arial"/>
          <w:b/>
          <w:sz w:val="24"/>
          <w:szCs w:val="24"/>
          <w:lang w:val="en-US"/>
        </w:rPr>
        <w:t xml:space="preserve">Sensitivity analysis of the odds of presenting with </w:t>
      </w:r>
      <w:r w:rsidR="00443FB3" w:rsidRPr="00BF210F">
        <w:rPr>
          <w:rFonts w:cs="Arial"/>
          <w:b/>
          <w:sz w:val="24"/>
          <w:szCs w:val="24"/>
          <w:lang w:val="en-US"/>
        </w:rPr>
        <w:t xml:space="preserve">stage 0/I at diagnosis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A324DC" w:rsidRPr="00BF210F">
        <w:rPr>
          <w:rFonts w:cs="Arial"/>
          <w:b/>
          <w:sz w:val="24"/>
          <w:szCs w:val="24"/>
          <w:lang w:val="en-US"/>
        </w:rPr>
        <w:t>.</w:t>
      </w:r>
      <w:r w:rsidR="00896EA9" w:rsidRPr="00BF210F">
        <w:rPr>
          <w:rFonts w:cs="Arial"/>
          <w:b/>
          <w:noProof/>
          <w:sz w:val="24"/>
          <w:szCs w:val="24"/>
          <w:lang w:eastAsia="en-GB"/>
        </w:rPr>
        <w:t xml:space="preserve"> </w:t>
      </w:r>
    </w:p>
    <w:p w14:paraId="0E1AB7ED" w14:textId="77777777" w:rsidR="00443FB3" w:rsidRPr="00BF210F" w:rsidRDefault="00443FB3" w:rsidP="00D66A20">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443FB3" w:rsidRPr="00BF210F" w14:paraId="52641E91" w14:textId="77777777" w:rsidTr="00C25E84">
        <w:tc>
          <w:tcPr>
            <w:tcW w:w="2098" w:type="dxa"/>
            <w:vMerge w:val="restart"/>
          </w:tcPr>
          <w:p w14:paraId="320EC575" w14:textId="77777777" w:rsidR="00443FB3" w:rsidRPr="00BF210F" w:rsidRDefault="00443FB3" w:rsidP="00D66A20">
            <w:pPr>
              <w:jc w:val="center"/>
              <w:rPr>
                <w:rFonts w:cs="Arial"/>
                <w:b/>
                <w:sz w:val="20"/>
                <w:szCs w:val="20"/>
              </w:rPr>
            </w:pPr>
            <w:r w:rsidRPr="00BF210F">
              <w:rPr>
                <w:rFonts w:cs="Arial"/>
                <w:b/>
                <w:sz w:val="20"/>
                <w:szCs w:val="20"/>
              </w:rPr>
              <w:t>Study excluded</w:t>
            </w:r>
          </w:p>
        </w:tc>
        <w:tc>
          <w:tcPr>
            <w:tcW w:w="4086" w:type="dxa"/>
            <w:gridSpan w:val="3"/>
          </w:tcPr>
          <w:p w14:paraId="7BB9E27B" w14:textId="77777777" w:rsidR="00443FB3" w:rsidRPr="00BF210F" w:rsidRDefault="00443FB3" w:rsidP="00D66A20">
            <w:pPr>
              <w:jc w:val="center"/>
              <w:rPr>
                <w:rFonts w:cs="Arial"/>
                <w:b/>
                <w:sz w:val="20"/>
                <w:szCs w:val="20"/>
              </w:rPr>
            </w:pPr>
            <w:r w:rsidRPr="00BF210F">
              <w:rPr>
                <w:rFonts w:cs="Arial"/>
                <w:b/>
                <w:sz w:val="20"/>
                <w:szCs w:val="20"/>
              </w:rPr>
              <w:t>Random effect</w:t>
            </w:r>
          </w:p>
        </w:tc>
        <w:tc>
          <w:tcPr>
            <w:tcW w:w="1539" w:type="dxa"/>
            <w:vMerge w:val="restart"/>
          </w:tcPr>
          <w:p w14:paraId="253285BE" w14:textId="5464D43A" w:rsidR="00443FB3" w:rsidRPr="00BF210F" w:rsidRDefault="00ED1505"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w:t>
            </w:r>
            <w:r w:rsidR="00443FB3" w:rsidRPr="00BF210F">
              <w:rPr>
                <w:rFonts w:cs="Arial"/>
                <w:b/>
                <w:sz w:val="20"/>
                <w:szCs w:val="20"/>
              </w:rPr>
              <w:t>(%)</w:t>
            </w:r>
          </w:p>
        </w:tc>
        <w:tc>
          <w:tcPr>
            <w:tcW w:w="1446" w:type="dxa"/>
            <w:vMerge w:val="restart"/>
          </w:tcPr>
          <w:p w14:paraId="1E4183A5" w14:textId="1E008C8D" w:rsidR="00443FB3" w:rsidRPr="00BF210F" w:rsidRDefault="00ED1505"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 xml:space="preserve">2 </w:t>
            </w:r>
            <w:r w:rsidR="00443FB3" w:rsidRPr="00BF210F">
              <w:rPr>
                <w:rFonts w:cs="Arial"/>
                <w:b/>
                <w:sz w:val="20"/>
                <w:szCs w:val="20"/>
              </w:rPr>
              <w:t>P-value</w:t>
            </w:r>
          </w:p>
        </w:tc>
      </w:tr>
      <w:tr w:rsidR="00443FB3" w:rsidRPr="00BF210F" w14:paraId="26632D4B" w14:textId="77777777" w:rsidTr="00632CFE">
        <w:tc>
          <w:tcPr>
            <w:tcW w:w="2098" w:type="dxa"/>
            <w:vMerge/>
          </w:tcPr>
          <w:p w14:paraId="65F58168" w14:textId="77777777" w:rsidR="00443FB3" w:rsidRPr="00BF210F" w:rsidRDefault="00443FB3" w:rsidP="00D66A20">
            <w:pPr>
              <w:jc w:val="center"/>
              <w:rPr>
                <w:rFonts w:cs="Arial"/>
                <w:b/>
                <w:sz w:val="20"/>
                <w:szCs w:val="20"/>
              </w:rPr>
            </w:pPr>
          </w:p>
        </w:tc>
        <w:tc>
          <w:tcPr>
            <w:tcW w:w="1362" w:type="dxa"/>
          </w:tcPr>
          <w:p w14:paraId="16725FBB" w14:textId="23EA6A34" w:rsidR="00443FB3" w:rsidRPr="00BF210F" w:rsidRDefault="00ED1505" w:rsidP="00D66A20">
            <w:pPr>
              <w:jc w:val="center"/>
              <w:rPr>
                <w:rFonts w:cs="Arial"/>
                <w:b/>
                <w:sz w:val="20"/>
                <w:szCs w:val="20"/>
              </w:rPr>
            </w:pPr>
            <w:r w:rsidRPr="00BF210F">
              <w:rPr>
                <w:rFonts w:cs="Arial"/>
                <w:b/>
                <w:sz w:val="20"/>
                <w:szCs w:val="20"/>
              </w:rPr>
              <w:t xml:space="preserve">Pooled </w:t>
            </w:r>
            <w:r w:rsidR="00443FB3" w:rsidRPr="00BF210F">
              <w:rPr>
                <w:rFonts w:cs="Arial"/>
                <w:b/>
                <w:sz w:val="20"/>
                <w:szCs w:val="20"/>
              </w:rPr>
              <w:t>OR</w:t>
            </w:r>
          </w:p>
        </w:tc>
        <w:tc>
          <w:tcPr>
            <w:tcW w:w="1362" w:type="dxa"/>
          </w:tcPr>
          <w:p w14:paraId="3CCF4075" w14:textId="77777777" w:rsidR="00443FB3" w:rsidRPr="00BF210F" w:rsidRDefault="00443FB3" w:rsidP="00D66A20">
            <w:pPr>
              <w:jc w:val="center"/>
              <w:rPr>
                <w:rFonts w:cs="Arial"/>
                <w:b/>
                <w:sz w:val="20"/>
                <w:szCs w:val="20"/>
              </w:rPr>
            </w:pPr>
            <w:r w:rsidRPr="00BF210F">
              <w:rPr>
                <w:rFonts w:cs="Arial"/>
                <w:b/>
                <w:sz w:val="20"/>
                <w:szCs w:val="20"/>
              </w:rPr>
              <w:t>95% CI</w:t>
            </w:r>
          </w:p>
        </w:tc>
        <w:tc>
          <w:tcPr>
            <w:tcW w:w="1362" w:type="dxa"/>
          </w:tcPr>
          <w:p w14:paraId="75E892D4" w14:textId="77777777" w:rsidR="00443FB3" w:rsidRPr="00BF210F" w:rsidRDefault="00443FB3" w:rsidP="00D66A20">
            <w:pPr>
              <w:jc w:val="center"/>
              <w:rPr>
                <w:rFonts w:cs="Arial"/>
                <w:b/>
                <w:sz w:val="20"/>
                <w:szCs w:val="20"/>
              </w:rPr>
            </w:pPr>
            <w:r w:rsidRPr="00BF210F">
              <w:rPr>
                <w:rFonts w:cs="Arial"/>
                <w:b/>
                <w:sz w:val="20"/>
                <w:szCs w:val="20"/>
              </w:rPr>
              <w:t>P-value</w:t>
            </w:r>
          </w:p>
        </w:tc>
        <w:tc>
          <w:tcPr>
            <w:tcW w:w="1539" w:type="dxa"/>
            <w:vMerge/>
          </w:tcPr>
          <w:p w14:paraId="7655D668" w14:textId="77777777" w:rsidR="00443FB3" w:rsidRPr="00BF210F" w:rsidRDefault="00443FB3" w:rsidP="00D66A20">
            <w:pPr>
              <w:jc w:val="center"/>
              <w:rPr>
                <w:rFonts w:cs="Arial"/>
                <w:b/>
                <w:sz w:val="20"/>
                <w:szCs w:val="20"/>
              </w:rPr>
            </w:pPr>
          </w:p>
        </w:tc>
        <w:tc>
          <w:tcPr>
            <w:tcW w:w="1446" w:type="dxa"/>
            <w:vMerge/>
          </w:tcPr>
          <w:p w14:paraId="560F5CAD" w14:textId="77777777" w:rsidR="00443FB3" w:rsidRPr="00BF210F" w:rsidRDefault="00443FB3" w:rsidP="00D66A20">
            <w:pPr>
              <w:jc w:val="center"/>
              <w:rPr>
                <w:rFonts w:cs="Arial"/>
                <w:b/>
                <w:sz w:val="20"/>
                <w:szCs w:val="20"/>
              </w:rPr>
            </w:pPr>
          </w:p>
        </w:tc>
      </w:tr>
      <w:tr w:rsidR="00443FB3" w:rsidRPr="00BF210F" w14:paraId="084F0362" w14:textId="77777777" w:rsidTr="00632CFE">
        <w:tc>
          <w:tcPr>
            <w:tcW w:w="2098" w:type="dxa"/>
          </w:tcPr>
          <w:p w14:paraId="45CD64EC" w14:textId="77777777" w:rsidR="00443FB3" w:rsidRPr="00BF210F" w:rsidRDefault="00443FB3" w:rsidP="00D66A20">
            <w:pPr>
              <w:jc w:val="center"/>
              <w:rPr>
                <w:rFonts w:cs="Arial"/>
                <w:sz w:val="20"/>
                <w:szCs w:val="20"/>
              </w:rPr>
            </w:pPr>
            <w:r w:rsidRPr="00BF210F">
              <w:rPr>
                <w:rFonts w:cs="Arial"/>
                <w:sz w:val="20"/>
                <w:szCs w:val="20"/>
              </w:rPr>
              <w:t>Sseggwanyi 2011</w:t>
            </w:r>
          </w:p>
        </w:tc>
        <w:tc>
          <w:tcPr>
            <w:tcW w:w="1362" w:type="dxa"/>
          </w:tcPr>
          <w:p w14:paraId="73A580EE" w14:textId="77777777" w:rsidR="00443FB3" w:rsidRPr="00BF210F" w:rsidRDefault="00443FB3" w:rsidP="00D66A20">
            <w:pPr>
              <w:jc w:val="center"/>
              <w:rPr>
                <w:rFonts w:cs="Arial"/>
                <w:sz w:val="20"/>
                <w:szCs w:val="20"/>
              </w:rPr>
            </w:pPr>
            <w:r w:rsidRPr="00BF210F">
              <w:rPr>
                <w:rFonts w:cs="Arial"/>
                <w:sz w:val="20"/>
                <w:szCs w:val="20"/>
              </w:rPr>
              <w:t>0.66</w:t>
            </w:r>
          </w:p>
        </w:tc>
        <w:tc>
          <w:tcPr>
            <w:tcW w:w="1362" w:type="dxa"/>
          </w:tcPr>
          <w:p w14:paraId="2F502A71" w14:textId="77777777" w:rsidR="00443FB3" w:rsidRPr="00BF210F" w:rsidRDefault="00443FB3" w:rsidP="00D66A20">
            <w:pPr>
              <w:jc w:val="center"/>
              <w:rPr>
                <w:rFonts w:cs="Arial"/>
                <w:sz w:val="20"/>
                <w:szCs w:val="20"/>
              </w:rPr>
            </w:pPr>
            <w:r w:rsidRPr="00BF210F">
              <w:rPr>
                <w:rFonts w:cs="Arial"/>
                <w:sz w:val="20"/>
                <w:szCs w:val="20"/>
              </w:rPr>
              <w:t>0.59-0.74</w:t>
            </w:r>
          </w:p>
        </w:tc>
        <w:tc>
          <w:tcPr>
            <w:tcW w:w="1362" w:type="dxa"/>
          </w:tcPr>
          <w:p w14:paraId="3178EDD2" w14:textId="77777777" w:rsidR="00443FB3" w:rsidRPr="00BF210F" w:rsidRDefault="00443FB3" w:rsidP="00D66A20">
            <w:pPr>
              <w:jc w:val="center"/>
              <w:rPr>
                <w:rFonts w:cs="Arial"/>
                <w:sz w:val="20"/>
                <w:szCs w:val="20"/>
              </w:rPr>
            </w:pPr>
            <w:r w:rsidRPr="00BF210F">
              <w:rPr>
                <w:rFonts w:cs="Arial"/>
                <w:sz w:val="20"/>
                <w:szCs w:val="20"/>
              </w:rPr>
              <w:t>&lt;0.001</w:t>
            </w:r>
          </w:p>
        </w:tc>
        <w:tc>
          <w:tcPr>
            <w:tcW w:w="1539" w:type="dxa"/>
          </w:tcPr>
          <w:p w14:paraId="074850AF" w14:textId="77777777" w:rsidR="00443FB3" w:rsidRPr="00BF210F" w:rsidRDefault="00443FB3" w:rsidP="00D66A20">
            <w:pPr>
              <w:jc w:val="center"/>
              <w:rPr>
                <w:rFonts w:cs="Arial"/>
                <w:sz w:val="20"/>
                <w:szCs w:val="20"/>
              </w:rPr>
            </w:pPr>
            <w:r w:rsidRPr="00BF210F">
              <w:rPr>
                <w:rFonts w:cs="Arial"/>
                <w:sz w:val="20"/>
                <w:szCs w:val="20"/>
              </w:rPr>
              <w:t>0.0</w:t>
            </w:r>
          </w:p>
        </w:tc>
        <w:tc>
          <w:tcPr>
            <w:tcW w:w="1446" w:type="dxa"/>
          </w:tcPr>
          <w:p w14:paraId="7C4BF04F" w14:textId="77777777" w:rsidR="00443FB3" w:rsidRPr="00BF210F" w:rsidRDefault="00443FB3" w:rsidP="00D66A20">
            <w:pPr>
              <w:jc w:val="center"/>
              <w:rPr>
                <w:rFonts w:cs="Arial"/>
                <w:sz w:val="20"/>
                <w:szCs w:val="20"/>
              </w:rPr>
            </w:pPr>
            <w:r w:rsidRPr="00BF210F">
              <w:rPr>
                <w:rFonts w:cs="Arial"/>
                <w:sz w:val="20"/>
                <w:szCs w:val="20"/>
              </w:rPr>
              <w:t>0.764</w:t>
            </w:r>
          </w:p>
        </w:tc>
      </w:tr>
      <w:tr w:rsidR="00443FB3" w:rsidRPr="00BF210F" w14:paraId="162F27D8" w14:textId="77777777" w:rsidTr="00632CFE">
        <w:tc>
          <w:tcPr>
            <w:tcW w:w="2098" w:type="dxa"/>
          </w:tcPr>
          <w:p w14:paraId="5A4183AB" w14:textId="77777777" w:rsidR="00443FB3" w:rsidRPr="00BF210F" w:rsidRDefault="00443FB3" w:rsidP="00D66A20">
            <w:pPr>
              <w:jc w:val="center"/>
              <w:rPr>
                <w:rFonts w:cs="Arial"/>
                <w:sz w:val="20"/>
                <w:szCs w:val="20"/>
              </w:rPr>
            </w:pPr>
            <w:r w:rsidRPr="00BF210F">
              <w:rPr>
                <w:rFonts w:cs="Arial"/>
                <w:sz w:val="20"/>
                <w:szCs w:val="20"/>
              </w:rPr>
              <w:t>Cubasch 2013</w:t>
            </w:r>
          </w:p>
        </w:tc>
        <w:tc>
          <w:tcPr>
            <w:tcW w:w="1362" w:type="dxa"/>
          </w:tcPr>
          <w:p w14:paraId="1E651263" w14:textId="77777777" w:rsidR="00443FB3" w:rsidRPr="00BF210F" w:rsidRDefault="00443FB3" w:rsidP="00D66A20">
            <w:pPr>
              <w:jc w:val="center"/>
              <w:rPr>
                <w:rFonts w:cs="Arial"/>
                <w:sz w:val="20"/>
                <w:szCs w:val="20"/>
              </w:rPr>
            </w:pPr>
            <w:r w:rsidRPr="00BF210F">
              <w:rPr>
                <w:rFonts w:cs="Arial"/>
                <w:sz w:val="20"/>
                <w:szCs w:val="20"/>
              </w:rPr>
              <w:t>0.66</w:t>
            </w:r>
          </w:p>
        </w:tc>
        <w:tc>
          <w:tcPr>
            <w:tcW w:w="1362" w:type="dxa"/>
          </w:tcPr>
          <w:p w14:paraId="267F1C95" w14:textId="77777777" w:rsidR="00443FB3" w:rsidRPr="00BF210F" w:rsidRDefault="00443FB3" w:rsidP="00D66A20">
            <w:pPr>
              <w:jc w:val="center"/>
              <w:rPr>
                <w:rFonts w:cs="Arial"/>
                <w:sz w:val="20"/>
                <w:szCs w:val="20"/>
              </w:rPr>
            </w:pPr>
            <w:r w:rsidRPr="00BF210F">
              <w:rPr>
                <w:rFonts w:cs="Arial"/>
                <w:sz w:val="20"/>
                <w:szCs w:val="20"/>
              </w:rPr>
              <w:t>0.59-0.74</w:t>
            </w:r>
          </w:p>
        </w:tc>
        <w:tc>
          <w:tcPr>
            <w:tcW w:w="1362" w:type="dxa"/>
          </w:tcPr>
          <w:p w14:paraId="757857F1" w14:textId="77777777" w:rsidR="00443FB3" w:rsidRPr="00BF210F" w:rsidRDefault="00443FB3" w:rsidP="00D66A20">
            <w:pPr>
              <w:jc w:val="center"/>
              <w:rPr>
                <w:rFonts w:cs="Arial"/>
                <w:sz w:val="20"/>
                <w:szCs w:val="20"/>
              </w:rPr>
            </w:pPr>
            <w:r w:rsidRPr="00BF210F">
              <w:rPr>
                <w:rFonts w:cs="Arial"/>
                <w:sz w:val="20"/>
                <w:szCs w:val="20"/>
              </w:rPr>
              <w:t>&lt;0.001</w:t>
            </w:r>
          </w:p>
        </w:tc>
        <w:tc>
          <w:tcPr>
            <w:tcW w:w="1539" w:type="dxa"/>
          </w:tcPr>
          <w:p w14:paraId="24D2B442" w14:textId="77777777" w:rsidR="00443FB3" w:rsidRPr="00BF210F" w:rsidRDefault="00443FB3" w:rsidP="00D66A20">
            <w:pPr>
              <w:jc w:val="center"/>
              <w:rPr>
                <w:rFonts w:cs="Arial"/>
                <w:sz w:val="20"/>
                <w:szCs w:val="20"/>
              </w:rPr>
            </w:pPr>
            <w:r w:rsidRPr="00BF210F">
              <w:rPr>
                <w:rFonts w:cs="Arial"/>
                <w:sz w:val="20"/>
                <w:szCs w:val="20"/>
              </w:rPr>
              <w:t>0.0</w:t>
            </w:r>
          </w:p>
        </w:tc>
        <w:tc>
          <w:tcPr>
            <w:tcW w:w="1446" w:type="dxa"/>
          </w:tcPr>
          <w:p w14:paraId="425A1D9F" w14:textId="77777777" w:rsidR="00443FB3" w:rsidRPr="00BF210F" w:rsidRDefault="00443FB3" w:rsidP="00D66A20">
            <w:pPr>
              <w:jc w:val="center"/>
              <w:rPr>
                <w:rFonts w:cs="Arial"/>
                <w:sz w:val="20"/>
                <w:szCs w:val="20"/>
              </w:rPr>
            </w:pPr>
            <w:r w:rsidRPr="00BF210F">
              <w:rPr>
                <w:rFonts w:cs="Arial"/>
                <w:sz w:val="20"/>
                <w:szCs w:val="20"/>
              </w:rPr>
              <w:t>0.866</w:t>
            </w:r>
          </w:p>
        </w:tc>
      </w:tr>
      <w:tr w:rsidR="00443FB3" w:rsidRPr="00BF210F" w14:paraId="74E56C63" w14:textId="77777777" w:rsidTr="00632CFE">
        <w:tc>
          <w:tcPr>
            <w:tcW w:w="2098" w:type="dxa"/>
          </w:tcPr>
          <w:p w14:paraId="2A183D19" w14:textId="77777777" w:rsidR="00443FB3" w:rsidRPr="00BF210F" w:rsidRDefault="00443FB3" w:rsidP="00D66A20">
            <w:pPr>
              <w:jc w:val="center"/>
              <w:rPr>
                <w:rFonts w:cs="Arial"/>
                <w:sz w:val="20"/>
                <w:szCs w:val="20"/>
              </w:rPr>
            </w:pPr>
            <w:r w:rsidRPr="00BF210F">
              <w:rPr>
                <w:rFonts w:cs="Arial"/>
                <w:sz w:val="20"/>
                <w:szCs w:val="20"/>
              </w:rPr>
              <w:t>Langenhoven 2016</w:t>
            </w:r>
          </w:p>
        </w:tc>
        <w:tc>
          <w:tcPr>
            <w:tcW w:w="1362" w:type="dxa"/>
          </w:tcPr>
          <w:p w14:paraId="7EECA153" w14:textId="77777777" w:rsidR="00443FB3" w:rsidRPr="00BF210F" w:rsidRDefault="00443FB3" w:rsidP="00D66A20">
            <w:pPr>
              <w:jc w:val="center"/>
              <w:rPr>
                <w:rFonts w:cs="Arial"/>
                <w:sz w:val="20"/>
                <w:szCs w:val="20"/>
              </w:rPr>
            </w:pPr>
            <w:r w:rsidRPr="00BF210F">
              <w:rPr>
                <w:rFonts w:cs="Arial"/>
                <w:sz w:val="20"/>
                <w:szCs w:val="20"/>
              </w:rPr>
              <w:t>0.66</w:t>
            </w:r>
          </w:p>
        </w:tc>
        <w:tc>
          <w:tcPr>
            <w:tcW w:w="1362" w:type="dxa"/>
          </w:tcPr>
          <w:p w14:paraId="56F5E4A9" w14:textId="77777777" w:rsidR="00443FB3" w:rsidRPr="00BF210F" w:rsidRDefault="00443FB3" w:rsidP="00D66A20">
            <w:pPr>
              <w:jc w:val="center"/>
              <w:rPr>
                <w:rFonts w:cs="Arial"/>
                <w:sz w:val="20"/>
                <w:szCs w:val="20"/>
              </w:rPr>
            </w:pPr>
            <w:r w:rsidRPr="00BF210F">
              <w:rPr>
                <w:rFonts w:cs="Arial"/>
                <w:sz w:val="20"/>
                <w:szCs w:val="20"/>
              </w:rPr>
              <w:t>0.59-0.74</w:t>
            </w:r>
          </w:p>
        </w:tc>
        <w:tc>
          <w:tcPr>
            <w:tcW w:w="1362" w:type="dxa"/>
          </w:tcPr>
          <w:p w14:paraId="32521CCF" w14:textId="77777777" w:rsidR="00443FB3" w:rsidRPr="00BF210F" w:rsidRDefault="00443FB3" w:rsidP="00D66A20">
            <w:pPr>
              <w:jc w:val="center"/>
              <w:rPr>
                <w:rFonts w:cs="Arial"/>
                <w:sz w:val="20"/>
                <w:szCs w:val="20"/>
              </w:rPr>
            </w:pPr>
            <w:r w:rsidRPr="00BF210F">
              <w:rPr>
                <w:rFonts w:cs="Arial"/>
                <w:sz w:val="20"/>
                <w:szCs w:val="20"/>
              </w:rPr>
              <w:t>&lt;0.001</w:t>
            </w:r>
          </w:p>
        </w:tc>
        <w:tc>
          <w:tcPr>
            <w:tcW w:w="1539" w:type="dxa"/>
          </w:tcPr>
          <w:p w14:paraId="1327FCE1" w14:textId="77777777" w:rsidR="00443FB3" w:rsidRPr="00BF210F" w:rsidRDefault="00443FB3" w:rsidP="00D66A20">
            <w:pPr>
              <w:jc w:val="center"/>
              <w:rPr>
                <w:rFonts w:cs="Arial"/>
                <w:sz w:val="20"/>
                <w:szCs w:val="20"/>
              </w:rPr>
            </w:pPr>
            <w:r w:rsidRPr="00BF210F">
              <w:rPr>
                <w:rFonts w:cs="Arial"/>
                <w:sz w:val="20"/>
                <w:szCs w:val="20"/>
              </w:rPr>
              <w:t>0.0</w:t>
            </w:r>
          </w:p>
        </w:tc>
        <w:tc>
          <w:tcPr>
            <w:tcW w:w="1446" w:type="dxa"/>
          </w:tcPr>
          <w:p w14:paraId="001D08C0" w14:textId="77777777" w:rsidR="00443FB3" w:rsidRPr="00BF210F" w:rsidRDefault="00443FB3" w:rsidP="00D66A20">
            <w:pPr>
              <w:jc w:val="center"/>
              <w:rPr>
                <w:rFonts w:cs="Arial"/>
                <w:sz w:val="20"/>
                <w:szCs w:val="20"/>
              </w:rPr>
            </w:pPr>
            <w:r w:rsidRPr="00BF210F">
              <w:rPr>
                <w:rFonts w:cs="Arial"/>
                <w:sz w:val="20"/>
                <w:szCs w:val="20"/>
              </w:rPr>
              <w:t>0.851</w:t>
            </w:r>
          </w:p>
        </w:tc>
      </w:tr>
      <w:tr w:rsidR="00443FB3" w:rsidRPr="00BF210F" w14:paraId="65FA23B9" w14:textId="77777777" w:rsidTr="00632CFE">
        <w:tc>
          <w:tcPr>
            <w:tcW w:w="2098" w:type="dxa"/>
          </w:tcPr>
          <w:p w14:paraId="207C0C7A" w14:textId="77777777" w:rsidR="00443FB3" w:rsidRPr="00BF210F" w:rsidRDefault="00443FB3" w:rsidP="00D66A20">
            <w:pPr>
              <w:jc w:val="center"/>
              <w:rPr>
                <w:rFonts w:cs="Arial"/>
                <w:sz w:val="20"/>
                <w:szCs w:val="20"/>
              </w:rPr>
            </w:pPr>
            <w:r w:rsidRPr="00BF210F">
              <w:rPr>
                <w:rFonts w:cs="Arial"/>
                <w:sz w:val="20"/>
                <w:szCs w:val="20"/>
              </w:rPr>
              <w:t>Phakathi 2016</w:t>
            </w:r>
          </w:p>
        </w:tc>
        <w:tc>
          <w:tcPr>
            <w:tcW w:w="1362" w:type="dxa"/>
          </w:tcPr>
          <w:p w14:paraId="51F76595" w14:textId="77777777" w:rsidR="00443FB3" w:rsidRPr="00BF210F" w:rsidRDefault="00443FB3" w:rsidP="00D66A20">
            <w:pPr>
              <w:jc w:val="center"/>
              <w:rPr>
                <w:rFonts w:cs="Arial"/>
                <w:sz w:val="20"/>
                <w:szCs w:val="20"/>
              </w:rPr>
            </w:pPr>
            <w:r w:rsidRPr="00BF210F">
              <w:rPr>
                <w:rFonts w:cs="Arial"/>
                <w:sz w:val="20"/>
                <w:szCs w:val="20"/>
              </w:rPr>
              <w:t>0.67</w:t>
            </w:r>
          </w:p>
        </w:tc>
        <w:tc>
          <w:tcPr>
            <w:tcW w:w="1362" w:type="dxa"/>
          </w:tcPr>
          <w:p w14:paraId="1B00E6FD" w14:textId="77777777" w:rsidR="00443FB3" w:rsidRPr="00BF210F" w:rsidRDefault="00443FB3" w:rsidP="00D66A20">
            <w:pPr>
              <w:jc w:val="center"/>
              <w:rPr>
                <w:rFonts w:cs="Arial"/>
                <w:sz w:val="20"/>
                <w:szCs w:val="20"/>
              </w:rPr>
            </w:pPr>
            <w:r w:rsidRPr="00BF210F">
              <w:rPr>
                <w:rFonts w:cs="Arial"/>
                <w:sz w:val="20"/>
                <w:szCs w:val="20"/>
              </w:rPr>
              <w:t>0.59-0.74</w:t>
            </w:r>
          </w:p>
        </w:tc>
        <w:tc>
          <w:tcPr>
            <w:tcW w:w="1362" w:type="dxa"/>
          </w:tcPr>
          <w:p w14:paraId="0CAA33EE" w14:textId="77777777" w:rsidR="00443FB3" w:rsidRPr="00BF210F" w:rsidRDefault="00443FB3" w:rsidP="00D66A20">
            <w:pPr>
              <w:jc w:val="center"/>
              <w:rPr>
                <w:rFonts w:cs="Arial"/>
                <w:sz w:val="20"/>
                <w:szCs w:val="20"/>
              </w:rPr>
            </w:pPr>
            <w:r w:rsidRPr="00BF210F">
              <w:rPr>
                <w:rFonts w:cs="Arial"/>
                <w:sz w:val="20"/>
                <w:szCs w:val="20"/>
              </w:rPr>
              <w:t>&lt;0.001</w:t>
            </w:r>
          </w:p>
        </w:tc>
        <w:tc>
          <w:tcPr>
            <w:tcW w:w="1539" w:type="dxa"/>
          </w:tcPr>
          <w:p w14:paraId="7896F7E4" w14:textId="77777777" w:rsidR="00443FB3" w:rsidRPr="00BF210F" w:rsidRDefault="00443FB3" w:rsidP="00D66A20">
            <w:pPr>
              <w:jc w:val="center"/>
              <w:rPr>
                <w:rFonts w:cs="Arial"/>
                <w:sz w:val="20"/>
                <w:szCs w:val="20"/>
              </w:rPr>
            </w:pPr>
            <w:r w:rsidRPr="00BF210F">
              <w:rPr>
                <w:rFonts w:cs="Arial"/>
                <w:sz w:val="20"/>
                <w:szCs w:val="20"/>
              </w:rPr>
              <w:t>0.0</w:t>
            </w:r>
          </w:p>
        </w:tc>
        <w:tc>
          <w:tcPr>
            <w:tcW w:w="1446" w:type="dxa"/>
          </w:tcPr>
          <w:p w14:paraId="52B0DC24" w14:textId="77777777" w:rsidR="00443FB3" w:rsidRPr="00BF210F" w:rsidRDefault="00443FB3" w:rsidP="00D66A20">
            <w:pPr>
              <w:jc w:val="center"/>
              <w:rPr>
                <w:rFonts w:cs="Arial"/>
                <w:sz w:val="20"/>
                <w:szCs w:val="20"/>
              </w:rPr>
            </w:pPr>
            <w:r w:rsidRPr="00BF210F">
              <w:rPr>
                <w:rFonts w:cs="Arial"/>
                <w:sz w:val="20"/>
                <w:szCs w:val="20"/>
              </w:rPr>
              <w:t>0.763</w:t>
            </w:r>
          </w:p>
        </w:tc>
      </w:tr>
      <w:tr w:rsidR="00443FB3" w:rsidRPr="00BF210F" w14:paraId="4B99C8F5" w14:textId="77777777" w:rsidTr="00632CFE">
        <w:tc>
          <w:tcPr>
            <w:tcW w:w="2098" w:type="dxa"/>
          </w:tcPr>
          <w:p w14:paraId="48395775" w14:textId="77777777" w:rsidR="00443FB3" w:rsidRPr="00BF210F" w:rsidRDefault="00443FB3" w:rsidP="00D66A20">
            <w:pPr>
              <w:jc w:val="center"/>
              <w:rPr>
                <w:rFonts w:cs="Arial"/>
                <w:sz w:val="20"/>
                <w:szCs w:val="20"/>
              </w:rPr>
            </w:pPr>
            <w:r w:rsidRPr="00BF210F">
              <w:rPr>
                <w:rFonts w:cs="Arial"/>
                <w:sz w:val="20"/>
                <w:szCs w:val="20"/>
              </w:rPr>
              <w:t>Presti 2017</w:t>
            </w:r>
          </w:p>
        </w:tc>
        <w:tc>
          <w:tcPr>
            <w:tcW w:w="1362" w:type="dxa"/>
          </w:tcPr>
          <w:p w14:paraId="5ADD08E1" w14:textId="77777777" w:rsidR="00443FB3" w:rsidRPr="00BF210F" w:rsidRDefault="00443FB3" w:rsidP="00D66A20">
            <w:pPr>
              <w:jc w:val="center"/>
              <w:rPr>
                <w:rFonts w:cs="Arial"/>
                <w:sz w:val="20"/>
                <w:szCs w:val="20"/>
              </w:rPr>
            </w:pPr>
            <w:r w:rsidRPr="00BF210F">
              <w:rPr>
                <w:rFonts w:cs="Arial"/>
                <w:sz w:val="20"/>
                <w:szCs w:val="20"/>
              </w:rPr>
              <w:t>0.66</w:t>
            </w:r>
          </w:p>
        </w:tc>
        <w:tc>
          <w:tcPr>
            <w:tcW w:w="1362" w:type="dxa"/>
          </w:tcPr>
          <w:p w14:paraId="6CAA96B9" w14:textId="77777777" w:rsidR="00443FB3" w:rsidRPr="00BF210F" w:rsidRDefault="00443FB3" w:rsidP="00D66A20">
            <w:pPr>
              <w:jc w:val="center"/>
              <w:rPr>
                <w:rFonts w:cs="Arial"/>
                <w:sz w:val="20"/>
                <w:szCs w:val="20"/>
              </w:rPr>
            </w:pPr>
            <w:r w:rsidRPr="00BF210F">
              <w:rPr>
                <w:rFonts w:cs="Arial"/>
                <w:sz w:val="20"/>
                <w:szCs w:val="20"/>
              </w:rPr>
              <w:t>0.59-0.74</w:t>
            </w:r>
          </w:p>
        </w:tc>
        <w:tc>
          <w:tcPr>
            <w:tcW w:w="1362" w:type="dxa"/>
          </w:tcPr>
          <w:p w14:paraId="67652221" w14:textId="77777777" w:rsidR="00443FB3" w:rsidRPr="00BF210F" w:rsidRDefault="00443FB3" w:rsidP="00D66A20">
            <w:pPr>
              <w:jc w:val="center"/>
              <w:rPr>
                <w:rFonts w:cs="Arial"/>
                <w:sz w:val="20"/>
                <w:szCs w:val="20"/>
              </w:rPr>
            </w:pPr>
            <w:r w:rsidRPr="00BF210F">
              <w:rPr>
                <w:rFonts w:cs="Arial"/>
                <w:sz w:val="20"/>
                <w:szCs w:val="20"/>
              </w:rPr>
              <w:t>&lt;0.001</w:t>
            </w:r>
          </w:p>
        </w:tc>
        <w:tc>
          <w:tcPr>
            <w:tcW w:w="1539" w:type="dxa"/>
          </w:tcPr>
          <w:p w14:paraId="2DDB2D9F" w14:textId="77777777" w:rsidR="00443FB3" w:rsidRPr="00BF210F" w:rsidRDefault="00443FB3" w:rsidP="00D66A20">
            <w:pPr>
              <w:jc w:val="center"/>
              <w:rPr>
                <w:rFonts w:cs="Arial"/>
                <w:sz w:val="20"/>
                <w:szCs w:val="20"/>
              </w:rPr>
            </w:pPr>
            <w:r w:rsidRPr="00BF210F">
              <w:rPr>
                <w:rFonts w:cs="Arial"/>
                <w:sz w:val="20"/>
                <w:szCs w:val="20"/>
              </w:rPr>
              <w:t>0.0</w:t>
            </w:r>
          </w:p>
        </w:tc>
        <w:tc>
          <w:tcPr>
            <w:tcW w:w="1446" w:type="dxa"/>
          </w:tcPr>
          <w:p w14:paraId="4C71FA3D" w14:textId="77777777" w:rsidR="00443FB3" w:rsidRPr="00BF210F" w:rsidRDefault="00443FB3" w:rsidP="00D66A20">
            <w:pPr>
              <w:jc w:val="center"/>
              <w:rPr>
                <w:rFonts w:cs="Arial"/>
                <w:sz w:val="20"/>
                <w:szCs w:val="20"/>
              </w:rPr>
            </w:pPr>
            <w:r w:rsidRPr="00BF210F">
              <w:rPr>
                <w:rFonts w:cs="Arial"/>
                <w:sz w:val="20"/>
                <w:szCs w:val="20"/>
              </w:rPr>
              <w:t>0.768</w:t>
            </w:r>
          </w:p>
        </w:tc>
      </w:tr>
      <w:tr w:rsidR="00443FB3" w:rsidRPr="00BF210F" w14:paraId="7B955F09" w14:textId="77777777" w:rsidTr="00632CFE">
        <w:tc>
          <w:tcPr>
            <w:tcW w:w="2098" w:type="dxa"/>
          </w:tcPr>
          <w:p w14:paraId="65BF2DD4" w14:textId="77777777" w:rsidR="00443FB3" w:rsidRPr="00BF210F" w:rsidRDefault="00443FB3" w:rsidP="00D66A20">
            <w:pPr>
              <w:jc w:val="center"/>
              <w:rPr>
                <w:rFonts w:cs="Arial"/>
                <w:sz w:val="20"/>
                <w:szCs w:val="20"/>
              </w:rPr>
            </w:pPr>
            <w:r w:rsidRPr="00BF210F">
              <w:rPr>
                <w:rFonts w:cs="Arial"/>
                <w:sz w:val="20"/>
                <w:szCs w:val="20"/>
              </w:rPr>
              <w:t>Brandao 2019</w:t>
            </w:r>
          </w:p>
        </w:tc>
        <w:tc>
          <w:tcPr>
            <w:tcW w:w="1362" w:type="dxa"/>
          </w:tcPr>
          <w:p w14:paraId="724DFB26" w14:textId="77777777" w:rsidR="00443FB3" w:rsidRPr="00BF210F" w:rsidRDefault="00443FB3" w:rsidP="00D66A20">
            <w:pPr>
              <w:jc w:val="center"/>
              <w:rPr>
                <w:rFonts w:cs="Arial"/>
                <w:sz w:val="20"/>
                <w:szCs w:val="20"/>
              </w:rPr>
            </w:pPr>
            <w:r w:rsidRPr="00BF210F">
              <w:rPr>
                <w:rFonts w:cs="Arial"/>
                <w:sz w:val="20"/>
                <w:szCs w:val="20"/>
              </w:rPr>
              <w:t>0.66</w:t>
            </w:r>
          </w:p>
        </w:tc>
        <w:tc>
          <w:tcPr>
            <w:tcW w:w="1362" w:type="dxa"/>
          </w:tcPr>
          <w:p w14:paraId="34A8D88B" w14:textId="77777777" w:rsidR="00443FB3" w:rsidRPr="00BF210F" w:rsidRDefault="00443FB3" w:rsidP="00D66A20">
            <w:pPr>
              <w:jc w:val="center"/>
              <w:rPr>
                <w:rFonts w:cs="Arial"/>
                <w:sz w:val="20"/>
                <w:szCs w:val="20"/>
              </w:rPr>
            </w:pPr>
            <w:r w:rsidRPr="00BF210F">
              <w:rPr>
                <w:rFonts w:cs="Arial"/>
                <w:sz w:val="20"/>
                <w:szCs w:val="20"/>
              </w:rPr>
              <w:t>0.59-0.74</w:t>
            </w:r>
          </w:p>
        </w:tc>
        <w:tc>
          <w:tcPr>
            <w:tcW w:w="1362" w:type="dxa"/>
          </w:tcPr>
          <w:p w14:paraId="4C880A29" w14:textId="77777777" w:rsidR="00443FB3" w:rsidRPr="00BF210F" w:rsidRDefault="00443FB3" w:rsidP="00D66A20">
            <w:pPr>
              <w:jc w:val="center"/>
              <w:rPr>
                <w:rFonts w:cs="Arial"/>
                <w:sz w:val="20"/>
                <w:szCs w:val="20"/>
              </w:rPr>
            </w:pPr>
            <w:r w:rsidRPr="00BF210F">
              <w:rPr>
                <w:rFonts w:cs="Arial"/>
                <w:sz w:val="20"/>
                <w:szCs w:val="20"/>
              </w:rPr>
              <w:t>&lt;0.001</w:t>
            </w:r>
          </w:p>
        </w:tc>
        <w:tc>
          <w:tcPr>
            <w:tcW w:w="1539" w:type="dxa"/>
          </w:tcPr>
          <w:p w14:paraId="19FAB38B" w14:textId="77777777" w:rsidR="00443FB3" w:rsidRPr="00BF210F" w:rsidRDefault="00443FB3" w:rsidP="00D66A20">
            <w:pPr>
              <w:jc w:val="center"/>
              <w:rPr>
                <w:rFonts w:cs="Arial"/>
                <w:sz w:val="20"/>
                <w:szCs w:val="20"/>
              </w:rPr>
            </w:pPr>
            <w:r w:rsidRPr="00BF210F">
              <w:rPr>
                <w:rFonts w:cs="Arial"/>
                <w:sz w:val="20"/>
                <w:szCs w:val="20"/>
              </w:rPr>
              <w:t>0.0</w:t>
            </w:r>
          </w:p>
        </w:tc>
        <w:tc>
          <w:tcPr>
            <w:tcW w:w="1446" w:type="dxa"/>
          </w:tcPr>
          <w:p w14:paraId="41C69D82" w14:textId="77777777" w:rsidR="00443FB3" w:rsidRPr="00BF210F" w:rsidRDefault="00443FB3" w:rsidP="00D66A20">
            <w:pPr>
              <w:jc w:val="center"/>
              <w:rPr>
                <w:rFonts w:cs="Arial"/>
                <w:sz w:val="20"/>
                <w:szCs w:val="20"/>
              </w:rPr>
            </w:pPr>
            <w:r w:rsidRPr="00BF210F">
              <w:rPr>
                <w:rFonts w:cs="Arial"/>
                <w:sz w:val="20"/>
                <w:szCs w:val="20"/>
              </w:rPr>
              <w:t>0.764</w:t>
            </w:r>
          </w:p>
        </w:tc>
      </w:tr>
      <w:tr w:rsidR="00443FB3" w:rsidRPr="00BF210F" w14:paraId="5D309899" w14:textId="77777777" w:rsidTr="00632CFE">
        <w:tc>
          <w:tcPr>
            <w:tcW w:w="2098" w:type="dxa"/>
          </w:tcPr>
          <w:p w14:paraId="2C6BE22B" w14:textId="77777777" w:rsidR="00443FB3" w:rsidRPr="00BF210F" w:rsidRDefault="00443FB3" w:rsidP="00D66A20">
            <w:pPr>
              <w:jc w:val="center"/>
              <w:rPr>
                <w:rFonts w:cs="Arial"/>
                <w:sz w:val="20"/>
                <w:szCs w:val="20"/>
              </w:rPr>
            </w:pPr>
            <w:r w:rsidRPr="00BF210F">
              <w:rPr>
                <w:rFonts w:cs="Arial"/>
                <w:sz w:val="20"/>
                <w:szCs w:val="20"/>
              </w:rPr>
              <w:t>Coghill 2019</w:t>
            </w:r>
          </w:p>
        </w:tc>
        <w:tc>
          <w:tcPr>
            <w:tcW w:w="1362" w:type="dxa"/>
          </w:tcPr>
          <w:p w14:paraId="41D055E0" w14:textId="77777777" w:rsidR="00443FB3" w:rsidRPr="00BF210F" w:rsidRDefault="00443FB3" w:rsidP="00D66A20">
            <w:pPr>
              <w:jc w:val="center"/>
              <w:rPr>
                <w:rFonts w:cs="Arial"/>
                <w:sz w:val="20"/>
                <w:szCs w:val="20"/>
              </w:rPr>
            </w:pPr>
            <w:r w:rsidRPr="00BF210F">
              <w:rPr>
                <w:rFonts w:cs="Arial"/>
                <w:sz w:val="20"/>
                <w:szCs w:val="20"/>
              </w:rPr>
              <w:t>0.66</w:t>
            </w:r>
          </w:p>
        </w:tc>
        <w:tc>
          <w:tcPr>
            <w:tcW w:w="1362" w:type="dxa"/>
          </w:tcPr>
          <w:p w14:paraId="707B4C70" w14:textId="77777777" w:rsidR="00443FB3" w:rsidRPr="00BF210F" w:rsidRDefault="00443FB3" w:rsidP="00D66A20">
            <w:pPr>
              <w:jc w:val="center"/>
              <w:rPr>
                <w:rFonts w:cs="Arial"/>
                <w:sz w:val="20"/>
                <w:szCs w:val="20"/>
              </w:rPr>
            </w:pPr>
            <w:r w:rsidRPr="00BF210F">
              <w:rPr>
                <w:rFonts w:cs="Arial"/>
                <w:sz w:val="20"/>
                <w:szCs w:val="20"/>
              </w:rPr>
              <w:t>0.46-0.94</w:t>
            </w:r>
          </w:p>
        </w:tc>
        <w:tc>
          <w:tcPr>
            <w:tcW w:w="1362" w:type="dxa"/>
          </w:tcPr>
          <w:p w14:paraId="45304B44" w14:textId="77777777" w:rsidR="00443FB3" w:rsidRPr="00BF210F" w:rsidRDefault="00443FB3" w:rsidP="00D66A20">
            <w:pPr>
              <w:jc w:val="center"/>
              <w:rPr>
                <w:rFonts w:cs="Arial"/>
                <w:sz w:val="20"/>
                <w:szCs w:val="20"/>
              </w:rPr>
            </w:pPr>
            <w:r w:rsidRPr="00BF210F">
              <w:rPr>
                <w:rFonts w:cs="Arial"/>
                <w:sz w:val="20"/>
                <w:szCs w:val="20"/>
              </w:rPr>
              <w:t>0.022</w:t>
            </w:r>
          </w:p>
        </w:tc>
        <w:tc>
          <w:tcPr>
            <w:tcW w:w="1539" w:type="dxa"/>
          </w:tcPr>
          <w:p w14:paraId="68C43CCD" w14:textId="77777777" w:rsidR="00443FB3" w:rsidRPr="00BF210F" w:rsidRDefault="00443FB3" w:rsidP="00D66A20">
            <w:pPr>
              <w:jc w:val="center"/>
              <w:rPr>
                <w:rFonts w:cs="Arial"/>
                <w:sz w:val="20"/>
                <w:szCs w:val="20"/>
              </w:rPr>
            </w:pPr>
            <w:r w:rsidRPr="00BF210F">
              <w:rPr>
                <w:rFonts w:cs="Arial"/>
                <w:sz w:val="20"/>
                <w:szCs w:val="20"/>
              </w:rPr>
              <w:t>0.0</w:t>
            </w:r>
          </w:p>
        </w:tc>
        <w:tc>
          <w:tcPr>
            <w:tcW w:w="1446" w:type="dxa"/>
          </w:tcPr>
          <w:p w14:paraId="4B5D8127" w14:textId="77777777" w:rsidR="00443FB3" w:rsidRPr="00BF210F" w:rsidRDefault="00443FB3" w:rsidP="00D66A20">
            <w:pPr>
              <w:jc w:val="center"/>
              <w:rPr>
                <w:rFonts w:cs="Arial"/>
                <w:sz w:val="20"/>
                <w:szCs w:val="20"/>
              </w:rPr>
            </w:pPr>
            <w:r w:rsidRPr="00BF210F">
              <w:rPr>
                <w:rFonts w:cs="Arial"/>
                <w:sz w:val="20"/>
                <w:szCs w:val="20"/>
              </w:rPr>
              <w:t>0.757</w:t>
            </w:r>
          </w:p>
        </w:tc>
      </w:tr>
      <w:tr w:rsidR="00443FB3" w:rsidRPr="00BF210F" w14:paraId="55E3FCBA" w14:textId="77777777" w:rsidTr="00632CFE">
        <w:tc>
          <w:tcPr>
            <w:tcW w:w="2098" w:type="dxa"/>
          </w:tcPr>
          <w:p w14:paraId="2C5B00D9" w14:textId="77777777" w:rsidR="00443FB3" w:rsidRPr="00BF210F" w:rsidRDefault="00443FB3" w:rsidP="00D66A20">
            <w:pPr>
              <w:jc w:val="center"/>
              <w:rPr>
                <w:rFonts w:cs="Arial"/>
                <w:sz w:val="20"/>
                <w:szCs w:val="20"/>
              </w:rPr>
            </w:pPr>
            <w:r w:rsidRPr="00BF210F">
              <w:rPr>
                <w:rFonts w:cs="Arial"/>
                <w:sz w:val="20"/>
                <w:szCs w:val="20"/>
              </w:rPr>
              <w:t>Phakathi 2019</w:t>
            </w:r>
          </w:p>
        </w:tc>
        <w:tc>
          <w:tcPr>
            <w:tcW w:w="1362" w:type="dxa"/>
          </w:tcPr>
          <w:p w14:paraId="3A3C4173" w14:textId="77777777" w:rsidR="00443FB3" w:rsidRPr="00BF210F" w:rsidRDefault="00443FB3" w:rsidP="00D66A20">
            <w:pPr>
              <w:jc w:val="center"/>
              <w:rPr>
                <w:rFonts w:cs="Arial"/>
                <w:sz w:val="20"/>
                <w:szCs w:val="20"/>
              </w:rPr>
            </w:pPr>
            <w:r w:rsidRPr="00BF210F">
              <w:rPr>
                <w:rFonts w:cs="Arial"/>
                <w:sz w:val="20"/>
                <w:szCs w:val="20"/>
              </w:rPr>
              <w:t>0.67</w:t>
            </w:r>
          </w:p>
        </w:tc>
        <w:tc>
          <w:tcPr>
            <w:tcW w:w="1362" w:type="dxa"/>
          </w:tcPr>
          <w:p w14:paraId="34A7B098" w14:textId="77777777" w:rsidR="00443FB3" w:rsidRPr="00BF210F" w:rsidRDefault="00443FB3" w:rsidP="00D66A20">
            <w:pPr>
              <w:jc w:val="center"/>
              <w:rPr>
                <w:rFonts w:cs="Arial"/>
                <w:sz w:val="20"/>
                <w:szCs w:val="20"/>
              </w:rPr>
            </w:pPr>
            <w:r w:rsidRPr="00BF210F">
              <w:rPr>
                <w:rFonts w:cs="Arial"/>
                <w:sz w:val="20"/>
                <w:szCs w:val="20"/>
              </w:rPr>
              <w:t>0.60-0.75</w:t>
            </w:r>
          </w:p>
        </w:tc>
        <w:tc>
          <w:tcPr>
            <w:tcW w:w="1362" w:type="dxa"/>
          </w:tcPr>
          <w:p w14:paraId="202E8C90" w14:textId="77777777" w:rsidR="00443FB3" w:rsidRPr="00BF210F" w:rsidRDefault="00443FB3" w:rsidP="00D66A20">
            <w:pPr>
              <w:jc w:val="center"/>
              <w:rPr>
                <w:rFonts w:cs="Arial"/>
                <w:sz w:val="20"/>
                <w:szCs w:val="20"/>
              </w:rPr>
            </w:pPr>
            <w:r w:rsidRPr="00BF210F">
              <w:rPr>
                <w:rFonts w:cs="Arial"/>
                <w:sz w:val="20"/>
                <w:szCs w:val="20"/>
              </w:rPr>
              <w:t>&lt;0.001</w:t>
            </w:r>
          </w:p>
        </w:tc>
        <w:tc>
          <w:tcPr>
            <w:tcW w:w="1539" w:type="dxa"/>
          </w:tcPr>
          <w:p w14:paraId="34D345E2" w14:textId="77777777" w:rsidR="00443FB3" w:rsidRPr="00BF210F" w:rsidRDefault="00443FB3" w:rsidP="00D66A20">
            <w:pPr>
              <w:jc w:val="center"/>
              <w:rPr>
                <w:rFonts w:cs="Arial"/>
                <w:sz w:val="20"/>
                <w:szCs w:val="20"/>
              </w:rPr>
            </w:pPr>
            <w:r w:rsidRPr="00BF210F">
              <w:rPr>
                <w:rFonts w:cs="Arial"/>
                <w:sz w:val="20"/>
                <w:szCs w:val="20"/>
              </w:rPr>
              <w:t>0.0</w:t>
            </w:r>
          </w:p>
        </w:tc>
        <w:tc>
          <w:tcPr>
            <w:tcW w:w="1446" w:type="dxa"/>
          </w:tcPr>
          <w:p w14:paraId="282CB337" w14:textId="77777777" w:rsidR="00443FB3" w:rsidRPr="00BF210F" w:rsidRDefault="00443FB3" w:rsidP="00D66A20">
            <w:pPr>
              <w:jc w:val="center"/>
              <w:rPr>
                <w:rFonts w:cs="Arial"/>
                <w:sz w:val="20"/>
                <w:szCs w:val="20"/>
              </w:rPr>
            </w:pPr>
            <w:r w:rsidRPr="00BF210F">
              <w:rPr>
                <w:rFonts w:cs="Arial"/>
                <w:sz w:val="20"/>
                <w:szCs w:val="20"/>
              </w:rPr>
              <w:t>0.959</w:t>
            </w:r>
          </w:p>
        </w:tc>
      </w:tr>
      <w:tr w:rsidR="00443FB3" w:rsidRPr="00BF210F" w14:paraId="6D4D2AC5" w14:textId="77777777" w:rsidTr="00632CFE">
        <w:tc>
          <w:tcPr>
            <w:tcW w:w="2098" w:type="dxa"/>
          </w:tcPr>
          <w:p w14:paraId="26634ACE" w14:textId="77777777" w:rsidR="00443FB3" w:rsidRPr="00BF210F" w:rsidRDefault="00443FB3" w:rsidP="00D66A20">
            <w:pPr>
              <w:jc w:val="center"/>
              <w:rPr>
                <w:rFonts w:cs="Arial"/>
                <w:sz w:val="20"/>
                <w:szCs w:val="20"/>
              </w:rPr>
            </w:pPr>
            <w:r w:rsidRPr="00BF210F">
              <w:rPr>
                <w:rFonts w:cs="Arial"/>
                <w:sz w:val="20"/>
                <w:szCs w:val="20"/>
              </w:rPr>
              <w:t>Sadigh 2019</w:t>
            </w:r>
          </w:p>
        </w:tc>
        <w:tc>
          <w:tcPr>
            <w:tcW w:w="1362" w:type="dxa"/>
          </w:tcPr>
          <w:p w14:paraId="4A399581" w14:textId="77777777" w:rsidR="00443FB3" w:rsidRPr="00BF210F" w:rsidRDefault="00443FB3" w:rsidP="00D66A20">
            <w:pPr>
              <w:jc w:val="center"/>
              <w:rPr>
                <w:rFonts w:cs="Arial"/>
                <w:sz w:val="20"/>
                <w:szCs w:val="20"/>
              </w:rPr>
            </w:pPr>
            <w:r w:rsidRPr="00BF210F">
              <w:rPr>
                <w:rFonts w:cs="Arial"/>
                <w:sz w:val="20"/>
                <w:szCs w:val="20"/>
              </w:rPr>
              <w:t>0.67</w:t>
            </w:r>
          </w:p>
        </w:tc>
        <w:tc>
          <w:tcPr>
            <w:tcW w:w="1362" w:type="dxa"/>
          </w:tcPr>
          <w:p w14:paraId="1E295972" w14:textId="77777777" w:rsidR="00443FB3" w:rsidRPr="00BF210F" w:rsidRDefault="00443FB3" w:rsidP="00D66A20">
            <w:pPr>
              <w:jc w:val="center"/>
              <w:rPr>
                <w:rFonts w:cs="Arial"/>
                <w:sz w:val="20"/>
                <w:szCs w:val="20"/>
              </w:rPr>
            </w:pPr>
            <w:r w:rsidRPr="00BF210F">
              <w:rPr>
                <w:rFonts w:cs="Arial"/>
                <w:sz w:val="20"/>
                <w:szCs w:val="20"/>
              </w:rPr>
              <w:t>0.60-0.75</w:t>
            </w:r>
          </w:p>
        </w:tc>
        <w:tc>
          <w:tcPr>
            <w:tcW w:w="1362" w:type="dxa"/>
          </w:tcPr>
          <w:p w14:paraId="33592D40" w14:textId="77777777" w:rsidR="00443FB3" w:rsidRPr="00BF210F" w:rsidRDefault="00443FB3" w:rsidP="00D66A20">
            <w:pPr>
              <w:jc w:val="center"/>
              <w:rPr>
                <w:rFonts w:cs="Arial"/>
                <w:sz w:val="20"/>
                <w:szCs w:val="20"/>
              </w:rPr>
            </w:pPr>
            <w:r w:rsidRPr="00BF210F">
              <w:rPr>
                <w:rFonts w:cs="Arial"/>
                <w:sz w:val="20"/>
                <w:szCs w:val="20"/>
              </w:rPr>
              <w:t>&lt;0.001</w:t>
            </w:r>
          </w:p>
        </w:tc>
        <w:tc>
          <w:tcPr>
            <w:tcW w:w="1539" w:type="dxa"/>
          </w:tcPr>
          <w:p w14:paraId="7F29CAFC" w14:textId="77777777" w:rsidR="00443FB3" w:rsidRPr="00BF210F" w:rsidRDefault="00443FB3" w:rsidP="00D66A20">
            <w:pPr>
              <w:jc w:val="center"/>
              <w:rPr>
                <w:rFonts w:cs="Arial"/>
                <w:sz w:val="20"/>
                <w:szCs w:val="20"/>
              </w:rPr>
            </w:pPr>
            <w:r w:rsidRPr="00BF210F">
              <w:rPr>
                <w:rFonts w:cs="Arial"/>
                <w:sz w:val="20"/>
                <w:szCs w:val="20"/>
              </w:rPr>
              <w:t>0.0</w:t>
            </w:r>
          </w:p>
        </w:tc>
        <w:tc>
          <w:tcPr>
            <w:tcW w:w="1446" w:type="dxa"/>
          </w:tcPr>
          <w:p w14:paraId="015D247B" w14:textId="77777777" w:rsidR="00443FB3" w:rsidRPr="00BF210F" w:rsidRDefault="00443FB3" w:rsidP="00D66A20">
            <w:pPr>
              <w:jc w:val="center"/>
              <w:rPr>
                <w:rFonts w:cs="Arial"/>
                <w:sz w:val="20"/>
                <w:szCs w:val="20"/>
              </w:rPr>
            </w:pPr>
            <w:r w:rsidRPr="00BF210F">
              <w:rPr>
                <w:rFonts w:cs="Arial"/>
                <w:sz w:val="20"/>
                <w:szCs w:val="20"/>
              </w:rPr>
              <w:t>0.798</w:t>
            </w:r>
          </w:p>
        </w:tc>
      </w:tr>
    </w:tbl>
    <w:p w14:paraId="446EA83A" w14:textId="77CA389A" w:rsidR="00443FB3" w:rsidRPr="00BF210F" w:rsidRDefault="00ED1505" w:rsidP="00D66A20">
      <w:pPr>
        <w:rPr>
          <w:rFonts w:cs="Arial"/>
          <w:sz w:val="20"/>
          <w:lang w:val="en-US"/>
        </w:rPr>
      </w:pPr>
      <w:r w:rsidRPr="00BF210F">
        <w:rPr>
          <w:rFonts w:cs="Arial"/>
          <w:sz w:val="16"/>
          <w:lang w:val="en-US"/>
        </w:rPr>
        <w:t>CI: confidence interval; OR: odds ratio.</w:t>
      </w:r>
    </w:p>
    <w:p w14:paraId="64388439" w14:textId="77777777" w:rsidR="00443FB3" w:rsidRPr="00BF210F" w:rsidRDefault="00443FB3" w:rsidP="00D66A20">
      <w:pPr>
        <w:rPr>
          <w:rFonts w:cs="Arial"/>
          <w:lang w:val="en-US"/>
        </w:rPr>
      </w:pPr>
      <w:r w:rsidRPr="00BF210F">
        <w:rPr>
          <w:rFonts w:cs="Arial"/>
          <w:lang w:val="en-US"/>
        </w:rPr>
        <w:br w:type="page"/>
      </w:r>
    </w:p>
    <w:p w14:paraId="67355FAA" w14:textId="28ED1DCC" w:rsidR="00A324DC" w:rsidRPr="00BF210F" w:rsidRDefault="00BF210F" w:rsidP="00D66A20">
      <w:pPr>
        <w:rPr>
          <w:rFonts w:cs="Arial"/>
          <w:b/>
          <w:sz w:val="24"/>
          <w:szCs w:val="24"/>
          <w:lang w:val="en-US"/>
        </w:rPr>
      </w:pPr>
      <w:r>
        <w:rPr>
          <w:rFonts w:cs="Arial"/>
          <w:b/>
          <w:sz w:val="24"/>
          <w:szCs w:val="24"/>
          <w:lang w:val="en-US"/>
        </w:rPr>
        <w:lastRenderedPageBreak/>
        <w:t xml:space="preserve">Supplementary </w:t>
      </w:r>
      <w:r w:rsidR="00443FB3" w:rsidRPr="00BF210F">
        <w:rPr>
          <w:rFonts w:cs="Arial"/>
          <w:b/>
          <w:sz w:val="24"/>
          <w:szCs w:val="24"/>
          <w:lang w:val="en-US"/>
        </w:rPr>
        <w:t>Figure 1</w:t>
      </w:r>
      <w:r w:rsidR="001603F4" w:rsidRPr="00BF210F">
        <w:rPr>
          <w:rFonts w:cs="Arial"/>
          <w:b/>
          <w:sz w:val="24"/>
          <w:szCs w:val="24"/>
          <w:lang w:val="en-US"/>
        </w:rPr>
        <w:t>3</w:t>
      </w:r>
      <w:r w:rsidR="00636756" w:rsidRPr="00BF210F">
        <w:rPr>
          <w:rFonts w:cs="Arial"/>
          <w:b/>
          <w:sz w:val="24"/>
          <w:szCs w:val="24"/>
          <w:lang w:val="en-US"/>
        </w:rPr>
        <w:t xml:space="preserve"> –</w:t>
      </w:r>
      <w:r w:rsidR="00443FB3" w:rsidRPr="00BF210F">
        <w:rPr>
          <w:rFonts w:cs="Arial"/>
          <w:b/>
          <w:sz w:val="24"/>
          <w:szCs w:val="24"/>
          <w:lang w:val="en-US"/>
        </w:rPr>
        <w:t xml:space="preserve"> </w:t>
      </w:r>
      <w:r w:rsidR="001603F4" w:rsidRPr="00BF210F">
        <w:rPr>
          <w:rFonts w:cs="Arial"/>
          <w:b/>
          <w:sz w:val="24"/>
          <w:szCs w:val="24"/>
          <w:lang w:val="en-US"/>
        </w:rPr>
        <w:t xml:space="preserve">Meta-analysis of the odds of presenting with </w:t>
      </w:r>
      <w:r w:rsidR="00443FB3" w:rsidRPr="00BF210F">
        <w:rPr>
          <w:rFonts w:cs="Arial"/>
          <w:b/>
          <w:sz w:val="24"/>
          <w:szCs w:val="24"/>
          <w:lang w:val="en-US"/>
        </w:rPr>
        <w:t xml:space="preserve">stage II at diagnosis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A324DC" w:rsidRPr="00BF210F">
        <w:rPr>
          <w:rFonts w:cs="Arial"/>
          <w:b/>
          <w:sz w:val="24"/>
          <w:szCs w:val="24"/>
          <w:lang w:val="en-US"/>
        </w:rPr>
        <w:t>.</w:t>
      </w:r>
    </w:p>
    <w:p w14:paraId="05A3D840" w14:textId="77777777" w:rsidR="00443FB3" w:rsidRPr="00BF210F" w:rsidRDefault="00896EA9" w:rsidP="00D66A20">
      <w:pPr>
        <w:rPr>
          <w:rFonts w:cs="Arial"/>
          <w:lang w:val="en-US"/>
        </w:rPr>
      </w:pPr>
      <w:r w:rsidRPr="00BF210F">
        <w:rPr>
          <w:rFonts w:cs="Arial"/>
          <w:noProof/>
          <w:lang w:val="pt-PT" w:eastAsia="pt-PT"/>
        </w:rPr>
        <mc:AlternateContent>
          <mc:Choice Requires="wps">
            <w:drawing>
              <wp:anchor distT="0" distB="0" distL="114300" distR="114300" simplePos="0" relativeHeight="251661312" behindDoc="0" locked="0" layoutInCell="1" allowOverlap="1" wp14:anchorId="56B94292" wp14:editId="1C3BAEE3">
                <wp:simplePos x="0" y="0"/>
                <wp:positionH relativeFrom="column">
                  <wp:posOffset>1797685</wp:posOffset>
                </wp:positionH>
                <wp:positionV relativeFrom="paragraph">
                  <wp:posOffset>3997325</wp:posOffset>
                </wp:positionV>
                <wp:extent cx="889000" cy="222250"/>
                <wp:effectExtent l="0" t="0" r="0" b="0"/>
                <wp:wrapNone/>
                <wp:docPr id="30" name="Rectangle 30"/>
                <wp:cNvGraphicFramePr/>
                <a:graphic xmlns:a="http://schemas.openxmlformats.org/drawingml/2006/main">
                  <a:graphicData uri="http://schemas.microsoft.com/office/word/2010/wordprocessingShape">
                    <wps:wsp>
                      <wps:cNvSpPr/>
                      <wps:spPr>
                        <a:xfrm>
                          <a:off x="0" y="0"/>
                          <a:ext cx="889000" cy="2222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9E43303" w14:textId="6E6AE206" w:rsidR="00363D1D" w:rsidRPr="00896EA9" w:rsidRDefault="00363D1D" w:rsidP="00896EA9">
                            <w:pPr>
                              <w:jc w:val="center"/>
                              <w:rPr>
                                <w:sz w:val="16"/>
                                <w:szCs w:val="16"/>
                                <w:lang w:val="en-US"/>
                              </w:rPr>
                            </w:pPr>
                            <w:r>
                              <w:rPr>
                                <w:sz w:val="16"/>
                                <w:szCs w:val="16"/>
                                <w:lang w:val="en-US"/>
                              </w:rPr>
                              <w:t>OR (95% 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B94292" id="Rectangle 30" o:spid="_x0000_s1027" style="position:absolute;margin-left:141.55pt;margin-top:314.75pt;width:70pt;height: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" filled="f" stroked="f" strokeweight="2pt">
                <v:textbox>
                  <w:txbxContent>
                    <w:p w14:paraId="79E43303" w14:textId="6E6AE206" w:rsidR="00363D1D" w:rsidRPr="00896EA9" w:rsidRDefault="00363D1D" w:rsidP="00896EA9">
                      <w:pPr>
                        <w:jc w:val="center"/>
                        <w:rPr>
                          <w:sz w:val="16"/>
                          <w:szCs w:val="16"/>
                          <w:lang w:val="en-US"/>
                        </w:rPr>
                      </w:pPr>
                      <w:r>
                        <w:rPr>
                          <w:sz w:val="16"/>
                          <w:szCs w:val="16"/>
                          <w:lang w:val="en-US"/>
                        </w:rPr>
                        <w:t>OR (95% CI)</w:t>
                      </w:r>
                    </w:p>
                  </w:txbxContent>
                </v:textbox>
              </v:rect>
            </w:pict>
          </mc:Fallback>
        </mc:AlternateContent>
      </w:r>
      <w:r w:rsidR="00443FB3" w:rsidRPr="00BF210F">
        <w:rPr>
          <w:rFonts w:cs="Arial"/>
          <w:noProof/>
          <w:lang w:val="pt-PT" w:eastAsia="pt-PT"/>
        </w:rPr>
        <w:drawing>
          <wp:inline distT="0" distB="0" distL="0" distR="0" wp14:anchorId="38B0F7C2" wp14:editId="781D9747">
            <wp:extent cx="6120130" cy="4363211"/>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4363211"/>
                    </a:xfrm>
                    <a:prstGeom prst="rect">
                      <a:avLst/>
                    </a:prstGeom>
                    <a:noFill/>
                    <a:ln>
                      <a:noFill/>
                    </a:ln>
                  </pic:spPr>
                </pic:pic>
              </a:graphicData>
            </a:graphic>
          </wp:inline>
        </w:drawing>
      </w:r>
    </w:p>
    <w:p w14:paraId="79ABBA68" w14:textId="16541CBA" w:rsidR="00636756" w:rsidRPr="00BF210F" w:rsidRDefault="00636756" w:rsidP="00D66A20">
      <w:pPr>
        <w:rPr>
          <w:rFonts w:cs="Arial"/>
          <w:sz w:val="16"/>
          <w:lang w:val="en-US"/>
        </w:rPr>
      </w:pPr>
      <w:r w:rsidRPr="00BF210F">
        <w:rPr>
          <w:rFonts w:cs="Arial"/>
          <w:sz w:val="16"/>
          <w:lang w:val="en-US"/>
        </w:rPr>
        <w:t>Random effect: p=0.146</w:t>
      </w:r>
      <w:r w:rsidR="0035681D" w:rsidRPr="00BF210F">
        <w:rPr>
          <w:rFonts w:cs="Arial"/>
          <w:sz w:val="16"/>
          <w:lang w:val="en-US"/>
        </w:rPr>
        <w:t xml:space="preserve">. </w:t>
      </w:r>
      <w:r w:rsidR="0035681D" w:rsidRPr="00BF210F">
        <w:rPr>
          <w:rFonts w:cs="Arial"/>
          <w:sz w:val="16"/>
          <w:szCs w:val="16"/>
          <w:lang w:val="en-US"/>
        </w:rPr>
        <w:t>CI=confidence interval; OR=odds ratio.</w:t>
      </w:r>
    </w:p>
    <w:p w14:paraId="4C1B1999" w14:textId="77777777" w:rsidR="00443FB3" w:rsidRPr="00BF210F" w:rsidRDefault="00443FB3" w:rsidP="00D66A20">
      <w:pPr>
        <w:rPr>
          <w:rFonts w:cs="Arial"/>
          <w:sz w:val="20"/>
          <w:lang w:val="en-US"/>
        </w:rPr>
      </w:pPr>
    </w:p>
    <w:p w14:paraId="46B1D920" w14:textId="77777777" w:rsidR="00E423E2" w:rsidRPr="00BF210F" w:rsidRDefault="00E423E2" w:rsidP="00D66A20">
      <w:pPr>
        <w:rPr>
          <w:rFonts w:cs="Arial"/>
          <w:sz w:val="20"/>
          <w:lang w:val="en-US"/>
        </w:rPr>
      </w:pPr>
    </w:p>
    <w:p w14:paraId="2FE37299" w14:textId="3C6E627B" w:rsidR="00A324DC" w:rsidRPr="00BF210F" w:rsidRDefault="00BF210F" w:rsidP="00D66A20">
      <w:pPr>
        <w:rPr>
          <w:rFonts w:cs="Arial"/>
          <w:b/>
          <w:sz w:val="24"/>
          <w:szCs w:val="24"/>
          <w:lang w:val="en-US"/>
        </w:rPr>
      </w:pPr>
      <w:r>
        <w:rPr>
          <w:rFonts w:cs="Arial"/>
          <w:b/>
          <w:sz w:val="24"/>
          <w:szCs w:val="24"/>
          <w:lang w:val="en-US"/>
        </w:rPr>
        <w:t xml:space="preserve">Supplementary </w:t>
      </w:r>
      <w:r w:rsidR="005432BA" w:rsidRPr="00BF210F">
        <w:rPr>
          <w:rFonts w:cs="Arial"/>
          <w:b/>
          <w:sz w:val="24"/>
          <w:szCs w:val="24"/>
          <w:lang w:val="en-US"/>
        </w:rPr>
        <w:t>Table 9</w:t>
      </w:r>
      <w:r w:rsidR="00443FB3" w:rsidRPr="00BF210F">
        <w:rPr>
          <w:rFonts w:cs="Arial"/>
          <w:sz w:val="24"/>
          <w:szCs w:val="24"/>
          <w:lang w:val="en-US"/>
        </w:rPr>
        <w:t xml:space="preserve"> </w:t>
      </w:r>
      <w:r w:rsidR="00443FB3" w:rsidRPr="00BF210F">
        <w:rPr>
          <w:rFonts w:cs="Arial"/>
          <w:b/>
          <w:sz w:val="24"/>
          <w:szCs w:val="24"/>
          <w:lang w:val="en-US"/>
        </w:rPr>
        <w:t xml:space="preserve">– </w:t>
      </w:r>
      <w:r w:rsidR="001603F4" w:rsidRPr="00BF210F">
        <w:rPr>
          <w:rFonts w:cs="Arial"/>
          <w:b/>
          <w:sz w:val="24"/>
          <w:szCs w:val="24"/>
          <w:lang w:val="en-US"/>
        </w:rPr>
        <w:t xml:space="preserve">Sensitivity analysis of the odds of presenting with </w:t>
      </w:r>
      <w:r w:rsidR="00443FB3" w:rsidRPr="00BF210F">
        <w:rPr>
          <w:rFonts w:cs="Arial"/>
          <w:b/>
          <w:sz w:val="24"/>
          <w:szCs w:val="24"/>
          <w:lang w:val="en-US"/>
        </w:rPr>
        <w:t xml:space="preserve">stage II at diagnosis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A324DC" w:rsidRPr="00BF210F">
        <w:rPr>
          <w:rFonts w:cs="Arial"/>
          <w:b/>
          <w:sz w:val="24"/>
          <w:szCs w:val="24"/>
          <w:lang w:val="en-US"/>
        </w:rPr>
        <w:t>.</w:t>
      </w:r>
    </w:p>
    <w:p w14:paraId="43B0267B" w14:textId="77777777" w:rsidR="00443FB3" w:rsidRPr="00BF210F" w:rsidRDefault="00443FB3" w:rsidP="00D66A20">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443FB3" w:rsidRPr="00BF210F" w14:paraId="24DADDA7" w14:textId="77777777" w:rsidTr="00C25E84">
        <w:tc>
          <w:tcPr>
            <w:tcW w:w="2098" w:type="dxa"/>
            <w:vMerge w:val="restart"/>
          </w:tcPr>
          <w:p w14:paraId="57C120C9" w14:textId="77777777" w:rsidR="00443FB3" w:rsidRPr="00BF210F" w:rsidRDefault="00443FB3" w:rsidP="00D66A20">
            <w:pPr>
              <w:jc w:val="center"/>
              <w:rPr>
                <w:rFonts w:cs="Arial"/>
                <w:b/>
                <w:sz w:val="20"/>
                <w:szCs w:val="20"/>
              </w:rPr>
            </w:pPr>
            <w:r w:rsidRPr="00BF210F">
              <w:rPr>
                <w:rFonts w:cs="Arial"/>
                <w:b/>
                <w:sz w:val="20"/>
                <w:szCs w:val="20"/>
              </w:rPr>
              <w:t>Study excluded</w:t>
            </w:r>
          </w:p>
        </w:tc>
        <w:tc>
          <w:tcPr>
            <w:tcW w:w="4086" w:type="dxa"/>
            <w:gridSpan w:val="3"/>
          </w:tcPr>
          <w:p w14:paraId="2713B2A3" w14:textId="77777777" w:rsidR="00443FB3" w:rsidRPr="00BF210F" w:rsidRDefault="00443FB3" w:rsidP="00D66A20">
            <w:pPr>
              <w:jc w:val="center"/>
              <w:rPr>
                <w:rFonts w:cs="Arial"/>
                <w:b/>
                <w:sz w:val="20"/>
                <w:szCs w:val="20"/>
              </w:rPr>
            </w:pPr>
            <w:r w:rsidRPr="00BF210F">
              <w:rPr>
                <w:rFonts w:cs="Arial"/>
                <w:b/>
                <w:sz w:val="20"/>
                <w:szCs w:val="20"/>
              </w:rPr>
              <w:t>Random effect</w:t>
            </w:r>
          </w:p>
        </w:tc>
        <w:tc>
          <w:tcPr>
            <w:tcW w:w="1539" w:type="dxa"/>
            <w:vMerge w:val="restart"/>
          </w:tcPr>
          <w:p w14:paraId="39B8D51B" w14:textId="548F2E80" w:rsidR="00443FB3" w:rsidRPr="00BF210F" w:rsidRDefault="00ED1505"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w:t>
            </w:r>
            <w:r w:rsidR="00443FB3" w:rsidRPr="00BF210F">
              <w:rPr>
                <w:rFonts w:cs="Arial"/>
                <w:b/>
                <w:sz w:val="20"/>
                <w:szCs w:val="20"/>
              </w:rPr>
              <w:t>(%)</w:t>
            </w:r>
          </w:p>
        </w:tc>
        <w:tc>
          <w:tcPr>
            <w:tcW w:w="1446" w:type="dxa"/>
            <w:vMerge w:val="restart"/>
          </w:tcPr>
          <w:p w14:paraId="02D44800" w14:textId="18E007FD" w:rsidR="00443FB3" w:rsidRPr="00BF210F" w:rsidRDefault="00ED1505"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 xml:space="preserve">2 </w:t>
            </w:r>
            <w:r w:rsidR="00443FB3" w:rsidRPr="00BF210F">
              <w:rPr>
                <w:rFonts w:cs="Arial"/>
                <w:b/>
                <w:sz w:val="20"/>
                <w:szCs w:val="20"/>
              </w:rPr>
              <w:t>P-value</w:t>
            </w:r>
          </w:p>
        </w:tc>
      </w:tr>
      <w:tr w:rsidR="00443FB3" w:rsidRPr="00BF210F" w14:paraId="0DF4CF1C" w14:textId="77777777" w:rsidTr="00632CFE">
        <w:tc>
          <w:tcPr>
            <w:tcW w:w="2098" w:type="dxa"/>
            <w:vMerge/>
          </w:tcPr>
          <w:p w14:paraId="7B76053E" w14:textId="77777777" w:rsidR="00443FB3" w:rsidRPr="00BF210F" w:rsidRDefault="00443FB3" w:rsidP="00D66A20">
            <w:pPr>
              <w:jc w:val="center"/>
              <w:rPr>
                <w:rFonts w:cs="Arial"/>
                <w:b/>
                <w:sz w:val="20"/>
                <w:szCs w:val="20"/>
              </w:rPr>
            </w:pPr>
          </w:p>
        </w:tc>
        <w:tc>
          <w:tcPr>
            <w:tcW w:w="1362" w:type="dxa"/>
          </w:tcPr>
          <w:p w14:paraId="79B4077E" w14:textId="72F902E9" w:rsidR="00443FB3" w:rsidRPr="00BF210F" w:rsidRDefault="00ED1505" w:rsidP="00D66A20">
            <w:pPr>
              <w:jc w:val="center"/>
              <w:rPr>
                <w:rFonts w:cs="Arial"/>
                <w:b/>
                <w:sz w:val="20"/>
                <w:szCs w:val="20"/>
              </w:rPr>
            </w:pPr>
            <w:r w:rsidRPr="00BF210F">
              <w:rPr>
                <w:rFonts w:cs="Arial"/>
                <w:b/>
                <w:sz w:val="20"/>
                <w:szCs w:val="20"/>
              </w:rPr>
              <w:t xml:space="preserve">Pooled </w:t>
            </w:r>
            <w:r w:rsidR="00443FB3" w:rsidRPr="00BF210F">
              <w:rPr>
                <w:rFonts w:cs="Arial"/>
                <w:b/>
                <w:sz w:val="20"/>
                <w:szCs w:val="20"/>
              </w:rPr>
              <w:t>OR</w:t>
            </w:r>
          </w:p>
        </w:tc>
        <w:tc>
          <w:tcPr>
            <w:tcW w:w="1362" w:type="dxa"/>
          </w:tcPr>
          <w:p w14:paraId="0A90633D" w14:textId="77777777" w:rsidR="00443FB3" w:rsidRPr="00BF210F" w:rsidRDefault="00443FB3" w:rsidP="00D66A20">
            <w:pPr>
              <w:jc w:val="center"/>
              <w:rPr>
                <w:rFonts w:cs="Arial"/>
                <w:b/>
                <w:sz w:val="20"/>
                <w:szCs w:val="20"/>
              </w:rPr>
            </w:pPr>
            <w:r w:rsidRPr="00BF210F">
              <w:rPr>
                <w:rFonts w:cs="Arial"/>
                <w:b/>
                <w:sz w:val="20"/>
                <w:szCs w:val="20"/>
              </w:rPr>
              <w:t>95% CI</w:t>
            </w:r>
          </w:p>
        </w:tc>
        <w:tc>
          <w:tcPr>
            <w:tcW w:w="1362" w:type="dxa"/>
          </w:tcPr>
          <w:p w14:paraId="603BD561" w14:textId="77777777" w:rsidR="00443FB3" w:rsidRPr="00BF210F" w:rsidRDefault="00443FB3" w:rsidP="00D66A20">
            <w:pPr>
              <w:jc w:val="center"/>
              <w:rPr>
                <w:rFonts w:cs="Arial"/>
                <w:b/>
                <w:sz w:val="20"/>
                <w:szCs w:val="20"/>
              </w:rPr>
            </w:pPr>
            <w:r w:rsidRPr="00BF210F">
              <w:rPr>
                <w:rFonts w:cs="Arial"/>
                <w:b/>
                <w:sz w:val="20"/>
                <w:szCs w:val="20"/>
              </w:rPr>
              <w:t>P-value</w:t>
            </w:r>
          </w:p>
        </w:tc>
        <w:tc>
          <w:tcPr>
            <w:tcW w:w="1539" w:type="dxa"/>
            <w:vMerge/>
          </w:tcPr>
          <w:p w14:paraId="7275C93F" w14:textId="77777777" w:rsidR="00443FB3" w:rsidRPr="00BF210F" w:rsidRDefault="00443FB3" w:rsidP="00D66A20">
            <w:pPr>
              <w:jc w:val="center"/>
              <w:rPr>
                <w:rFonts w:cs="Arial"/>
                <w:b/>
                <w:sz w:val="20"/>
                <w:szCs w:val="20"/>
              </w:rPr>
            </w:pPr>
          </w:p>
        </w:tc>
        <w:tc>
          <w:tcPr>
            <w:tcW w:w="1446" w:type="dxa"/>
            <w:vMerge/>
          </w:tcPr>
          <w:p w14:paraId="2BB65C04" w14:textId="77777777" w:rsidR="00443FB3" w:rsidRPr="00BF210F" w:rsidRDefault="00443FB3" w:rsidP="00D66A20">
            <w:pPr>
              <w:jc w:val="center"/>
              <w:rPr>
                <w:rFonts w:cs="Arial"/>
                <w:b/>
                <w:sz w:val="20"/>
                <w:szCs w:val="20"/>
              </w:rPr>
            </w:pPr>
          </w:p>
        </w:tc>
      </w:tr>
      <w:tr w:rsidR="00443FB3" w:rsidRPr="00BF210F" w14:paraId="6334BC2B" w14:textId="77777777" w:rsidTr="00632CFE">
        <w:tc>
          <w:tcPr>
            <w:tcW w:w="2098" w:type="dxa"/>
          </w:tcPr>
          <w:p w14:paraId="03BA2DDB" w14:textId="77777777" w:rsidR="00443FB3" w:rsidRPr="00BF210F" w:rsidRDefault="00443FB3" w:rsidP="00D66A20">
            <w:pPr>
              <w:jc w:val="center"/>
              <w:rPr>
                <w:rFonts w:cs="Arial"/>
                <w:sz w:val="20"/>
                <w:szCs w:val="20"/>
              </w:rPr>
            </w:pPr>
            <w:r w:rsidRPr="00BF210F">
              <w:rPr>
                <w:rFonts w:cs="Arial"/>
                <w:sz w:val="20"/>
                <w:szCs w:val="20"/>
              </w:rPr>
              <w:t>Sseggwanyi 2011</w:t>
            </w:r>
          </w:p>
        </w:tc>
        <w:tc>
          <w:tcPr>
            <w:tcW w:w="1362" w:type="dxa"/>
          </w:tcPr>
          <w:p w14:paraId="187DE561" w14:textId="77777777" w:rsidR="00443FB3" w:rsidRPr="00BF210F" w:rsidRDefault="00443FB3" w:rsidP="00D66A20">
            <w:pPr>
              <w:jc w:val="center"/>
              <w:rPr>
                <w:rFonts w:cs="Arial"/>
                <w:sz w:val="20"/>
                <w:szCs w:val="20"/>
              </w:rPr>
            </w:pPr>
            <w:r w:rsidRPr="00BF210F">
              <w:rPr>
                <w:rFonts w:cs="Arial"/>
                <w:sz w:val="20"/>
                <w:szCs w:val="20"/>
              </w:rPr>
              <w:t>0.96</w:t>
            </w:r>
          </w:p>
        </w:tc>
        <w:tc>
          <w:tcPr>
            <w:tcW w:w="1362" w:type="dxa"/>
          </w:tcPr>
          <w:p w14:paraId="30D58445" w14:textId="77777777" w:rsidR="00443FB3" w:rsidRPr="00BF210F" w:rsidRDefault="00443FB3" w:rsidP="00D66A20">
            <w:pPr>
              <w:jc w:val="center"/>
              <w:rPr>
                <w:rFonts w:cs="Arial"/>
                <w:sz w:val="20"/>
                <w:szCs w:val="20"/>
              </w:rPr>
            </w:pPr>
            <w:r w:rsidRPr="00BF210F">
              <w:rPr>
                <w:rFonts w:cs="Arial"/>
                <w:sz w:val="20"/>
                <w:szCs w:val="20"/>
              </w:rPr>
              <w:t>0.86-1.06</w:t>
            </w:r>
          </w:p>
        </w:tc>
        <w:tc>
          <w:tcPr>
            <w:tcW w:w="1362" w:type="dxa"/>
          </w:tcPr>
          <w:p w14:paraId="0A40103B" w14:textId="77777777" w:rsidR="00443FB3" w:rsidRPr="00BF210F" w:rsidRDefault="00443FB3" w:rsidP="00D66A20">
            <w:pPr>
              <w:jc w:val="center"/>
              <w:rPr>
                <w:rFonts w:cs="Arial"/>
                <w:sz w:val="20"/>
                <w:szCs w:val="20"/>
              </w:rPr>
            </w:pPr>
            <w:r w:rsidRPr="00BF210F">
              <w:rPr>
                <w:rFonts w:cs="Arial"/>
                <w:sz w:val="20"/>
                <w:szCs w:val="20"/>
              </w:rPr>
              <w:t>0.438</w:t>
            </w:r>
          </w:p>
        </w:tc>
        <w:tc>
          <w:tcPr>
            <w:tcW w:w="1539" w:type="dxa"/>
          </w:tcPr>
          <w:p w14:paraId="56BB4DA5" w14:textId="77777777" w:rsidR="00443FB3" w:rsidRPr="00BF210F" w:rsidRDefault="00443FB3" w:rsidP="00D66A20">
            <w:pPr>
              <w:jc w:val="center"/>
              <w:rPr>
                <w:rFonts w:cs="Arial"/>
                <w:sz w:val="20"/>
                <w:szCs w:val="20"/>
              </w:rPr>
            </w:pPr>
            <w:r w:rsidRPr="00BF210F">
              <w:rPr>
                <w:rFonts w:cs="Arial"/>
                <w:sz w:val="20"/>
                <w:szCs w:val="20"/>
              </w:rPr>
              <w:t>0.9</w:t>
            </w:r>
          </w:p>
        </w:tc>
        <w:tc>
          <w:tcPr>
            <w:tcW w:w="1446" w:type="dxa"/>
          </w:tcPr>
          <w:p w14:paraId="6A9EA534" w14:textId="77777777" w:rsidR="00443FB3" w:rsidRPr="00BF210F" w:rsidRDefault="00443FB3" w:rsidP="00D66A20">
            <w:pPr>
              <w:jc w:val="center"/>
              <w:rPr>
                <w:rFonts w:cs="Arial"/>
                <w:sz w:val="20"/>
                <w:szCs w:val="20"/>
              </w:rPr>
            </w:pPr>
            <w:r w:rsidRPr="00BF210F">
              <w:rPr>
                <w:rFonts w:cs="Arial"/>
                <w:sz w:val="20"/>
                <w:szCs w:val="20"/>
              </w:rPr>
              <w:t>0.426</w:t>
            </w:r>
          </w:p>
        </w:tc>
      </w:tr>
      <w:tr w:rsidR="00443FB3" w:rsidRPr="00BF210F" w14:paraId="7FA05F08" w14:textId="77777777" w:rsidTr="00632CFE">
        <w:tc>
          <w:tcPr>
            <w:tcW w:w="2098" w:type="dxa"/>
          </w:tcPr>
          <w:p w14:paraId="79239642" w14:textId="77777777" w:rsidR="00443FB3" w:rsidRPr="00BF210F" w:rsidRDefault="00443FB3" w:rsidP="00D66A20">
            <w:pPr>
              <w:jc w:val="center"/>
              <w:rPr>
                <w:rFonts w:cs="Arial"/>
                <w:sz w:val="20"/>
                <w:szCs w:val="20"/>
              </w:rPr>
            </w:pPr>
            <w:r w:rsidRPr="00BF210F">
              <w:rPr>
                <w:rFonts w:cs="Arial"/>
                <w:sz w:val="20"/>
                <w:szCs w:val="20"/>
              </w:rPr>
              <w:t>Cubasch 2013</w:t>
            </w:r>
          </w:p>
        </w:tc>
        <w:tc>
          <w:tcPr>
            <w:tcW w:w="1362" w:type="dxa"/>
          </w:tcPr>
          <w:p w14:paraId="65485D9B" w14:textId="77777777" w:rsidR="00443FB3" w:rsidRPr="00BF210F" w:rsidRDefault="00443FB3" w:rsidP="00D66A20">
            <w:pPr>
              <w:jc w:val="center"/>
              <w:rPr>
                <w:rFonts w:cs="Arial"/>
                <w:sz w:val="20"/>
                <w:szCs w:val="20"/>
              </w:rPr>
            </w:pPr>
            <w:r w:rsidRPr="00BF210F">
              <w:rPr>
                <w:rFonts w:cs="Arial"/>
                <w:sz w:val="20"/>
                <w:szCs w:val="20"/>
              </w:rPr>
              <w:t>0.85</w:t>
            </w:r>
          </w:p>
        </w:tc>
        <w:tc>
          <w:tcPr>
            <w:tcW w:w="1362" w:type="dxa"/>
          </w:tcPr>
          <w:p w14:paraId="243BF86C" w14:textId="77777777" w:rsidR="00443FB3" w:rsidRPr="00BF210F" w:rsidRDefault="00443FB3" w:rsidP="00D66A20">
            <w:pPr>
              <w:jc w:val="center"/>
              <w:rPr>
                <w:rFonts w:cs="Arial"/>
                <w:sz w:val="20"/>
                <w:szCs w:val="20"/>
              </w:rPr>
            </w:pPr>
            <w:r w:rsidRPr="00BF210F">
              <w:rPr>
                <w:rFonts w:cs="Arial"/>
                <w:sz w:val="20"/>
                <w:szCs w:val="20"/>
              </w:rPr>
              <w:t>0.68-1.05</w:t>
            </w:r>
          </w:p>
        </w:tc>
        <w:tc>
          <w:tcPr>
            <w:tcW w:w="1362" w:type="dxa"/>
          </w:tcPr>
          <w:p w14:paraId="2BB61D67" w14:textId="77777777" w:rsidR="00443FB3" w:rsidRPr="00BF210F" w:rsidRDefault="00443FB3" w:rsidP="00D66A20">
            <w:pPr>
              <w:jc w:val="center"/>
              <w:rPr>
                <w:rFonts w:cs="Arial"/>
                <w:sz w:val="20"/>
                <w:szCs w:val="20"/>
              </w:rPr>
            </w:pPr>
            <w:r w:rsidRPr="00BF210F">
              <w:rPr>
                <w:rFonts w:cs="Arial"/>
                <w:sz w:val="20"/>
                <w:szCs w:val="20"/>
              </w:rPr>
              <w:t>0.133</w:t>
            </w:r>
          </w:p>
        </w:tc>
        <w:tc>
          <w:tcPr>
            <w:tcW w:w="1539" w:type="dxa"/>
          </w:tcPr>
          <w:p w14:paraId="0492CDEA" w14:textId="77777777" w:rsidR="00443FB3" w:rsidRPr="00BF210F" w:rsidRDefault="00443FB3" w:rsidP="00D66A20">
            <w:pPr>
              <w:jc w:val="center"/>
              <w:rPr>
                <w:rFonts w:cs="Arial"/>
                <w:sz w:val="20"/>
                <w:szCs w:val="20"/>
              </w:rPr>
            </w:pPr>
            <w:r w:rsidRPr="00BF210F">
              <w:rPr>
                <w:rFonts w:cs="Arial"/>
                <w:sz w:val="20"/>
                <w:szCs w:val="20"/>
              </w:rPr>
              <w:t>36.7</w:t>
            </w:r>
          </w:p>
        </w:tc>
        <w:tc>
          <w:tcPr>
            <w:tcW w:w="1446" w:type="dxa"/>
          </w:tcPr>
          <w:p w14:paraId="0EF24727" w14:textId="77777777" w:rsidR="00443FB3" w:rsidRPr="00BF210F" w:rsidRDefault="00443FB3" w:rsidP="00D66A20">
            <w:pPr>
              <w:jc w:val="center"/>
              <w:rPr>
                <w:rFonts w:cs="Arial"/>
                <w:sz w:val="20"/>
                <w:szCs w:val="20"/>
              </w:rPr>
            </w:pPr>
            <w:r w:rsidRPr="00BF210F">
              <w:rPr>
                <w:rFonts w:cs="Arial"/>
                <w:sz w:val="20"/>
                <w:szCs w:val="20"/>
              </w:rPr>
              <w:t>0.125</w:t>
            </w:r>
          </w:p>
        </w:tc>
      </w:tr>
      <w:tr w:rsidR="00443FB3" w:rsidRPr="00BF210F" w14:paraId="73FC6123" w14:textId="77777777" w:rsidTr="00632CFE">
        <w:tc>
          <w:tcPr>
            <w:tcW w:w="2098" w:type="dxa"/>
          </w:tcPr>
          <w:p w14:paraId="466ABB21" w14:textId="77777777" w:rsidR="00443FB3" w:rsidRPr="00BF210F" w:rsidRDefault="00443FB3" w:rsidP="00D66A20">
            <w:pPr>
              <w:jc w:val="center"/>
              <w:rPr>
                <w:rFonts w:cs="Arial"/>
                <w:sz w:val="20"/>
                <w:szCs w:val="20"/>
              </w:rPr>
            </w:pPr>
            <w:r w:rsidRPr="00BF210F">
              <w:rPr>
                <w:rFonts w:cs="Arial"/>
                <w:sz w:val="20"/>
                <w:szCs w:val="20"/>
              </w:rPr>
              <w:t>Langenhoven 2016</w:t>
            </w:r>
          </w:p>
        </w:tc>
        <w:tc>
          <w:tcPr>
            <w:tcW w:w="1362" w:type="dxa"/>
          </w:tcPr>
          <w:p w14:paraId="0799B955" w14:textId="77777777" w:rsidR="00443FB3" w:rsidRPr="00BF210F" w:rsidRDefault="00443FB3" w:rsidP="00D66A20">
            <w:pPr>
              <w:jc w:val="center"/>
              <w:rPr>
                <w:rFonts w:cs="Arial"/>
                <w:sz w:val="20"/>
                <w:szCs w:val="20"/>
              </w:rPr>
            </w:pPr>
            <w:r w:rsidRPr="00BF210F">
              <w:rPr>
                <w:rFonts w:cs="Arial"/>
                <w:sz w:val="20"/>
                <w:szCs w:val="20"/>
              </w:rPr>
              <w:t>0.91</w:t>
            </w:r>
          </w:p>
        </w:tc>
        <w:tc>
          <w:tcPr>
            <w:tcW w:w="1362" w:type="dxa"/>
          </w:tcPr>
          <w:p w14:paraId="2F67AB46" w14:textId="77777777" w:rsidR="00443FB3" w:rsidRPr="00BF210F" w:rsidRDefault="00443FB3" w:rsidP="00D66A20">
            <w:pPr>
              <w:jc w:val="center"/>
              <w:rPr>
                <w:rFonts w:cs="Arial"/>
                <w:sz w:val="20"/>
                <w:szCs w:val="20"/>
              </w:rPr>
            </w:pPr>
            <w:r w:rsidRPr="00BF210F">
              <w:rPr>
                <w:rFonts w:cs="Arial"/>
                <w:sz w:val="20"/>
                <w:szCs w:val="20"/>
              </w:rPr>
              <w:t>0.78-1.07</w:t>
            </w:r>
          </w:p>
        </w:tc>
        <w:tc>
          <w:tcPr>
            <w:tcW w:w="1362" w:type="dxa"/>
          </w:tcPr>
          <w:p w14:paraId="37227B84" w14:textId="77777777" w:rsidR="00443FB3" w:rsidRPr="00BF210F" w:rsidRDefault="00443FB3" w:rsidP="00D66A20">
            <w:pPr>
              <w:jc w:val="center"/>
              <w:rPr>
                <w:rFonts w:cs="Arial"/>
                <w:sz w:val="20"/>
                <w:szCs w:val="20"/>
              </w:rPr>
            </w:pPr>
            <w:r w:rsidRPr="00BF210F">
              <w:rPr>
                <w:rFonts w:cs="Arial"/>
                <w:sz w:val="20"/>
                <w:szCs w:val="20"/>
              </w:rPr>
              <w:t>0.266</w:t>
            </w:r>
          </w:p>
        </w:tc>
        <w:tc>
          <w:tcPr>
            <w:tcW w:w="1539" w:type="dxa"/>
          </w:tcPr>
          <w:p w14:paraId="40E93DB0" w14:textId="77777777" w:rsidR="00443FB3" w:rsidRPr="00BF210F" w:rsidRDefault="00443FB3" w:rsidP="00D66A20">
            <w:pPr>
              <w:jc w:val="center"/>
              <w:rPr>
                <w:rFonts w:cs="Arial"/>
                <w:sz w:val="20"/>
                <w:szCs w:val="20"/>
              </w:rPr>
            </w:pPr>
            <w:r w:rsidRPr="00BF210F">
              <w:rPr>
                <w:rFonts w:cs="Arial"/>
                <w:sz w:val="20"/>
                <w:szCs w:val="20"/>
              </w:rPr>
              <w:t>21.2</w:t>
            </w:r>
          </w:p>
        </w:tc>
        <w:tc>
          <w:tcPr>
            <w:tcW w:w="1446" w:type="dxa"/>
          </w:tcPr>
          <w:p w14:paraId="4EF04E65" w14:textId="77777777" w:rsidR="00443FB3" w:rsidRPr="00BF210F" w:rsidRDefault="00443FB3" w:rsidP="00D66A20">
            <w:pPr>
              <w:jc w:val="center"/>
              <w:rPr>
                <w:rFonts w:cs="Arial"/>
                <w:sz w:val="20"/>
                <w:szCs w:val="20"/>
              </w:rPr>
            </w:pPr>
            <w:r w:rsidRPr="00BF210F">
              <w:rPr>
                <w:rFonts w:cs="Arial"/>
                <w:sz w:val="20"/>
                <w:szCs w:val="20"/>
              </w:rPr>
              <w:t>0.255</w:t>
            </w:r>
          </w:p>
        </w:tc>
      </w:tr>
      <w:tr w:rsidR="00443FB3" w:rsidRPr="00BF210F" w14:paraId="3C71E579" w14:textId="77777777" w:rsidTr="00632CFE">
        <w:tc>
          <w:tcPr>
            <w:tcW w:w="2098" w:type="dxa"/>
          </w:tcPr>
          <w:p w14:paraId="342783DC" w14:textId="77777777" w:rsidR="00443FB3" w:rsidRPr="00BF210F" w:rsidRDefault="00443FB3" w:rsidP="00D66A20">
            <w:pPr>
              <w:jc w:val="center"/>
              <w:rPr>
                <w:rFonts w:cs="Arial"/>
                <w:sz w:val="20"/>
                <w:szCs w:val="20"/>
              </w:rPr>
            </w:pPr>
            <w:r w:rsidRPr="00BF210F">
              <w:rPr>
                <w:rFonts w:cs="Arial"/>
                <w:sz w:val="20"/>
                <w:szCs w:val="20"/>
              </w:rPr>
              <w:t>Phakathi 2016</w:t>
            </w:r>
          </w:p>
        </w:tc>
        <w:tc>
          <w:tcPr>
            <w:tcW w:w="1362" w:type="dxa"/>
          </w:tcPr>
          <w:p w14:paraId="6AFA6A68" w14:textId="77777777" w:rsidR="00443FB3" w:rsidRPr="00BF210F" w:rsidRDefault="00443FB3" w:rsidP="00D66A20">
            <w:pPr>
              <w:jc w:val="center"/>
              <w:rPr>
                <w:rFonts w:cs="Arial"/>
                <w:sz w:val="20"/>
                <w:szCs w:val="20"/>
              </w:rPr>
            </w:pPr>
            <w:r w:rsidRPr="00BF210F">
              <w:rPr>
                <w:rFonts w:cs="Arial"/>
                <w:sz w:val="20"/>
                <w:szCs w:val="20"/>
              </w:rPr>
              <w:t>0.87</w:t>
            </w:r>
          </w:p>
        </w:tc>
        <w:tc>
          <w:tcPr>
            <w:tcW w:w="1362" w:type="dxa"/>
          </w:tcPr>
          <w:p w14:paraId="23D10FAB" w14:textId="77777777" w:rsidR="00443FB3" w:rsidRPr="00BF210F" w:rsidRDefault="00443FB3" w:rsidP="00D66A20">
            <w:pPr>
              <w:jc w:val="center"/>
              <w:rPr>
                <w:rFonts w:cs="Arial"/>
                <w:sz w:val="20"/>
                <w:szCs w:val="20"/>
              </w:rPr>
            </w:pPr>
            <w:r w:rsidRPr="00BF210F">
              <w:rPr>
                <w:rFonts w:cs="Arial"/>
                <w:sz w:val="20"/>
                <w:szCs w:val="20"/>
              </w:rPr>
              <w:t>0.71-1.05</w:t>
            </w:r>
          </w:p>
        </w:tc>
        <w:tc>
          <w:tcPr>
            <w:tcW w:w="1362" w:type="dxa"/>
          </w:tcPr>
          <w:p w14:paraId="2652DE93" w14:textId="77777777" w:rsidR="00443FB3" w:rsidRPr="00BF210F" w:rsidRDefault="00443FB3" w:rsidP="00D66A20">
            <w:pPr>
              <w:jc w:val="center"/>
              <w:rPr>
                <w:rFonts w:cs="Arial"/>
                <w:sz w:val="20"/>
                <w:szCs w:val="20"/>
              </w:rPr>
            </w:pPr>
            <w:r w:rsidRPr="00BF210F">
              <w:rPr>
                <w:rFonts w:cs="Arial"/>
                <w:sz w:val="20"/>
                <w:szCs w:val="20"/>
              </w:rPr>
              <w:t>0.145</w:t>
            </w:r>
          </w:p>
        </w:tc>
        <w:tc>
          <w:tcPr>
            <w:tcW w:w="1539" w:type="dxa"/>
          </w:tcPr>
          <w:p w14:paraId="543183DE" w14:textId="77777777" w:rsidR="00443FB3" w:rsidRPr="00BF210F" w:rsidRDefault="00443FB3" w:rsidP="00D66A20">
            <w:pPr>
              <w:jc w:val="center"/>
              <w:rPr>
                <w:rFonts w:cs="Arial"/>
                <w:sz w:val="20"/>
                <w:szCs w:val="20"/>
              </w:rPr>
            </w:pPr>
            <w:r w:rsidRPr="00BF210F">
              <w:rPr>
                <w:rFonts w:cs="Arial"/>
                <w:sz w:val="20"/>
                <w:szCs w:val="20"/>
              </w:rPr>
              <w:t>36.6</w:t>
            </w:r>
          </w:p>
        </w:tc>
        <w:tc>
          <w:tcPr>
            <w:tcW w:w="1446" w:type="dxa"/>
          </w:tcPr>
          <w:p w14:paraId="0A9CCD05" w14:textId="77777777" w:rsidR="00443FB3" w:rsidRPr="00BF210F" w:rsidRDefault="00443FB3" w:rsidP="00D66A20">
            <w:pPr>
              <w:jc w:val="center"/>
              <w:rPr>
                <w:rFonts w:cs="Arial"/>
                <w:sz w:val="20"/>
                <w:szCs w:val="20"/>
              </w:rPr>
            </w:pPr>
            <w:r w:rsidRPr="00BF210F">
              <w:rPr>
                <w:rFonts w:cs="Arial"/>
                <w:sz w:val="20"/>
                <w:szCs w:val="20"/>
              </w:rPr>
              <w:t>0.125</w:t>
            </w:r>
          </w:p>
        </w:tc>
      </w:tr>
      <w:tr w:rsidR="00443FB3" w:rsidRPr="00BF210F" w14:paraId="01AF3B80" w14:textId="77777777" w:rsidTr="00632CFE">
        <w:tc>
          <w:tcPr>
            <w:tcW w:w="2098" w:type="dxa"/>
          </w:tcPr>
          <w:p w14:paraId="787D36AF" w14:textId="77777777" w:rsidR="00443FB3" w:rsidRPr="00BF210F" w:rsidRDefault="00443FB3" w:rsidP="00D66A20">
            <w:pPr>
              <w:jc w:val="center"/>
              <w:rPr>
                <w:rFonts w:cs="Arial"/>
                <w:sz w:val="20"/>
                <w:szCs w:val="20"/>
              </w:rPr>
            </w:pPr>
            <w:r w:rsidRPr="00BF210F">
              <w:rPr>
                <w:rFonts w:cs="Arial"/>
                <w:sz w:val="20"/>
                <w:szCs w:val="20"/>
              </w:rPr>
              <w:t>Ngidi 2017</w:t>
            </w:r>
          </w:p>
        </w:tc>
        <w:tc>
          <w:tcPr>
            <w:tcW w:w="1362" w:type="dxa"/>
          </w:tcPr>
          <w:p w14:paraId="76A7CEB5" w14:textId="77777777" w:rsidR="00443FB3" w:rsidRPr="00BF210F" w:rsidRDefault="00443FB3" w:rsidP="00D66A20">
            <w:pPr>
              <w:jc w:val="center"/>
              <w:rPr>
                <w:rFonts w:cs="Arial"/>
                <w:sz w:val="20"/>
                <w:szCs w:val="20"/>
              </w:rPr>
            </w:pPr>
            <w:r w:rsidRPr="00BF210F">
              <w:rPr>
                <w:rFonts w:cs="Arial"/>
                <w:sz w:val="20"/>
                <w:szCs w:val="20"/>
              </w:rPr>
              <w:t>0.89</w:t>
            </w:r>
          </w:p>
        </w:tc>
        <w:tc>
          <w:tcPr>
            <w:tcW w:w="1362" w:type="dxa"/>
          </w:tcPr>
          <w:p w14:paraId="1EB1EEC4" w14:textId="77777777" w:rsidR="00443FB3" w:rsidRPr="00BF210F" w:rsidRDefault="00443FB3" w:rsidP="00D66A20">
            <w:pPr>
              <w:jc w:val="center"/>
              <w:rPr>
                <w:rFonts w:cs="Arial"/>
                <w:sz w:val="20"/>
                <w:szCs w:val="20"/>
              </w:rPr>
            </w:pPr>
            <w:r w:rsidRPr="00BF210F">
              <w:rPr>
                <w:rFonts w:cs="Arial"/>
                <w:sz w:val="20"/>
                <w:szCs w:val="20"/>
              </w:rPr>
              <w:t>0.75-1.05</w:t>
            </w:r>
          </w:p>
        </w:tc>
        <w:tc>
          <w:tcPr>
            <w:tcW w:w="1362" w:type="dxa"/>
          </w:tcPr>
          <w:p w14:paraId="2B21962B" w14:textId="77777777" w:rsidR="00443FB3" w:rsidRPr="00BF210F" w:rsidRDefault="00443FB3" w:rsidP="00D66A20">
            <w:pPr>
              <w:jc w:val="center"/>
              <w:rPr>
                <w:rFonts w:cs="Arial"/>
                <w:sz w:val="20"/>
                <w:szCs w:val="20"/>
              </w:rPr>
            </w:pPr>
            <w:r w:rsidRPr="00BF210F">
              <w:rPr>
                <w:rFonts w:cs="Arial"/>
                <w:sz w:val="20"/>
                <w:szCs w:val="20"/>
              </w:rPr>
              <w:t>0.176</w:t>
            </w:r>
          </w:p>
        </w:tc>
        <w:tc>
          <w:tcPr>
            <w:tcW w:w="1539" w:type="dxa"/>
          </w:tcPr>
          <w:p w14:paraId="428AB59B" w14:textId="77777777" w:rsidR="00443FB3" w:rsidRPr="00BF210F" w:rsidRDefault="00443FB3" w:rsidP="00D66A20">
            <w:pPr>
              <w:jc w:val="center"/>
              <w:rPr>
                <w:rFonts w:cs="Arial"/>
                <w:sz w:val="20"/>
                <w:szCs w:val="20"/>
              </w:rPr>
            </w:pPr>
            <w:r w:rsidRPr="00BF210F">
              <w:rPr>
                <w:rFonts w:cs="Arial"/>
                <w:sz w:val="20"/>
                <w:szCs w:val="20"/>
              </w:rPr>
              <w:t>29.2</w:t>
            </w:r>
          </w:p>
        </w:tc>
        <w:tc>
          <w:tcPr>
            <w:tcW w:w="1446" w:type="dxa"/>
          </w:tcPr>
          <w:p w14:paraId="5E65C7CF" w14:textId="77777777" w:rsidR="00443FB3" w:rsidRPr="00BF210F" w:rsidRDefault="00443FB3" w:rsidP="00D66A20">
            <w:pPr>
              <w:jc w:val="center"/>
              <w:rPr>
                <w:rFonts w:cs="Arial"/>
                <w:sz w:val="20"/>
                <w:szCs w:val="20"/>
              </w:rPr>
            </w:pPr>
            <w:r w:rsidRPr="00BF210F">
              <w:rPr>
                <w:rFonts w:cs="Arial"/>
                <w:sz w:val="20"/>
                <w:szCs w:val="20"/>
              </w:rPr>
              <w:t>0.185</w:t>
            </w:r>
          </w:p>
        </w:tc>
      </w:tr>
      <w:tr w:rsidR="00443FB3" w:rsidRPr="00BF210F" w14:paraId="6E6E5F97" w14:textId="77777777" w:rsidTr="00632CFE">
        <w:tc>
          <w:tcPr>
            <w:tcW w:w="2098" w:type="dxa"/>
          </w:tcPr>
          <w:p w14:paraId="3A8A552C" w14:textId="77777777" w:rsidR="00443FB3" w:rsidRPr="00BF210F" w:rsidRDefault="00443FB3" w:rsidP="00D66A20">
            <w:pPr>
              <w:jc w:val="center"/>
              <w:rPr>
                <w:rFonts w:cs="Arial"/>
                <w:sz w:val="20"/>
                <w:szCs w:val="20"/>
              </w:rPr>
            </w:pPr>
            <w:r w:rsidRPr="00BF210F">
              <w:rPr>
                <w:rFonts w:cs="Arial"/>
                <w:sz w:val="20"/>
                <w:szCs w:val="20"/>
              </w:rPr>
              <w:t>Presti 2017</w:t>
            </w:r>
          </w:p>
        </w:tc>
        <w:tc>
          <w:tcPr>
            <w:tcW w:w="1362" w:type="dxa"/>
          </w:tcPr>
          <w:p w14:paraId="67F25140" w14:textId="77777777" w:rsidR="00443FB3" w:rsidRPr="00BF210F" w:rsidRDefault="00443FB3" w:rsidP="00D66A20">
            <w:pPr>
              <w:jc w:val="center"/>
              <w:rPr>
                <w:rFonts w:cs="Arial"/>
                <w:sz w:val="20"/>
                <w:szCs w:val="20"/>
              </w:rPr>
            </w:pPr>
            <w:r w:rsidRPr="00BF210F">
              <w:rPr>
                <w:rFonts w:cs="Arial"/>
                <w:sz w:val="20"/>
                <w:szCs w:val="20"/>
              </w:rPr>
              <w:t>0.86</w:t>
            </w:r>
          </w:p>
        </w:tc>
        <w:tc>
          <w:tcPr>
            <w:tcW w:w="1362" w:type="dxa"/>
          </w:tcPr>
          <w:p w14:paraId="5623F40B" w14:textId="77777777" w:rsidR="00443FB3" w:rsidRPr="00BF210F" w:rsidRDefault="00443FB3" w:rsidP="00D66A20">
            <w:pPr>
              <w:jc w:val="center"/>
              <w:rPr>
                <w:rFonts w:cs="Arial"/>
                <w:sz w:val="20"/>
                <w:szCs w:val="20"/>
              </w:rPr>
            </w:pPr>
            <w:r w:rsidRPr="00BF210F">
              <w:rPr>
                <w:rFonts w:cs="Arial"/>
                <w:sz w:val="20"/>
                <w:szCs w:val="20"/>
              </w:rPr>
              <w:t>0.71-1.04</w:t>
            </w:r>
          </w:p>
        </w:tc>
        <w:tc>
          <w:tcPr>
            <w:tcW w:w="1362" w:type="dxa"/>
          </w:tcPr>
          <w:p w14:paraId="3C562423" w14:textId="77777777" w:rsidR="00443FB3" w:rsidRPr="00BF210F" w:rsidRDefault="00443FB3" w:rsidP="00D66A20">
            <w:pPr>
              <w:jc w:val="center"/>
              <w:rPr>
                <w:rFonts w:cs="Arial"/>
                <w:sz w:val="20"/>
                <w:szCs w:val="20"/>
              </w:rPr>
            </w:pPr>
            <w:r w:rsidRPr="00BF210F">
              <w:rPr>
                <w:rFonts w:cs="Arial"/>
                <w:sz w:val="20"/>
                <w:szCs w:val="20"/>
              </w:rPr>
              <w:t>0.128</w:t>
            </w:r>
          </w:p>
        </w:tc>
        <w:tc>
          <w:tcPr>
            <w:tcW w:w="1539" w:type="dxa"/>
          </w:tcPr>
          <w:p w14:paraId="4FB519E5" w14:textId="77777777" w:rsidR="00443FB3" w:rsidRPr="00BF210F" w:rsidRDefault="00443FB3" w:rsidP="00D66A20">
            <w:pPr>
              <w:jc w:val="center"/>
              <w:rPr>
                <w:rFonts w:cs="Arial"/>
                <w:sz w:val="20"/>
                <w:szCs w:val="20"/>
              </w:rPr>
            </w:pPr>
            <w:r w:rsidRPr="00BF210F">
              <w:rPr>
                <w:rFonts w:cs="Arial"/>
                <w:sz w:val="20"/>
                <w:szCs w:val="20"/>
              </w:rPr>
              <w:t>36.7</w:t>
            </w:r>
          </w:p>
        </w:tc>
        <w:tc>
          <w:tcPr>
            <w:tcW w:w="1446" w:type="dxa"/>
          </w:tcPr>
          <w:p w14:paraId="71AF5575" w14:textId="77777777" w:rsidR="00443FB3" w:rsidRPr="00BF210F" w:rsidRDefault="00443FB3" w:rsidP="00D66A20">
            <w:pPr>
              <w:jc w:val="center"/>
              <w:rPr>
                <w:rFonts w:cs="Arial"/>
                <w:sz w:val="20"/>
                <w:szCs w:val="20"/>
              </w:rPr>
            </w:pPr>
            <w:r w:rsidRPr="00BF210F">
              <w:rPr>
                <w:rFonts w:cs="Arial"/>
                <w:sz w:val="20"/>
                <w:szCs w:val="20"/>
              </w:rPr>
              <w:t>0.125</w:t>
            </w:r>
          </w:p>
        </w:tc>
      </w:tr>
      <w:tr w:rsidR="00443FB3" w:rsidRPr="00BF210F" w14:paraId="063FC68B" w14:textId="77777777" w:rsidTr="00632CFE">
        <w:tc>
          <w:tcPr>
            <w:tcW w:w="2098" w:type="dxa"/>
          </w:tcPr>
          <w:p w14:paraId="1B5607E3" w14:textId="77777777" w:rsidR="00443FB3" w:rsidRPr="00BF210F" w:rsidRDefault="00443FB3" w:rsidP="00D66A20">
            <w:pPr>
              <w:jc w:val="center"/>
              <w:rPr>
                <w:rFonts w:cs="Arial"/>
                <w:sz w:val="20"/>
                <w:szCs w:val="20"/>
              </w:rPr>
            </w:pPr>
            <w:r w:rsidRPr="00BF210F">
              <w:rPr>
                <w:rFonts w:cs="Arial"/>
                <w:sz w:val="20"/>
                <w:szCs w:val="20"/>
              </w:rPr>
              <w:t>Brandao 2019</w:t>
            </w:r>
          </w:p>
        </w:tc>
        <w:tc>
          <w:tcPr>
            <w:tcW w:w="1362" w:type="dxa"/>
          </w:tcPr>
          <w:p w14:paraId="4E7955D2" w14:textId="77777777" w:rsidR="00443FB3" w:rsidRPr="00BF210F" w:rsidRDefault="00443FB3" w:rsidP="00D66A20">
            <w:pPr>
              <w:jc w:val="center"/>
              <w:rPr>
                <w:rFonts w:cs="Arial"/>
                <w:sz w:val="20"/>
                <w:szCs w:val="20"/>
              </w:rPr>
            </w:pPr>
            <w:r w:rsidRPr="00BF210F">
              <w:rPr>
                <w:rFonts w:cs="Arial"/>
                <w:sz w:val="20"/>
                <w:szCs w:val="20"/>
              </w:rPr>
              <w:t>0.90</w:t>
            </w:r>
          </w:p>
        </w:tc>
        <w:tc>
          <w:tcPr>
            <w:tcW w:w="1362" w:type="dxa"/>
          </w:tcPr>
          <w:p w14:paraId="1FDE48A3" w14:textId="77777777" w:rsidR="00443FB3" w:rsidRPr="00BF210F" w:rsidRDefault="00443FB3" w:rsidP="00D66A20">
            <w:pPr>
              <w:jc w:val="center"/>
              <w:rPr>
                <w:rFonts w:cs="Arial"/>
                <w:sz w:val="20"/>
                <w:szCs w:val="20"/>
              </w:rPr>
            </w:pPr>
            <w:r w:rsidRPr="00BF210F">
              <w:rPr>
                <w:rFonts w:cs="Arial"/>
                <w:sz w:val="20"/>
                <w:szCs w:val="20"/>
              </w:rPr>
              <w:t>0.76-1.07</w:t>
            </w:r>
          </w:p>
        </w:tc>
        <w:tc>
          <w:tcPr>
            <w:tcW w:w="1362" w:type="dxa"/>
          </w:tcPr>
          <w:p w14:paraId="2D95458C" w14:textId="77777777" w:rsidR="00443FB3" w:rsidRPr="00BF210F" w:rsidRDefault="00443FB3" w:rsidP="00D66A20">
            <w:pPr>
              <w:jc w:val="center"/>
              <w:rPr>
                <w:rFonts w:cs="Arial"/>
                <w:sz w:val="20"/>
                <w:szCs w:val="20"/>
              </w:rPr>
            </w:pPr>
            <w:r w:rsidRPr="00BF210F">
              <w:rPr>
                <w:rFonts w:cs="Arial"/>
                <w:sz w:val="20"/>
                <w:szCs w:val="20"/>
              </w:rPr>
              <w:t>0.232</w:t>
            </w:r>
          </w:p>
        </w:tc>
        <w:tc>
          <w:tcPr>
            <w:tcW w:w="1539" w:type="dxa"/>
          </w:tcPr>
          <w:p w14:paraId="5299C567" w14:textId="77777777" w:rsidR="00443FB3" w:rsidRPr="00BF210F" w:rsidRDefault="00443FB3" w:rsidP="00D66A20">
            <w:pPr>
              <w:jc w:val="center"/>
              <w:rPr>
                <w:rFonts w:cs="Arial"/>
                <w:sz w:val="20"/>
                <w:szCs w:val="20"/>
              </w:rPr>
            </w:pPr>
            <w:r w:rsidRPr="00BF210F">
              <w:rPr>
                <w:rFonts w:cs="Arial"/>
                <w:sz w:val="20"/>
                <w:szCs w:val="20"/>
              </w:rPr>
              <w:t>27.3</w:t>
            </w:r>
          </w:p>
        </w:tc>
        <w:tc>
          <w:tcPr>
            <w:tcW w:w="1446" w:type="dxa"/>
          </w:tcPr>
          <w:p w14:paraId="7036ED70" w14:textId="77777777" w:rsidR="00443FB3" w:rsidRPr="00BF210F" w:rsidRDefault="00443FB3" w:rsidP="00D66A20">
            <w:pPr>
              <w:jc w:val="center"/>
              <w:rPr>
                <w:rFonts w:cs="Arial"/>
                <w:sz w:val="20"/>
                <w:szCs w:val="20"/>
              </w:rPr>
            </w:pPr>
            <w:r w:rsidRPr="00BF210F">
              <w:rPr>
                <w:rFonts w:cs="Arial"/>
                <w:sz w:val="20"/>
                <w:szCs w:val="20"/>
              </w:rPr>
              <w:t>0.201</w:t>
            </w:r>
          </w:p>
        </w:tc>
      </w:tr>
      <w:tr w:rsidR="00443FB3" w:rsidRPr="00BF210F" w14:paraId="7AB3047B" w14:textId="77777777" w:rsidTr="00632CFE">
        <w:tc>
          <w:tcPr>
            <w:tcW w:w="2098" w:type="dxa"/>
          </w:tcPr>
          <w:p w14:paraId="57B088DA" w14:textId="77777777" w:rsidR="00443FB3" w:rsidRPr="00BF210F" w:rsidRDefault="00443FB3" w:rsidP="00D66A20">
            <w:pPr>
              <w:jc w:val="center"/>
              <w:rPr>
                <w:rFonts w:cs="Arial"/>
                <w:sz w:val="20"/>
                <w:szCs w:val="20"/>
              </w:rPr>
            </w:pPr>
            <w:r w:rsidRPr="00BF210F">
              <w:rPr>
                <w:rFonts w:cs="Arial"/>
                <w:sz w:val="20"/>
                <w:szCs w:val="20"/>
              </w:rPr>
              <w:t>Coghill 2019</w:t>
            </w:r>
          </w:p>
        </w:tc>
        <w:tc>
          <w:tcPr>
            <w:tcW w:w="1362" w:type="dxa"/>
          </w:tcPr>
          <w:p w14:paraId="2A7F028A" w14:textId="77777777" w:rsidR="00443FB3" w:rsidRPr="00BF210F" w:rsidRDefault="00443FB3" w:rsidP="00D66A20">
            <w:pPr>
              <w:jc w:val="center"/>
              <w:rPr>
                <w:rFonts w:cs="Arial"/>
                <w:sz w:val="20"/>
                <w:szCs w:val="20"/>
              </w:rPr>
            </w:pPr>
            <w:r w:rsidRPr="00BF210F">
              <w:rPr>
                <w:rFonts w:cs="Arial"/>
                <w:sz w:val="20"/>
                <w:szCs w:val="20"/>
              </w:rPr>
              <w:t>0.82</w:t>
            </w:r>
          </w:p>
        </w:tc>
        <w:tc>
          <w:tcPr>
            <w:tcW w:w="1362" w:type="dxa"/>
          </w:tcPr>
          <w:p w14:paraId="65913ED3" w14:textId="77777777" w:rsidR="00443FB3" w:rsidRPr="00BF210F" w:rsidRDefault="00443FB3" w:rsidP="00D66A20">
            <w:pPr>
              <w:jc w:val="center"/>
              <w:rPr>
                <w:rFonts w:cs="Arial"/>
                <w:sz w:val="20"/>
                <w:szCs w:val="20"/>
              </w:rPr>
            </w:pPr>
            <w:r w:rsidRPr="00BF210F">
              <w:rPr>
                <w:rFonts w:cs="Arial"/>
                <w:sz w:val="20"/>
                <w:szCs w:val="20"/>
              </w:rPr>
              <w:t>0.66-1.01</w:t>
            </w:r>
          </w:p>
        </w:tc>
        <w:tc>
          <w:tcPr>
            <w:tcW w:w="1362" w:type="dxa"/>
          </w:tcPr>
          <w:p w14:paraId="10240490" w14:textId="77777777" w:rsidR="00443FB3" w:rsidRPr="00BF210F" w:rsidRDefault="00443FB3" w:rsidP="00D66A20">
            <w:pPr>
              <w:jc w:val="center"/>
              <w:rPr>
                <w:rFonts w:cs="Arial"/>
                <w:sz w:val="20"/>
                <w:szCs w:val="20"/>
              </w:rPr>
            </w:pPr>
            <w:r w:rsidRPr="00BF210F">
              <w:rPr>
                <w:rFonts w:cs="Arial"/>
                <w:sz w:val="20"/>
                <w:szCs w:val="20"/>
              </w:rPr>
              <w:t>0.057</w:t>
            </w:r>
          </w:p>
        </w:tc>
        <w:tc>
          <w:tcPr>
            <w:tcW w:w="1539" w:type="dxa"/>
          </w:tcPr>
          <w:p w14:paraId="50CFCEF8" w14:textId="77777777" w:rsidR="00443FB3" w:rsidRPr="00BF210F" w:rsidRDefault="00443FB3" w:rsidP="00D66A20">
            <w:pPr>
              <w:jc w:val="center"/>
              <w:rPr>
                <w:rFonts w:cs="Arial"/>
                <w:sz w:val="20"/>
                <w:szCs w:val="20"/>
              </w:rPr>
            </w:pPr>
            <w:r w:rsidRPr="00BF210F">
              <w:rPr>
                <w:rFonts w:cs="Arial"/>
                <w:sz w:val="20"/>
                <w:szCs w:val="20"/>
              </w:rPr>
              <w:t>14.1</w:t>
            </w:r>
          </w:p>
        </w:tc>
        <w:tc>
          <w:tcPr>
            <w:tcW w:w="1446" w:type="dxa"/>
          </w:tcPr>
          <w:p w14:paraId="4F43E4F2" w14:textId="77777777" w:rsidR="00443FB3" w:rsidRPr="00BF210F" w:rsidRDefault="00443FB3" w:rsidP="00D66A20">
            <w:pPr>
              <w:jc w:val="center"/>
              <w:rPr>
                <w:rFonts w:cs="Arial"/>
                <w:sz w:val="20"/>
                <w:szCs w:val="20"/>
              </w:rPr>
            </w:pPr>
            <w:r w:rsidRPr="00BF210F">
              <w:rPr>
                <w:rFonts w:cs="Arial"/>
                <w:sz w:val="20"/>
                <w:szCs w:val="20"/>
              </w:rPr>
              <w:t>0.317</w:t>
            </w:r>
          </w:p>
        </w:tc>
      </w:tr>
      <w:tr w:rsidR="00443FB3" w:rsidRPr="00BF210F" w14:paraId="3A077004" w14:textId="77777777" w:rsidTr="00632CFE">
        <w:tc>
          <w:tcPr>
            <w:tcW w:w="2098" w:type="dxa"/>
          </w:tcPr>
          <w:p w14:paraId="40BFEA74" w14:textId="77777777" w:rsidR="00443FB3" w:rsidRPr="00BF210F" w:rsidRDefault="00443FB3" w:rsidP="00D66A20">
            <w:pPr>
              <w:jc w:val="center"/>
              <w:rPr>
                <w:rFonts w:cs="Arial"/>
                <w:sz w:val="20"/>
                <w:szCs w:val="20"/>
              </w:rPr>
            </w:pPr>
            <w:r w:rsidRPr="00BF210F">
              <w:rPr>
                <w:rFonts w:cs="Arial"/>
                <w:sz w:val="20"/>
                <w:szCs w:val="20"/>
              </w:rPr>
              <w:t>Phakathi 2019</w:t>
            </w:r>
          </w:p>
        </w:tc>
        <w:tc>
          <w:tcPr>
            <w:tcW w:w="1362" w:type="dxa"/>
          </w:tcPr>
          <w:p w14:paraId="1D924314" w14:textId="77777777" w:rsidR="00443FB3" w:rsidRPr="00BF210F" w:rsidRDefault="00443FB3" w:rsidP="00D66A20">
            <w:pPr>
              <w:jc w:val="center"/>
              <w:rPr>
                <w:rFonts w:cs="Arial"/>
                <w:sz w:val="20"/>
                <w:szCs w:val="20"/>
              </w:rPr>
            </w:pPr>
            <w:r w:rsidRPr="00BF210F">
              <w:rPr>
                <w:rFonts w:cs="Arial"/>
                <w:sz w:val="20"/>
                <w:szCs w:val="20"/>
              </w:rPr>
              <w:t>0.88</w:t>
            </w:r>
          </w:p>
        </w:tc>
        <w:tc>
          <w:tcPr>
            <w:tcW w:w="1362" w:type="dxa"/>
          </w:tcPr>
          <w:p w14:paraId="0F240F11" w14:textId="77777777" w:rsidR="00443FB3" w:rsidRPr="00BF210F" w:rsidRDefault="00443FB3" w:rsidP="00D66A20">
            <w:pPr>
              <w:jc w:val="center"/>
              <w:rPr>
                <w:rFonts w:cs="Arial"/>
                <w:sz w:val="20"/>
                <w:szCs w:val="20"/>
              </w:rPr>
            </w:pPr>
            <w:r w:rsidRPr="00BF210F">
              <w:rPr>
                <w:rFonts w:cs="Arial"/>
                <w:sz w:val="20"/>
                <w:szCs w:val="20"/>
              </w:rPr>
              <w:t>0.72-1.09</w:t>
            </w:r>
          </w:p>
        </w:tc>
        <w:tc>
          <w:tcPr>
            <w:tcW w:w="1362" w:type="dxa"/>
          </w:tcPr>
          <w:p w14:paraId="7562A683" w14:textId="77777777" w:rsidR="00443FB3" w:rsidRPr="00BF210F" w:rsidRDefault="00443FB3" w:rsidP="00D66A20">
            <w:pPr>
              <w:jc w:val="center"/>
              <w:rPr>
                <w:rFonts w:cs="Arial"/>
                <w:sz w:val="20"/>
                <w:szCs w:val="20"/>
              </w:rPr>
            </w:pPr>
            <w:r w:rsidRPr="00BF210F">
              <w:rPr>
                <w:rFonts w:cs="Arial"/>
                <w:sz w:val="20"/>
                <w:szCs w:val="20"/>
              </w:rPr>
              <w:t>0.240</w:t>
            </w:r>
          </w:p>
        </w:tc>
        <w:tc>
          <w:tcPr>
            <w:tcW w:w="1539" w:type="dxa"/>
          </w:tcPr>
          <w:p w14:paraId="649AD74A" w14:textId="77777777" w:rsidR="00443FB3" w:rsidRPr="00BF210F" w:rsidRDefault="00443FB3" w:rsidP="00D66A20">
            <w:pPr>
              <w:jc w:val="center"/>
              <w:rPr>
                <w:rFonts w:cs="Arial"/>
                <w:sz w:val="20"/>
                <w:szCs w:val="20"/>
              </w:rPr>
            </w:pPr>
            <w:r w:rsidRPr="00BF210F">
              <w:rPr>
                <w:rFonts w:cs="Arial"/>
                <w:sz w:val="20"/>
                <w:szCs w:val="20"/>
              </w:rPr>
              <w:t>29.4</w:t>
            </w:r>
          </w:p>
        </w:tc>
        <w:tc>
          <w:tcPr>
            <w:tcW w:w="1446" w:type="dxa"/>
          </w:tcPr>
          <w:p w14:paraId="23421AB6" w14:textId="77777777" w:rsidR="00443FB3" w:rsidRPr="00BF210F" w:rsidRDefault="00443FB3" w:rsidP="00D66A20">
            <w:pPr>
              <w:jc w:val="center"/>
              <w:rPr>
                <w:rFonts w:cs="Arial"/>
                <w:sz w:val="20"/>
                <w:szCs w:val="20"/>
              </w:rPr>
            </w:pPr>
            <w:r w:rsidRPr="00BF210F">
              <w:rPr>
                <w:rFonts w:cs="Arial"/>
                <w:sz w:val="20"/>
                <w:szCs w:val="20"/>
              </w:rPr>
              <w:t>0.183</w:t>
            </w:r>
          </w:p>
        </w:tc>
      </w:tr>
      <w:tr w:rsidR="00443FB3" w:rsidRPr="00BF210F" w14:paraId="575CDA6A" w14:textId="77777777" w:rsidTr="00632CFE">
        <w:tc>
          <w:tcPr>
            <w:tcW w:w="2098" w:type="dxa"/>
          </w:tcPr>
          <w:p w14:paraId="4A611043" w14:textId="77777777" w:rsidR="00443FB3" w:rsidRPr="00BF210F" w:rsidRDefault="00443FB3" w:rsidP="00D66A20">
            <w:pPr>
              <w:jc w:val="center"/>
              <w:rPr>
                <w:rFonts w:cs="Arial"/>
                <w:sz w:val="20"/>
                <w:szCs w:val="20"/>
              </w:rPr>
            </w:pPr>
            <w:r w:rsidRPr="00BF210F">
              <w:rPr>
                <w:rFonts w:cs="Arial"/>
                <w:sz w:val="20"/>
                <w:szCs w:val="20"/>
              </w:rPr>
              <w:t>Sadigh 2019</w:t>
            </w:r>
          </w:p>
        </w:tc>
        <w:tc>
          <w:tcPr>
            <w:tcW w:w="1362" w:type="dxa"/>
          </w:tcPr>
          <w:p w14:paraId="08B9A6C5" w14:textId="77777777" w:rsidR="00443FB3" w:rsidRPr="00BF210F" w:rsidRDefault="00443FB3" w:rsidP="00D66A20">
            <w:pPr>
              <w:jc w:val="center"/>
              <w:rPr>
                <w:rFonts w:cs="Arial"/>
                <w:sz w:val="20"/>
                <w:szCs w:val="20"/>
              </w:rPr>
            </w:pPr>
            <w:r w:rsidRPr="00BF210F">
              <w:rPr>
                <w:rFonts w:cs="Arial"/>
                <w:sz w:val="20"/>
                <w:szCs w:val="20"/>
              </w:rPr>
              <w:t>0.84</w:t>
            </w:r>
          </w:p>
        </w:tc>
        <w:tc>
          <w:tcPr>
            <w:tcW w:w="1362" w:type="dxa"/>
          </w:tcPr>
          <w:p w14:paraId="553F9188" w14:textId="77777777" w:rsidR="00443FB3" w:rsidRPr="00BF210F" w:rsidRDefault="00443FB3" w:rsidP="00D66A20">
            <w:pPr>
              <w:jc w:val="center"/>
              <w:rPr>
                <w:rFonts w:cs="Arial"/>
                <w:sz w:val="20"/>
                <w:szCs w:val="20"/>
              </w:rPr>
            </w:pPr>
            <w:r w:rsidRPr="00BF210F">
              <w:rPr>
                <w:rFonts w:cs="Arial"/>
                <w:sz w:val="20"/>
                <w:szCs w:val="20"/>
              </w:rPr>
              <w:t>0.69-1.03</w:t>
            </w:r>
          </w:p>
        </w:tc>
        <w:tc>
          <w:tcPr>
            <w:tcW w:w="1362" w:type="dxa"/>
          </w:tcPr>
          <w:p w14:paraId="02BEF091" w14:textId="77777777" w:rsidR="00443FB3" w:rsidRPr="00BF210F" w:rsidRDefault="00443FB3" w:rsidP="00D66A20">
            <w:pPr>
              <w:jc w:val="center"/>
              <w:rPr>
                <w:rFonts w:cs="Arial"/>
                <w:sz w:val="20"/>
                <w:szCs w:val="20"/>
              </w:rPr>
            </w:pPr>
            <w:r w:rsidRPr="00BF210F">
              <w:rPr>
                <w:rFonts w:cs="Arial"/>
                <w:sz w:val="20"/>
                <w:szCs w:val="20"/>
              </w:rPr>
              <w:t>0.088</w:t>
            </w:r>
          </w:p>
        </w:tc>
        <w:tc>
          <w:tcPr>
            <w:tcW w:w="1539" w:type="dxa"/>
          </w:tcPr>
          <w:p w14:paraId="721F9C33" w14:textId="77777777" w:rsidR="00443FB3" w:rsidRPr="00BF210F" w:rsidRDefault="00443FB3" w:rsidP="00D66A20">
            <w:pPr>
              <w:jc w:val="center"/>
              <w:rPr>
                <w:rFonts w:cs="Arial"/>
                <w:sz w:val="20"/>
                <w:szCs w:val="20"/>
              </w:rPr>
            </w:pPr>
            <w:r w:rsidRPr="00BF210F">
              <w:rPr>
                <w:rFonts w:cs="Arial"/>
                <w:sz w:val="20"/>
                <w:szCs w:val="20"/>
              </w:rPr>
              <w:t>34.5</w:t>
            </w:r>
          </w:p>
        </w:tc>
        <w:tc>
          <w:tcPr>
            <w:tcW w:w="1446" w:type="dxa"/>
          </w:tcPr>
          <w:p w14:paraId="41B85334" w14:textId="77777777" w:rsidR="00443FB3" w:rsidRPr="00BF210F" w:rsidRDefault="00443FB3" w:rsidP="00D66A20">
            <w:pPr>
              <w:jc w:val="center"/>
              <w:rPr>
                <w:rFonts w:cs="Arial"/>
                <w:sz w:val="20"/>
                <w:szCs w:val="20"/>
              </w:rPr>
            </w:pPr>
            <w:r w:rsidRPr="00BF210F">
              <w:rPr>
                <w:rFonts w:cs="Arial"/>
                <w:sz w:val="20"/>
                <w:szCs w:val="20"/>
              </w:rPr>
              <w:t>0.142</w:t>
            </w:r>
          </w:p>
        </w:tc>
      </w:tr>
    </w:tbl>
    <w:p w14:paraId="2033FD43" w14:textId="134247BA" w:rsidR="00443FB3" w:rsidRPr="00BF210F" w:rsidRDefault="00ED1505" w:rsidP="00D66A20">
      <w:pPr>
        <w:rPr>
          <w:rFonts w:cs="Arial"/>
          <w:sz w:val="16"/>
          <w:lang w:val="en-US"/>
        </w:rPr>
      </w:pPr>
      <w:r w:rsidRPr="00BF210F">
        <w:rPr>
          <w:rFonts w:cs="Arial"/>
          <w:sz w:val="16"/>
          <w:lang w:val="en-US"/>
        </w:rPr>
        <w:t>CI: confidence interval; OR: odds ratio.</w:t>
      </w:r>
    </w:p>
    <w:p w14:paraId="0587A446" w14:textId="77777777" w:rsidR="00443FB3" w:rsidRPr="00BF210F" w:rsidRDefault="00443FB3" w:rsidP="00D66A20">
      <w:pPr>
        <w:rPr>
          <w:rFonts w:cs="Arial"/>
          <w:lang w:val="en-US"/>
        </w:rPr>
      </w:pPr>
    </w:p>
    <w:p w14:paraId="3FB5B5FF" w14:textId="77777777" w:rsidR="00443FB3" w:rsidRPr="00BF210F" w:rsidRDefault="00443FB3" w:rsidP="00D66A20">
      <w:pPr>
        <w:rPr>
          <w:rFonts w:cs="Arial"/>
          <w:lang w:val="en-US"/>
        </w:rPr>
      </w:pPr>
    </w:p>
    <w:p w14:paraId="3913C3B1" w14:textId="77777777" w:rsidR="00443FB3" w:rsidRPr="00BF210F" w:rsidRDefault="00443FB3" w:rsidP="00D66A20">
      <w:pPr>
        <w:rPr>
          <w:rFonts w:cs="Arial"/>
          <w:lang w:val="en-US"/>
        </w:rPr>
      </w:pPr>
      <w:r w:rsidRPr="00BF210F">
        <w:rPr>
          <w:rFonts w:cs="Arial"/>
          <w:lang w:val="en-US"/>
        </w:rPr>
        <w:br w:type="page"/>
      </w:r>
    </w:p>
    <w:p w14:paraId="46471ECA" w14:textId="274D3636" w:rsidR="00443FB3" w:rsidRPr="00BF210F" w:rsidRDefault="00BF210F" w:rsidP="00D66A20">
      <w:pPr>
        <w:rPr>
          <w:rFonts w:cs="Arial"/>
          <w:b/>
          <w:sz w:val="24"/>
          <w:lang w:val="en-US"/>
        </w:rPr>
      </w:pPr>
      <w:r>
        <w:rPr>
          <w:rFonts w:cs="Arial"/>
          <w:b/>
          <w:sz w:val="24"/>
          <w:szCs w:val="24"/>
          <w:lang w:val="en-US"/>
        </w:rPr>
        <w:lastRenderedPageBreak/>
        <w:t xml:space="preserve">Supplementary </w:t>
      </w:r>
      <w:r w:rsidR="00443FB3" w:rsidRPr="00BF210F">
        <w:rPr>
          <w:rFonts w:cs="Arial"/>
          <w:b/>
          <w:sz w:val="24"/>
          <w:lang w:val="en-US"/>
        </w:rPr>
        <w:t>Figure 1</w:t>
      </w:r>
      <w:r w:rsidR="001603F4" w:rsidRPr="00BF210F">
        <w:rPr>
          <w:rFonts w:cs="Arial"/>
          <w:b/>
          <w:sz w:val="24"/>
          <w:lang w:val="en-US"/>
        </w:rPr>
        <w:t>4</w:t>
      </w:r>
      <w:r w:rsidR="00636756" w:rsidRPr="00BF210F">
        <w:rPr>
          <w:rFonts w:cs="Arial"/>
          <w:b/>
          <w:sz w:val="24"/>
          <w:lang w:val="en-US"/>
        </w:rPr>
        <w:t xml:space="preserve"> –</w:t>
      </w:r>
      <w:r w:rsidR="00443FB3" w:rsidRPr="00BF210F">
        <w:rPr>
          <w:rFonts w:cs="Arial"/>
          <w:b/>
          <w:sz w:val="24"/>
          <w:lang w:val="en-US"/>
        </w:rPr>
        <w:t xml:space="preserve"> </w:t>
      </w:r>
      <w:r w:rsidR="001603F4" w:rsidRPr="00BF210F">
        <w:rPr>
          <w:rFonts w:cs="Arial"/>
          <w:b/>
          <w:sz w:val="24"/>
          <w:lang w:val="en-US"/>
        </w:rPr>
        <w:t>Meta-analysis of the odds of presenting with</w:t>
      </w:r>
      <w:r w:rsidR="00443FB3" w:rsidRPr="00BF210F">
        <w:rPr>
          <w:rFonts w:cs="Arial"/>
          <w:b/>
          <w:sz w:val="24"/>
          <w:lang w:val="en-US"/>
        </w:rPr>
        <w:t xml:space="preserve"> stage III at diagnosis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443FB3" w:rsidRPr="00BF210F">
        <w:rPr>
          <w:rFonts w:cs="Arial"/>
          <w:b/>
          <w:sz w:val="24"/>
          <w:lang w:val="en-US"/>
        </w:rPr>
        <w:t>.</w:t>
      </w:r>
    </w:p>
    <w:p w14:paraId="3174FBC8" w14:textId="77777777" w:rsidR="00C64564" w:rsidRPr="00BF210F" w:rsidRDefault="00896EA9" w:rsidP="00D66A20">
      <w:pPr>
        <w:rPr>
          <w:rFonts w:cs="Arial"/>
          <w:lang w:val="en-US"/>
        </w:rPr>
      </w:pPr>
      <w:r w:rsidRPr="00BF210F">
        <w:rPr>
          <w:rFonts w:cs="Arial"/>
          <w:noProof/>
          <w:lang w:val="pt-PT" w:eastAsia="pt-PT"/>
        </w:rPr>
        <mc:AlternateContent>
          <mc:Choice Requires="wps">
            <w:drawing>
              <wp:anchor distT="0" distB="0" distL="114300" distR="114300" simplePos="0" relativeHeight="251663360" behindDoc="0" locked="0" layoutInCell="1" allowOverlap="1" wp14:anchorId="22417BC7" wp14:editId="453633DF">
                <wp:simplePos x="0" y="0"/>
                <wp:positionH relativeFrom="column">
                  <wp:posOffset>1778635</wp:posOffset>
                </wp:positionH>
                <wp:positionV relativeFrom="paragraph">
                  <wp:posOffset>4040978</wp:posOffset>
                </wp:positionV>
                <wp:extent cx="889000" cy="222250"/>
                <wp:effectExtent l="0" t="0" r="0" b="0"/>
                <wp:wrapNone/>
                <wp:docPr id="31" name="Rectangle 31"/>
                <wp:cNvGraphicFramePr/>
                <a:graphic xmlns:a="http://schemas.openxmlformats.org/drawingml/2006/main">
                  <a:graphicData uri="http://schemas.microsoft.com/office/word/2010/wordprocessingShape">
                    <wps:wsp>
                      <wps:cNvSpPr/>
                      <wps:spPr>
                        <a:xfrm>
                          <a:off x="0" y="0"/>
                          <a:ext cx="889000" cy="2222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66A5D3E" w14:textId="313B8CC2" w:rsidR="00363D1D" w:rsidRPr="00896EA9" w:rsidRDefault="00363D1D" w:rsidP="00896EA9">
                            <w:pPr>
                              <w:jc w:val="center"/>
                              <w:rPr>
                                <w:sz w:val="16"/>
                                <w:szCs w:val="16"/>
                                <w:lang w:val="en-US"/>
                              </w:rPr>
                            </w:pPr>
                            <w:r>
                              <w:rPr>
                                <w:sz w:val="16"/>
                                <w:szCs w:val="16"/>
                                <w:lang w:val="en-US"/>
                              </w:rPr>
                              <w:t>OR (95% 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17BC7" id="Rectangle 31" o:spid="_x0000_s1028" style="position:absolute;margin-left:140.05pt;margin-top:318.2pt;width:70pt;height: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" filled="f" stroked="f" strokeweight="2pt">
                <v:textbox>
                  <w:txbxContent>
                    <w:p w14:paraId="266A5D3E" w14:textId="313B8CC2" w:rsidR="00363D1D" w:rsidRPr="00896EA9" w:rsidRDefault="00363D1D" w:rsidP="00896EA9">
                      <w:pPr>
                        <w:jc w:val="center"/>
                        <w:rPr>
                          <w:sz w:val="16"/>
                          <w:szCs w:val="16"/>
                          <w:lang w:val="en-US"/>
                        </w:rPr>
                      </w:pPr>
                      <w:r>
                        <w:rPr>
                          <w:sz w:val="16"/>
                          <w:szCs w:val="16"/>
                          <w:lang w:val="en-US"/>
                        </w:rPr>
                        <w:t>OR (95% CI)</w:t>
                      </w:r>
                    </w:p>
                  </w:txbxContent>
                </v:textbox>
              </v:rect>
            </w:pict>
          </mc:Fallback>
        </mc:AlternateContent>
      </w:r>
      <w:r w:rsidR="00C64564" w:rsidRPr="00BF210F">
        <w:rPr>
          <w:rFonts w:cs="Arial"/>
          <w:noProof/>
          <w:lang w:val="pt-PT" w:eastAsia="pt-PT"/>
        </w:rPr>
        <w:drawing>
          <wp:inline distT="0" distB="0" distL="0" distR="0" wp14:anchorId="4B70BCCA" wp14:editId="3F0775DD">
            <wp:extent cx="6120130" cy="435157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4351575"/>
                    </a:xfrm>
                    <a:prstGeom prst="rect">
                      <a:avLst/>
                    </a:prstGeom>
                    <a:noFill/>
                    <a:ln>
                      <a:noFill/>
                    </a:ln>
                  </pic:spPr>
                </pic:pic>
              </a:graphicData>
            </a:graphic>
          </wp:inline>
        </w:drawing>
      </w:r>
    </w:p>
    <w:p w14:paraId="6FEBFDAC" w14:textId="3FD09B6B" w:rsidR="00636756" w:rsidRPr="00BF210F" w:rsidRDefault="00636756" w:rsidP="00D66A20">
      <w:pPr>
        <w:rPr>
          <w:rFonts w:cs="Arial"/>
          <w:sz w:val="20"/>
          <w:lang w:val="en-US"/>
        </w:rPr>
      </w:pPr>
      <w:r w:rsidRPr="00BF210F">
        <w:rPr>
          <w:rFonts w:cs="Arial"/>
          <w:sz w:val="16"/>
          <w:lang w:val="en-US"/>
        </w:rPr>
        <w:t>Random effect: p&lt;0.001</w:t>
      </w:r>
      <w:r w:rsidR="0035681D" w:rsidRPr="00BF210F">
        <w:rPr>
          <w:rFonts w:cs="Arial"/>
          <w:sz w:val="16"/>
          <w:lang w:val="en-US"/>
        </w:rPr>
        <w:t xml:space="preserve">. </w:t>
      </w:r>
      <w:r w:rsidR="0035681D" w:rsidRPr="00BF210F">
        <w:rPr>
          <w:rFonts w:cs="Arial"/>
          <w:sz w:val="16"/>
          <w:szCs w:val="16"/>
          <w:lang w:val="en-US"/>
        </w:rPr>
        <w:t>CI=confidence interval; OR=odds ratio.</w:t>
      </w:r>
    </w:p>
    <w:p w14:paraId="4B6F9D67" w14:textId="77777777" w:rsidR="00E423E2" w:rsidRPr="00BF210F" w:rsidRDefault="00E423E2" w:rsidP="00D66A20">
      <w:pPr>
        <w:rPr>
          <w:rFonts w:cs="Arial"/>
          <w:sz w:val="20"/>
          <w:lang w:val="en-US"/>
        </w:rPr>
      </w:pPr>
    </w:p>
    <w:p w14:paraId="13F6643E" w14:textId="77777777" w:rsidR="00C64564" w:rsidRPr="00BF210F" w:rsidRDefault="00C64564" w:rsidP="00D66A20">
      <w:pPr>
        <w:rPr>
          <w:rFonts w:cs="Arial"/>
          <w:sz w:val="20"/>
          <w:lang w:val="en-US"/>
        </w:rPr>
      </w:pPr>
    </w:p>
    <w:p w14:paraId="6E70609C" w14:textId="2F1245D2" w:rsidR="00A324DC" w:rsidRPr="00BF210F" w:rsidRDefault="00BF210F" w:rsidP="00D66A20">
      <w:pPr>
        <w:rPr>
          <w:rFonts w:cs="Arial"/>
          <w:b/>
          <w:sz w:val="24"/>
          <w:lang w:val="en-US"/>
        </w:rPr>
      </w:pPr>
      <w:r>
        <w:rPr>
          <w:rFonts w:cs="Arial"/>
          <w:b/>
          <w:sz w:val="24"/>
          <w:szCs w:val="24"/>
          <w:lang w:val="en-US"/>
        </w:rPr>
        <w:t xml:space="preserve">Supplementary </w:t>
      </w:r>
      <w:r w:rsidR="005432BA" w:rsidRPr="00BF210F">
        <w:rPr>
          <w:rFonts w:cs="Arial"/>
          <w:b/>
          <w:sz w:val="24"/>
          <w:lang w:val="en-US"/>
        </w:rPr>
        <w:t>Table 10</w:t>
      </w:r>
      <w:r w:rsidR="00C64564" w:rsidRPr="00BF210F">
        <w:rPr>
          <w:rFonts w:cs="Arial"/>
          <w:b/>
          <w:sz w:val="24"/>
          <w:lang w:val="en-US"/>
        </w:rPr>
        <w:t xml:space="preserve"> – </w:t>
      </w:r>
      <w:r w:rsidR="001603F4" w:rsidRPr="00BF210F">
        <w:rPr>
          <w:rFonts w:cs="Arial"/>
          <w:b/>
          <w:sz w:val="24"/>
          <w:lang w:val="en-US"/>
        </w:rPr>
        <w:t>Sensitivity analysis of the odds of presenting with</w:t>
      </w:r>
      <w:r w:rsidR="00C64564" w:rsidRPr="00BF210F">
        <w:rPr>
          <w:rFonts w:cs="Arial"/>
          <w:b/>
          <w:sz w:val="24"/>
          <w:lang w:val="en-US"/>
        </w:rPr>
        <w:t xml:space="preserve"> stage III at diagnosis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A324DC" w:rsidRPr="00BF210F">
        <w:rPr>
          <w:rFonts w:cs="Arial"/>
          <w:b/>
          <w:sz w:val="24"/>
          <w:lang w:val="en-US"/>
        </w:rPr>
        <w:t>.</w:t>
      </w:r>
    </w:p>
    <w:p w14:paraId="68372274" w14:textId="77777777" w:rsidR="00C64564" w:rsidRPr="00BF210F" w:rsidRDefault="00C64564" w:rsidP="00D66A20">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C64564" w:rsidRPr="00BF210F" w14:paraId="18DA3FBD" w14:textId="77777777" w:rsidTr="00C25E84">
        <w:tc>
          <w:tcPr>
            <w:tcW w:w="2098" w:type="dxa"/>
            <w:vMerge w:val="restart"/>
          </w:tcPr>
          <w:p w14:paraId="263197A1" w14:textId="77777777" w:rsidR="00C64564" w:rsidRPr="00BF210F" w:rsidRDefault="00C64564" w:rsidP="00D66A20">
            <w:pPr>
              <w:jc w:val="center"/>
              <w:rPr>
                <w:rFonts w:cs="Arial"/>
                <w:b/>
                <w:sz w:val="20"/>
                <w:szCs w:val="20"/>
              </w:rPr>
            </w:pPr>
            <w:r w:rsidRPr="00BF210F">
              <w:rPr>
                <w:rFonts w:cs="Arial"/>
                <w:b/>
                <w:sz w:val="20"/>
                <w:szCs w:val="20"/>
              </w:rPr>
              <w:t>Study excluded</w:t>
            </w:r>
          </w:p>
        </w:tc>
        <w:tc>
          <w:tcPr>
            <w:tcW w:w="4086" w:type="dxa"/>
            <w:gridSpan w:val="3"/>
          </w:tcPr>
          <w:p w14:paraId="5792CD02" w14:textId="77777777" w:rsidR="00C64564" w:rsidRPr="00BF210F" w:rsidRDefault="00C64564" w:rsidP="00D66A20">
            <w:pPr>
              <w:jc w:val="center"/>
              <w:rPr>
                <w:rFonts w:cs="Arial"/>
                <w:b/>
                <w:sz w:val="20"/>
                <w:szCs w:val="20"/>
              </w:rPr>
            </w:pPr>
            <w:r w:rsidRPr="00BF210F">
              <w:rPr>
                <w:rFonts w:cs="Arial"/>
                <w:b/>
                <w:sz w:val="20"/>
                <w:szCs w:val="20"/>
              </w:rPr>
              <w:t>Random effect</w:t>
            </w:r>
          </w:p>
        </w:tc>
        <w:tc>
          <w:tcPr>
            <w:tcW w:w="1539" w:type="dxa"/>
            <w:vMerge w:val="restart"/>
          </w:tcPr>
          <w:p w14:paraId="35CFB78B" w14:textId="03596F8F" w:rsidR="00C64564" w:rsidRPr="00BF210F" w:rsidRDefault="00C316F4"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w:t>
            </w:r>
            <w:r w:rsidR="00C64564" w:rsidRPr="00BF210F">
              <w:rPr>
                <w:rFonts w:cs="Arial"/>
                <w:b/>
                <w:sz w:val="20"/>
                <w:szCs w:val="20"/>
              </w:rPr>
              <w:t>(%)</w:t>
            </w:r>
          </w:p>
        </w:tc>
        <w:tc>
          <w:tcPr>
            <w:tcW w:w="1446" w:type="dxa"/>
            <w:vMerge w:val="restart"/>
          </w:tcPr>
          <w:p w14:paraId="7CC125F6" w14:textId="34730B5E" w:rsidR="00C64564" w:rsidRPr="00BF210F" w:rsidRDefault="00C316F4"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 xml:space="preserve">2 </w:t>
            </w:r>
            <w:r w:rsidR="00C64564" w:rsidRPr="00BF210F">
              <w:rPr>
                <w:rFonts w:cs="Arial"/>
                <w:b/>
                <w:sz w:val="20"/>
                <w:szCs w:val="20"/>
              </w:rPr>
              <w:t>P-value</w:t>
            </w:r>
          </w:p>
        </w:tc>
      </w:tr>
      <w:tr w:rsidR="00C64564" w:rsidRPr="00BF210F" w14:paraId="5A0F8EA2" w14:textId="77777777" w:rsidTr="00632CFE">
        <w:tc>
          <w:tcPr>
            <w:tcW w:w="2098" w:type="dxa"/>
            <w:vMerge/>
          </w:tcPr>
          <w:p w14:paraId="07CBE265" w14:textId="77777777" w:rsidR="00C64564" w:rsidRPr="00BF210F" w:rsidRDefault="00C64564" w:rsidP="00D66A20">
            <w:pPr>
              <w:jc w:val="center"/>
              <w:rPr>
                <w:rFonts w:cs="Arial"/>
                <w:b/>
                <w:sz w:val="20"/>
                <w:szCs w:val="20"/>
              </w:rPr>
            </w:pPr>
          </w:p>
        </w:tc>
        <w:tc>
          <w:tcPr>
            <w:tcW w:w="1362" w:type="dxa"/>
          </w:tcPr>
          <w:p w14:paraId="33B90107" w14:textId="6705FCC5" w:rsidR="00C64564" w:rsidRPr="00BF210F" w:rsidRDefault="00ED1505" w:rsidP="00D66A20">
            <w:pPr>
              <w:jc w:val="center"/>
              <w:rPr>
                <w:rFonts w:cs="Arial"/>
                <w:b/>
                <w:sz w:val="20"/>
                <w:szCs w:val="20"/>
              </w:rPr>
            </w:pPr>
            <w:r w:rsidRPr="00BF210F">
              <w:rPr>
                <w:rFonts w:cs="Arial"/>
                <w:b/>
                <w:sz w:val="20"/>
                <w:szCs w:val="20"/>
              </w:rPr>
              <w:t xml:space="preserve">Pooled </w:t>
            </w:r>
            <w:r w:rsidR="00C64564" w:rsidRPr="00BF210F">
              <w:rPr>
                <w:rFonts w:cs="Arial"/>
                <w:b/>
                <w:sz w:val="20"/>
                <w:szCs w:val="20"/>
              </w:rPr>
              <w:t>OR</w:t>
            </w:r>
          </w:p>
        </w:tc>
        <w:tc>
          <w:tcPr>
            <w:tcW w:w="1362" w:type="dxa"/>
          </w:tcPr>
          <w:p w14:paraId="5B693631" w14:textId="77777777" w:rsidR="00C64564" w:rsidRPr="00BF210F" w:rsidRDefault="00C64564" w:rsidP="00D66A20">
            <w:pPr>
              <w:jc w:val="center"/>
              <w:rPr>
                <w:rFonts w:cs="Arial"/>
                <w:b/>
                <w:sz w:val="20"/>
                <w:szCs w:val="20"/>
              </w:rPr>
            </w:pPr>
            <w:r w:rsidRPr="00BF210F">
              <w:rPr>
                <w:rFonts w:cs="Arial"/>
                <w:b/>
                <w:sz w:val="20"/>
                <w:szCs w:val="20"/>
              </w:rPr>
              <w:t>95% CI</w:t>
            </w:r>
          </w:p>
        </w:tc>
        <w:tc>
          <w:tcPr>
            <w:tcW w:w="1362" w:type="dxa"/>
          </w:tcPr>
          <w:p w14:paraId="6E50EF08" w14:textId="77777777" w:rsidR="00C64564" w:rsidRPr="00BF210F" w:rsidRDefault="00C64564" w:rsidP="00D66A20">
            <w:pPr>
              <w:jc w:val="center"/>
              <w:rPr>
                <w:rFonts w:cs="Arial"/>
                <w:b/>
                <w:sz w:val="20"/>
                <w:szCs w:val="20"/>
              </w:rPr>
            </w:pPr>
            <w:r w:rsidRPr="00BF210F">
              <w:rPr>
                <w:rFonts w:cs="Arial"/>
                <w:b/>
                <w:sz w:val="20"/>
                <w:szCs w:val="20"/>
              </w:rPr>
              <w:t>P-value</w:t>
            </w:r>
          </w:p>
        </w:tc>
        <w:tc>
          <w:tcPr>
            <w:tcW w:w="1539" w:type="dxa"/>
            <w:vMerge/>
          </w:tcPr>
          <w:p w14:paraId="31EF0210" w14:textId="77777777" w:rsidR="00C64564" w:rsidRPr="00BF210F" w:rsidRDefault="00C64564" w:rsidP="00D66A20">
            <w:pPr>
              <w:jc w:val="center"/>
              <w:rPr>
                <w:rFonts w:cs="Arial"/>
                <w:b/>
                <w:sz w:val="20"/>
                <w:szCs w:val="20"/>
              </w:rPr>
            </w:pPr>
          </w:p>
        </w:tc>
        <w:tc>
          <w:tcPr>
            <w:tcW w:w="1446" w:type="dxa"/>
            <w:vMerge/>
          </w:tcPr>
          <w:p w14:paraId="392EF8E7" w14:textId="77777777" w:rsidR="00C64564" w:rsidRPr="00BF210F" w:rsidRDefault="00C64564" w:rsidP="00D66A20">
            <w:pPr>
              <w:jc w:val="center"/>
              <w:rPr>
                <w:rFonts w:cs="Arial"/>
                <w:b/>
                <w:sz w:val="20"/>
                <w:szCs w:val="20"/>
              </w:rPr>
            </w:pPr>
          </w:p>
        </w:tc>
      </w:tr>
      <w:tr w:rsidR="00C64564" w:rsidRPr="00BF210F" w14:paraId="17A8B47A" w14:textId="77777777" w:rsidTr="00632CFE">
        <w:tc>
          <w:tcPr>
            <w:tcW w:w="2098" w:type="dxa"/>
          </w:tcPr>
          <w:p w14:paraId="21DFB917" w14:textId="77777777" w:rsidR="00C64564" w:rsidRPr="00BF210F" w:rsidRDefault="00C64564" w:rsidP="00D66A20">
            <w:pPr>
              <w:jc w:val="center"/>
              <w:rPr>
                <w:rFonts w:cs="Arial"/>
                <w:sz w:val="20"/>
                <w:szCs w:val="20"/>
              </w:rPr>
            </w:pPr>
            <w:r w:rsidRPr="00BF210F">
              <w:rPr>
                <w:rFonts w:cs="Arial"/>
                <w:sz w:val="20"/>
                <w:szCs w:val="20"/>
              </w:rPr>
              <w:t>Sseggwanyi 2011</w:t>
            </w:r>
          </w:p>
        </w:tc>
        <w:tc>
          <w:tcPr>
            <w:tcW w:w="1362" w:type="dxa"/>
          </w:tcPr>
          <w:p w14:paraId="1ECC71D6" w14:textId="77777777" w:rsidR="00C64564" w:rsidRPr="00BF210F" w:rsidRDefault="00C64564" w:rsidP="00D66A20">
            <w:pPr>
              <w:jc w:val="center"/>
              <w:rPr>
                <w:rFonts w:cs="Arial"/>
                <w:sz w:val="20"/>
                <w:szCs w:val="20"/>
              </w:rPr>
            </w:pPr>
            <w:r w:rsidRPr="00BF210F">
              <w:rPr>
                <w:rFonts w:cs="Arial"/>
                <w:sz w:val="20"/>
                <w:szCs w:val="20"/>
              </w:rPr>
              <w:t>1.24</w:t>
            </w:r>
          </w:p>
        </w:tc>
        <w:tc>
          <w:tcPr>
            <w:tcW w:w="1362" w:type="dxa"/>
          </w:tcPr>
          <w:p w14:paraId="2437E75A" w14:textId="77777777" w:rsidR="00C64564" w:rsidRPr="00BF210F" w:rsidRDefault="00C64564" w:rsidP="00D66A20">
            <w:pPr>
              <w:jc w:val="center"/>
              <w:rPr>
                <w:rFonts w:cs="Arial"/>
                <w:sz w:val="20"/>
                <w:szCs w:val="20"/>
              </w:rPr>
            </w:pPr>
            <w:r w:rsidRPr="00BF210F">
              <w:rPr>
                <w:rFonts w:cs="Arial"/>
                <w:sz w:val="20"/>
                <w:szCs w:val="20"/>
              </w:rPr>
              <w:t>1.10-1.39</w:t>
            </w:r>
          </w:p>
        </w:tc>
        <w:tc>
          <w:tcPr>
            <w:tcW w:w="1362" w:type="dxa"/>
          </w:tcPr>
          <w:p w14:paraId="0FB31B8D" w14:textId="77777777" w:rsidR="00C64564" w:rsidRPr="00BF210F" w:rsidRDefault="00C64564" w:rsidP="00D66A20">
            <w:pPr>
              <w:jc w:val="center"/>
              <w:rPr>
                <w:rFonts w:cs="Arial"/>
                <w:sz w:val="20"/>
                <w:szCs w:val="20"/>
              </w:rPr>
            </w:pPr>
            <w:r w:rsidRPr="00BF210F">
              <w:rPr>
                <w:rFonts w:cs="Arial"/>
                <w:sz w:val="20"/>
                <w:szCs w:val="20"/>
              </w:rPr>
              <w:t>&lt;0.001</w:t>
            </w:r>
          </w:p>
        </w:tc>
        <w:tc>
          <w:tcPr>
            <w:tcW w:w="1539" w:type="dxa"/>
          </w:tcPr>
          <w:p w14:paraId="65349802" w14:textId="77777777" w:rsidR="00C64564" w:rsidRPr="00BF210F" w:rsidRDefault="00C64564" w:rsidP="00D66A20">
            <w:pPr>
              <w:jc w:val="center"/>
              <w:rPr>
                <w:rFonts w:cs="Arial"/>
                <w:sz w:val="20"/>
                <w:szCs w:val="20"/>
              </w:rPr>
            </w:pPr>
            <w:r w:rsidRPr="00BF210F">
              <w:rPr>
                <w:rFonts w:cs="Arial"/>
                <w:sz w:val="20"/>
                <w:szCs w:val="20"/>
              </w:rPr>
              <w:t>0.0</w:t>
            </w:r>
          </w:p>
        </w:tc>
        <w:tc>
          <w:tcPr>
            <w:tcW w:w="1446" w:type="dxa"/>
          </w:tcPr>
          <w:p w14:paraId="2DB86FE0" w14:textId="77777777" w:rsidR="00C64564" w:rsidRPr="00BF210F" w:rsidRDefault="00C64564" w:rsidP="00D66A20">
            <w:pPr>
              <w:jc w:val="center"/>
              <w:rPr>
                <w:rFonts w:cs="Arial"/>
                <w:sz w:val="20"/>
                <w:szCs w:val="20"/>
              </w:rPr>
            </w:pPr>
            <w:r w:rsidRPr="00BF210F">
              <w:rPr>
                <w:rFonts w:cs="Arial"/>
                <w:sz w:val="20"/>
                <w:szCs w:val="20"/>
              </w:rPr>
              <w:t>0.603</w:t>
            </w:r>
          </w:p>
        </w:tc>
      </w:tr>
      <w:tr w:rsidR="00C64564" w:rsidRPr="00BF210F" w14:paraId="309DA853" w14:textId="77777777" w:rsidTr="00632CFE">
        <w:tc>
          <w:tcPr>
            <w:tcW w:w="2098" w:type="dxa"/>
          </w:tcPr>
          <w:p w14:paraId="3E206677" w14:textId="77777777" w:rsidR="00C64564" w:rsidRPr="00BF210F" w:rsidRDefault="00C64564" w:rsidP="00D66A20">
            <w:pPr>
              <w:jc w:val="center"/>
              <w:rPr>
                <w:rFonts w:cs="Arial"/>
                <w:sz w:val="20"/>
                <w:szCs w:val="20"/>
              </w:rPr>
            </w:pPr>
            <w:r w:rsidRPr="00BF210F">
              <w:rPr>
                <w:rFonts w:cs="Arial"/>
                <w:sz w:val="20"/>
                <w:szCs w:val="20"/>
              </w:rPr>
              <w:t>Cubasch 2013</w:t>
            </w:r>
          </w:p>
        </w:tc>
        <w:tc>
          <w:tcPr>
            <w:tcW w:w="1362" w:type="dxa"/>
          </w:tcPr>
          <w:p w14:paraId="7C07BB45" w14:textId="77777777" w:rsidR="00C64564" w:rsidRPr="00BF210F" w:rsidRDefault="00C64564" w:rsidP="00D66A20">
            <w:pPr>
              <w:jc w:val="center"/>
              <w:rPr>
                <w:rFonts w:cs="Arial"/>
                <w:sz w:val="20"/>
                <w:szCs w:val="20"/>
              </w:rPr>
            </w:pPr>
            <w:r w:rsidRPr="00BF210F">
              <w:rPr>
                <w:rFonts w:cs="Arial"/>
                <w:sz w:val="20"/>
                <w:szCs w:val="20"/>
              </w:rPr>
              <w:t>1.27</w:t>
            </w:r>
          </w:p>
        </w:tc>
        <w:tc>
          <w:tcPr>
            <w:tcW w:w="1362" w:type="dxa"/>
          </w:tcPr>
          <w:p w14:paraId="4FA83050" w14:textId="77777777" w:rsidR="00C64564" w:rsidRPr="00BF210F" w:rsidRDefault="00C64564" w:rsidP="00D66A20">
            <w:pPr>
              <w:jc w:val="center"/>
              <w:rPr>
                <w:rFonts w:cs="Arial"/>
                <w:sz w:val="20"/>
                <w:szCs w:val="20"/>
              </w:rPr>
            </w:pPr>
            <w:r w:rsidRPr="00BF210F">
              <w:rPr>
                <w:rFonts w:cs="Arial"/>
                <w:sz w:val="20"/>
                <w:szCs w:val="20"/>
              </w:rPr>
              <w:t>1.11-1.46</w:t>
            </w:r>
          </w:p>
        </w:tc>
        <w:tc>
          <w:tcPr>
            <w:tcW w:w="1362" w:type="dxa"/>
          </w:tcPr>
          <w:p w14:paraId="02525CC9" w14:textId="77777777" w:rsidR="00C64564" w:rsidRPr="00BF210F" w:rsidRDefault="00C64564" w:rsidP="00D66A20">
            <w:pPr>
              <w:jc w:val="center"/>
              <w:rPr>
                <w:rFonts w:cs="Arial"/>
                <w:sz w:val="20"/>
                <w:szCs w:val="20"/>
              </w:rPr>
            </w:pPr>
            <w:r w:rsidRPr="00BF210F">
              <w:rPr>
                <w:rFonts w:cs="Arial"/>
                <w:sz w:val="20"/>
                <w:szCs w:val="20"/>
              </w:rPr>
              <w:t>0.001</w:t>
            </w:r>
          </w:p>
        </w:tc>
        <w:tc>
          <w:tcPr>
            <w:tcW w:w="1539" w:type="dxa"/>
          </w:tcPr>
          <w:p w14:paraId="2CBE37D4" w14:textId="77777777" w:rsidR="00C64564" w:rsidRPr="00BF210F" w:rsidRDefault="00C64564" w:rsidP="00D66A20">
            <w:pPr>
              <w:jc w:val="center"/>
              <w:rPr>
                <w:rFonts w:cs="Arial"/>
                <w:sz w:val="20"/>
                <w:szCs w:val="20"/>
              </w:rPr>
            </w:pPr>
            <w:r w:rsidRPr="00BF210F">
              <w:rPr>
                <w:rFonts w:cs="Arial"/>
                <w:sz w:val="20"/>
                <w:szCs w:val="20"/>
              </w:rPr>
              <w:t>4.2</w:t>
            </w:r>
          </w:p>
        </w:tc>
        <w:tc>
          <w:tcPr>
            <w:tcW w:w="1446" w:type="dxa"/>
          </w:tcPr>
          <w:p w14:paraId="18708B53" w14:textId="77777777" w:rsidR="00C64564" w:rsidRPr="00BF210F" w:rsidRDefault="00C64564" w:rsidP="00D66A20">
            <w:pPr>
              <w:jc w:val="center"/>
              <w:rPr>
                <w:rFonts w:cs="Arial"/>
                <w:sz w:val="20"/>
                <w:szCs w:val="20"/>
              </w:rPr>
            </w:pPr>
            <w:r w:rsidRPr="00BF210F">
              <w:rPr>
                <w:rFonts w:cs="Arial"/>
                <w:sz w:val="20"/>
                <w:szCs w:val="20"/>
              </w:rPr>
              <w:t>0.400</w:t>
            </w:r>
          </w:p>
        </w:tc>
      </w:tr>
      <w:tr w:rsidR="00C64564" w:rsidRPr="00BF210F" w14:paraId="5FF035DA" w14:textId="77777777" w:rsidTr="00632CFE">
        <w:tc>
          <w:tcPr>
            <w:tcW w:w="2098" w:type="dxa"/>
          </w:tcPr>
          <w:p w14:paraId="2B4F4255" w14:textId="77777777" w:rsidR="00C64564" w:rsidRPr="00BF210F" w:rsidRDefault="00C64564" w:rsidP="00D66A20">
            <w:pPr>
              <w:jc w:val="center"/>
              <w:rPr>
                <w:rFonts w:cs="Arial"/>
                <w:sz w:val="20"/>
                <w:szCs w:val="20"/>
              </w:rPr>
            </w:pPr>
            <w:r w:rsidRPr="00BF210F">
              <w:rPr>
                <w:rFonts w:cs="Arial"/>
                <w:sz w:val="20"/>
                <w:szCs w:val="20"/>
              </w:rPr>
              <w:t>Langenhoven 2016</w:t>
            </w:r>
          </w:p>
        </w:tc>
        <w:tc>
          <w:tcPr>
            <w:tcW w:w="1362" w:type="dxa"/>
          </w:tcPr>
          <w:p w14:paraId="1AB089FA" w14:textId="77777777" w:rsidR="00C64564" w:rsidRPr="00BF210F" w:rsidRDefault="00C64564" w:rsidP="00D66A20">
            <w:pPr>
              <w:jc w:val="center"/>
              <w:rPr>
                <w:rFonts w:cs="Arial"/>
                <w:sz w:val="20"/>
                <w:szCs w:val="20"/>
              </w:rPr>
            </w:pPr>
            <w:r w:rsidRPr="00BF210F">
              <w:rPr>
                <w:rFonts w:cs="Arial"/>
                <w:sz w:val="20"/>
                <w:szCs w:val="20"/>
              </w:rPr>
              <w:t>1.26</w:t>
            </w:r>
          </w:p>
        </w:tc>
        <w:tc>
          <w:tcPr>
            <w:tcW w:w="1362" w:type="dxa"/>
          </w:tcPr>
          <w:p w14:paraId="01AA0029" w14:textId="77777777" w:rsidR="00C64564" w:rsidRPr="00BF210F" w:rsidRDefault="00C64564" w:rsidP="00D66A20">
            <w:pPr>
              <w:jc w:val="center"/>
              <w:rPr>
                <w:rFonts w:cs="Arial"/>
                <w:sz w:val="20"/>
                <w:szCs w:val="20"/>
              </w:rPr>
            </w:pPr>
            <w:r w:rsidRPr="00BF210F">
              <w:rPr>
                <w:rFonts w:cs="Arial"/>
                <w:sz w:val="20"/>
                <w:szCs w:val="20"/>
              </w:rPr>
              <w:t>1.11-1.43</w:t>
            </w:r>
          </w:p>
        </w:tc>
        <w:tc>
          <w:tcPr>
            <w:tcW w:w="1362" w:type="dxa"/>
          </w:tcPr>
          <w:p w14:paraId="71D4CB2E" w14:textId="77777777" w:rsidR="00C64564" w:rsidRPr="00BF210F" w:rsidRDefault="00C64564" w:rsidP="00D66A20">
            <w:pPr>
              <w:jc w:val="center"/>
              <w:rPr>
                <w:rFonts w:cs="Arial"/>
                <w:sz w:val="20"/>
                <w:szCs w:val="20"/>
              </w:rPr>
            </w:pPr>
            <w:r w:rsidRPr="00BF210F">
              <w:rPr>
                <w:rFonts w:cs="Arial"/>
                <w:sz w:val="20"/>
                <w:szCs w:val="20"/>
              </w:rPr>
              <w:t>&lt;0.001</w:t>
            </w:r>
          </w:p>
        </w:tc>
        <w:tc>
          <w:tcPr>
            <w:tcW w:w="1539" w:type="dxa"/>
          </w:tcPr>
          <w:p w14:paraId="0B839CF3" w14:textId="77777777" w:rsidR="00C64564" w:rsidRPr="00BF210F" w:rsidRDefault="00C64564" w:rsidP="00D66A20">
            <w:pPr>
              <w:jc w:val="center"/>
              <w:rPr>
                <w:rFonts w:cs="Arial"/>
                <w:sz w:val="20"/>
                <w:szCs w:val="20"/>
              </w:rPr>
            </w:pPr>
            <w:r w:rsidRPr="00BF210F">
              <w:rPr>
                <w:rFonts w:cs="Arial"/>
                <w:sz w:val="20"/>
                <w:szCs w:val="20"/>
              </w:rPr>
              <w:t>3.0</w:t>
            </w:r>
          </w:p>
        </w:tc>
        <w:tc>
          <w:tcPr>
            <w:tcW w:w="1446" w:type="dxa"/>
          </w:tcPr>
          <w:p w14:paraId="5328D13F" w14:textId="77777777" w:rsidR="00C64564" w:rsidRPr="00BF210F" w:rsidRDefault="00C64564" w:rsidP="00D66A20">
            <w:pPr>
              <w:jc w:val="center"/>
              <w:rPr>
                <w:rFonts w:cs="Arial"/>
                <w:sz w:val="20"/>
                <w:szCs w:val="20"/>
              </w:rPr>
            </w:pPr>
            <w:r w:rsidRPr="00BF210F">
              <w:rPr>
                <w:rFonts w:cs="Arial"/>
                <w:sz w:val="20"/>
                <w:szCs w:val="20"/>
              </w:rPr>
              <w:t>0.409</w:t>
            </w:r>
          </w:p>
        </w:tc>
      </w:tr>
      <w:tr w:rsidR="00C64564" w:rsidRPr="00BF210F" w14:paraId="2F9B92CA" w14:textId="77777777" w:rsidTr="00632CFE">
        <w:tc>
          <w:tcPr>
            <w:tcW w:w="2098" w:type="dxa"/>
          </w:tcPr>
          <w:p w14:paraId="1D4ECF7A" w14:textId="77777777" w:rsidR="00C64564" w:rsidRPr="00BF210F" w:rsidRDefault="00C64564" w:rsidP="00D66A20">
            <w:pPr>
              <w:jc w:val="center"/>
              <w:rPr>
                <w:rFonts w:cs="Arial"/>
                <w:sz w:val="20"/>
                <w:szCs w:val="20"/>
              </w:rPr>
            </w:pPr>
            <w:r w:rsidRPr="00BF210F">
              <w:rPr>
                <w:rFonts w:cs="Arial"/>
                <w:sz w:val="20"/>
                <w:szCs w:val="20"/>
              </w:rPr>
              <w:t>Phakathi 2016</w:t>
            </w:r>
          </w:p>
        </w:tc>
        <w:tc>
          <w:tcPr>
            <w:tcW w:w="1362" w:type="dxa"/>
          </w:tcPr>
          <w:p w14:paraId="737A48A5" w14:textId="77777777" w:rsidR="00C64564" w:rsidRPr="00BF210F" w:rsidRDefault="00C64564" w:rsidP="00D66A20">
            <w:pPr>
              <w:jc w:val="center"/>
              <w:rPr>
                <w:rFonts w:cs="Arial"/>
                <w:sz w:val="20"/>
                <w:szCs w:val="20"/>
              </w:rPr>
            </w:pPr>
            <w:r w:rsidRPr="00BF210F">
              <w:rPr>
                <w:rFonts w:cs="Arial"/>
                <w:sz w:val="20"/>
                <w:szCs w:val="20"/>
              </w:rPr>
              <w:t>1.23</w:t>
            </w:r>
          </w:p>
        </w:tc>
        <w:tc>
          <w:tcPr>
            <w:tcW w:w="1362" w:type="dxa"/>
          </w:tcPr>
          <w:p w14:paraId="3541CD2A" w14:textId="77777777" w:rsidR="00C64564" w:rsidRPr="00BF210F" w:rsidRDefault="00C64564" w:rsidP="00D66A20">
            <w:pPr>
              <w:jc w:val="center"/>
              <w:rPr>
                <w:rFonts w:cs="Arial"/>
                <w:sz w:val="20"/>
                <w:szCs w:val="20"/>
              </w:rPr>
            </w:pPr>
            <w:r w:rsidRPr="00BF210F">
              <w:rPr>
                <w:rFonts w:cs="Arial"/>
                <w:sz w:val="20"/>
                <w:szCs w:val="20"/>
              </w:rPr>
              <w:t>1.07-1.43</w:t>
            </w:r>
          </w:p>
        </w:tc>
        <w:tc>
          <w:tcPr>
            <w:tcW w:w="1362" w:type="dxa"/>
          </w:tcPr>
          <w:p w14:paraId="38689B66" w14:textId="77777777" w:rsidR="00C64564" w:rsidRPr="00BF210F" w:rsidRDefault="00C64564" w:rsidP="00D66A20">
            <w:pPr>
              <w:jc w:val="center"/>
              <w:rPr>
                <w:rFonts w:cs="Arial"/>
                <w:sz w:val="20"/>
                <w:szCs w:val="20"/>
              </w:rPr>
            </w:pPr>
            <w:r w:rsidRPr="00BF210F">
              <w:rPr>
                <w:rFonts w:cs="Arial"/>
                <w:sz w:val="20"/>
                <w:szCs w:val="20"/>
              </w:rPr>
              <w:t>0.005</w:t>
            </w:r>
          </w:p>
        </w:tc>
        <w:tc>
          <w:tcPr>
            <w:tcW w:w="1539" w:type="dxa"/>
          </w:tcPr>
          <w:p w14:paraId="201E7B69" w14:textId="77777777" w:rsidR="00C64564" w:rsidRPr="00BF210F" w:rsidRDefault="00C64564" w:rsidP="00D66A20">
            <w:pPr>
              <w:jc w:val="center"/>
              <w:rPr>
                <w:rFonts w:cs="Arial"/>
                <w:sz w:val="20"/>
                <w:szCs w:val="20"/>
              </w:rPr>
            </w:pPr>
            <w:r w:rsidRPr="00BF210F">
              <w:rPr>
                <w:rFonts w:cs="Arial"/>
                <w:sz w:val="20"/>
                <w:szCs w:val="20"/>
              </w:rPr>
              <w:t>13.1</w:t>
            </w:r>
          </w:p>
        </w:tc>
        <w:tc>
          <w:tcPr>
            <w:tcW w:w="1446" w:type="dxa"/>
          </w:tcPr>
          <w:p w14:paraId="4C713F70" w14:textId="77777777" w:rsidR="00C64564" w:rsidRPr="00BF210F" w:rsidRDefault="00C64564" w:rsidP="00D66A20">
            <w:pPr>
              <w:jc w:val="center"/>
              <w:rPr>
                <w:rFonts w:cs="Arial"/>
                <w:sz w:val="20"/>
                <w:szCs w:val="20"/>
              </w:rPr>
            </w:pPr>
            <w:r w:rsidRPr="00BF210F">
              <w:rPr>
                <w:rFonts w:cs="Arial"/>
                <w:sz w:val="20"/>
                <w:szCs w:val="20"/>
              </w:rPr>
              <w:t>0.325</w:t>
            </w:r>
          </w:p>
        </w:tc>
      </w:tr>
      <w:tr w:rsidR="00C64564" w:rsidRPr="00BF210F" w14:paraId="720BDC63" w14:textId="77777777" w:rsidTr="00632CFE">
        <w:tc>
          <w:tcPr>
            <w:tcW w:w="2098" w:type="dxa"/>
          </w:tcPr>
          <w:p w14:paraId="7E5B26D2" w14:textId="77777777" w:rsidR="00C64564" w:rsidRPr="00BF210F" w:rsidRDefault="00C64564" w:rsidP="00D66A20">
            <w:pPr>
              <w:jc w:val="center"/>
              <w:rPr>
                <w:rFonts w:cs="Arial"/>
                <w:sz w:val="20"/>
                <w:szCs w:val="20"/>
              </w:rPr>
            </w:pPr>
            <w:r w:rsidRPr="00BF210F">
              <w:rPr>
                <w:rFonts w:cs="Arial"/>
                <w:sz w:val="20"/>
                <w:szCs w:val="20"/>
              </w:rPr>
              <w:t>Ngidi 2017</w:t>
            </w:r>
          </w:p>
        </w:tc>
        <w:tc>
          <w:tcPr>
            <w:tcW w:w="1362" w:type="dxa"/>
          </w:tcPr>
          <w:p w14:paraId="09ED4585" w14:textId="77777777" w:rsidR="00C64564" w:rsidRPr="00BF210F" w:rsidRDefault="00C64564" w:rsidP="00D66A20">
            <w:pPr>
              <w:jc w:val="center"/>
              <w:rPr>
                <w:rFonts w:cs="Arial"/>
                <w:sz w:val="20"/>
                <w:szCs w:val="20"/>
              </w:rPr>
            </w:pPr>
            <w:r w:rsidRPr="00BF210F">
              <w:rPr>
                <w:rFonts w:cs="Arial"/>
                <w:sz w:val="20"/>
                <w:szCs w:val="20"/>
              </w:rPr>
              <w:t>1.24</w:t>
            </w:r>
          </w:p>
        </w:tc>
        <w:tc>
          <w:tcPr>
            <w:tcW w:w="1362" w:type="dxa"/>
          </w:tcPr>
          <w:p w14:paraId="6E90C346" w14:textId="77777777" w:rsidR="00C64564" w:rsidRPr="00BF210F" w:rsidRDefault="00C64564" w:rsidP="00D66A20">
            <w:pPr>
              <w:jc w:val="center"/>
              <w:rPr>
                <w:rFonts w:cs="Arial"/>
                <w:sz w:val="20"/>
                <w:szCs w:val="20"/>
              </w:rPr>
            </w:pPr>
            <w:r w:rsidRPr="00BF210F">
              <w:rPr>
                <w:rFonts w:cs="Arial"/>
                <w:sz w:val="20"/>
                <w:szCs w:val="20"/>
              </w:rPr>
              <w:t>1.11-1.40</w:t>
            </w:r>
          </w:p>
        </w:tc>
        <w:tc>
          <w:tcPr>
            <w:tcW w:w="1362" w:type="dxa"/>
          </w:tcPr>
          <w:p w14:paraId="42A04AF7" w14:textId="77777777" w:rsidR="00C64564" w:rsidRPr="00BF210F" w:rsidRDefault="00C64564" w:rsidP="00D66A20">
            <w:pPr>
              <w:jc w:val="center"/>
              <w:rPr>
                <w:rFonts w:cs="Arial"/>
                <w:sz w:val="20"/>
                <w:szCs w:val="20"/>
              </w:rPr>
            </w:pPr>
            <w:r w:rsidRPr="00BF210F">
              <w:rPr>
                <w:rFonts w:cs="Arial"/>
                <w:sz w:val="20"/>
                <w:szCs w:val="20"/>
              </w:rPr>
              <w:t>&lt;0.001</w:t>
            </w:r>
          </w:p>
        </w:tc>
        <w:tc>
          <w:tcPr>
            <w:tcW w:w="1539" w:type="dxa"/>
          </w:tcPr>
          <w:p w14:paraId="1A68CD5C" w14:textId="77777777" w:rsidR="00C64564" w:rsidRPr="00BF210F" w:rsidRDefault="00C64564" w:rsidP="00D66A20">
            <w:pPr>
              <w:jc w:val="center"/>
              <w:rPr>
                <w:rFonts w:cs="Arial"/>
                <w:sz w:val="20"/>
                <w:szCs w:val="20"/>
              </w:rPr>
            </w:pPr>
            <w:r w:rsidRPr="00BF210F">
              <w:rPr>
                <w:rFonts w:cs="Arial"/>
                <w:sz w:val="20"/>
                <w:szCs w:val="20"/>
              </w:rPr>
              <w:t>0.0</w:t>
            </w:r>
          </w:p>
        </w:tc>
        <w:tc>
          <w:tcPr>
            <w:tcW w:w="1446" w:type="dxa"/>
          </w:tcPr>
          <w:p w14:paraId="419AFDEA" w14:textId="77777777" w:rsidR="00C64564" w:rsidRPr="00BF210F" w:rsidRDefault="00C64564" w:rsidP="00D66A20">
            <w:pPr>
              <w:jc w:val="center"/>
              <w:rPr>
                <w:rFonts w:cs="Arial"/>
                <w:sz w:val="20"/>
                <w:szCs w:val="20"/>
              </w:rPr>
            </w:pPr>
            <w:r w:rsidRPr="00BF210F">
              <w:rPr>
                <w:rFonts w:cs="Arial"/>
                <w:sz w:val="20"/>
                <w:szCs w:val="20"/>
              </w:rPr>
              <w:t>0.481</w:t>
            </w:r>
          </w:p>
        </w:tc>
      </w:tr>
      <w:tr w:rsidR="00C64564" w:rsidRPr="00BF210F" w14:paraId="75C38683" w14:textId="77777777" w:rsidTr="00632CFE">
        <w:tc>
          <w:tcPr>
            <w:tcW w:w="2098" w:type="dxa"/>
          </w:tcPr>
          <w:p w14:paraId="4C12AEC3" w14:textId="77777777" w:rsidR="00C64564" w:rsidRPr="00BF210F" w:rsidRDefault="00C64564" w:rsidP="00D66A20">
            <w:pPr>
              <w:jc w:val="center"/>
              <w:rPr>
                <w:rFonts w:cs="Arial"/>
                <w:sz w:val="20"/>
                <w:szCs w:val="20"/>
              </w:rPr>
            </w:pPr>
            <w:r w:rsidRPr="00BF210F">
              <w:rPr>
                <w:rFonts w:cs="Arial"/>
                <w:sz w:val="20"/>
                <w:szCs w:val="20"/>
              </w:rPr>
              <w:t>Presti 2017</w:t>
            </w:r>
          </w:p>
        </w:tc>
        <w:tc>
          <w:tcPr>
            <w:tcW w:w="1362" w:type="dxa"/>
          </w:tcPr>
          <w:p w14:paraId="03C73ECB" w14:textId="77777777" w:rsidR="00C64564" w:rsidRPr="00BF210F" w:rsidRDefault="00C64564" w:rsidP="00D66A20">
            <w:pPr>
              <w:jc w:val="center"/>
              <w:rPr>
                <w:rFonts w:cs="Arial"/>
                <w:sz w:val="20"/>
                <w:szCs w:val="20"/>
              </w:rPr>
            </w:pPr>
            <w:r w:rsidRPr="00BF210F">
              <w:rPr>
                <w:rFonts w:cs="Arial"/>
                <w:sz w:val="20"/>
                <w:szCs w:val="20"/>
              </w:rPr>
              <w:t>1.23</w:t>
            </w:r>
          </w:p>
        </w:tc>
        <w:tc>
          <w:tcPr>
            <w:tcW w:w="1362" w:type="dxa"/>
          </w:tcPr>
          <w:p w14:paraId="0DC09DF5" w14:textId="77777777" w:rsidR="00C64564" w:rsidRPr="00BF210F" w:rsidRDefault="00C64564" w:rsidP="00D66A20">
            <w:pPr>
              <w:jc w:val="center"/>
              <w:rPr>
                <w:rFonts w:cs="Arial"/>
                <w:sz w:val="20"/>
                <w:szCs w:val="20"/>
              </w:rPr>
            </w:pPr>
            <w:r w:rsidRPr="00BF210F">
              <w:rPr>
                <w:rFonts w:cs="Arial"/>
                <w:sz w:val="20"/>
                <w:szCs w:val="20"/>
              </w:rPr>
              <w:t>1.07-1.41</w:t>
            </w:r>
          </w:p>
        </w:tc>
        <w:tc>
          <w:tcPr>
            <w:tcW w:w="1362" w:type="dxa"/>
          </w:tcPr>
          <w:p w14:paraId="317879ED" w14:textId="77777777" w:rsidR="00C64564" w:rsidRPr="00BF210F" w:rsidRDefault="00C64564" w:rsidP="00D66A20">
            <w:pPr>
              <w:jc w:val="center"/>
              <w:rPr>
                <w:rFonts w:cs="Arial"/>
                <w:sz w:val="20"/>
                <w:szCs w:val="20"/>
              </w:rPr>
            </w:pPr>
            <w:r w:rsidRPr="00BF210F">
              <w:rPr>
                <w:rFonts w:cs="Arial"/>
                <w:sz w:val="20"/>
                <w:szCs w:val="20"/>
              </w:rPr>
              <w:t>0.003</w:t>
            </w:r>
          </w:p>
        </w:tc>
        <w:tc>
          <w:tcPr>
            <w:tcW w:w="1539" w:type="dxa"/>
          </w:tcPr>
          <w:p w14:paraId="75EA3C3B" w14:textId="77777777" w:rsidR="00C64564" w:rsidRPr="00BF210F" w:rsidRDefault="00C64564" w:rsidP="00D66A20">
            <w:pPr>
              <w:jc w:val="center"/>
              <w:rPr>
                <w:rFonts w:cs="Arial"/>
                <w:sz w:val="20"/>
                <w:szCs w:val="20"/>
              </w:rPr>
            </w:pPr>
            <w:r w:rsidRPr="00BF210F">
              <w:rPr>
                <w:rFonts w:cs="Arial"/>
                <w:sz w:val="20"/>
                <w:szCs w:val="20"/>
              </w:rPr>
              <w:t>8.4</w:t>
            </w:r>
          </w:p>
        </w:tc>
        <w:tc>
          <w:tcPr>
            <w:tcW w:w="1446" w:type="dxa"/>
          </w:tcPr>
          <w:p w14:paraId="36159A0C" w14:textId="77777777" w:rsidR="00C64564" w:rsidRPr="00BF210F" w:rsidRDefault="00C64564" w:rsidP="00D66A20">
            <w:pPr>
              <w:jc w:val="center"/>
              <w:rPr>
                <w:rFonts w:cs="Arial"/>
                <w:sz w:val="20"/>
                <w:szCs w:val="20"/>
              </w:rPr>
            </w:pPr>
            <w:r w:rsidRPr="00BF210F">
              <w:rPr>
                <w:rFonts w:cs="Arial"/>
                <w:sz w:val="20"/>
                <w:szCs w:val="20"/>
              </w:rPr>
              <w:t>0.366</w:t>
            </w:r>
          </w:p>
        </w:tc>
      </w:tr>
      <w:tr w:rsidR="00C64564" w:rsidRPr="00BF210F" w14:paraId="01CC828E" w14:textId="77777777" w:rsidTr="00632CFE">
        <w:tc>
          <w:tcPr>
            <w:tcW w:w="2098" w:type="dxa"/>
          </w:tcPr>
          <w:p w14:paraId="690C4CB8" w14:textId="77777777" w:rsidR="00C64564" w:rsidRPr="00BF210F" w:rsidRDefault="00C64564" w:rsidP="00D66A20">
            <w:pPr>
              <w:jc w:val="center"/>
              <w:rPr>
                <w:rFonts w:cs="Arial"/>
                <w:sz w:val="20"/>
                <w:szCs w:val="20"/>
              </w:rPr>
            </w:pPr>
            <w:r w:rsidRPr="00BF210F">
              <w:rPr>
                <w:rFonts w:cs="Arial"/>
                <w:sz w:val="20"/>
                <w:szCs w:val="20"/>
              </w:rPr>
              <w:t>Brandao 2019</w:t>
            </w:r>
          </w:p>
        </w:tc>
        <w:tc>
          <w:tcPr>
            <w:tcW w:w="1362" w:type="dxa"/>
          </w:tcPr>
          <w:p w14:paraId="17E815DF" w14:textId="77777777" w:rsidR="00C64564" w:rsidRPr="00BF210F" w:rsidRDefault="00C64564" w:rsidP="00D66A20">
            <w:pPr>
              <w:jc w:val="center"/>
              <w:rPr>
                <w:rFonts w:cs="Arial"/>
                <w:sz w:val="20"/>
                <w:szCs w:val="20"/>
              </w:rPr>
            </w:pPr>
            <w:r w:rsidRPr="00BF210F">
              <w:rPr>
                <w:rFonts w:cs="Arial"/>
                <w:sz w:val="20"/>
                <w:szCs w:val="20"/>
              </w:rPr>
              <w:t>1.25</w:t>
            </w:r>
          </w:p>
        </w:tc>
        <w:tc>
          <w:tcPr>
            <w:tcW w:w="1362" w:type="dxa"/>
          </w:tcPr>
          <w:p w14:paraId="3D9BDC7C" w14:textId="77777777" w:rsidR="00C64564" w:rsidRPr="00BF210F" w:rsidRDefault="00C64564" w:rsidP="00D66A20">
            <w:pPr>
              <w:jc w:val="center"/>
              <w:rPr>
                <w:rFonts w:cs="Arial"/>
                <w:sz w:val="20"/>
                <w:szCs w:val="20"/>
              </w:rPr>
            </w:pPr>
            <w:r w:rsidRPr="00BF210F">
              <w:rPr>
                <w:rFonts w:cs="Arial"/>
                <w:sz w:val="20"/>
                <w:szCs w:val="20"/>
              </w:rPr>
              <w:t>1.10-1.44</w:t>
            </w:r>
          </w:p>
        </w:tc>
        <w:tc>
          <w:tcPr>
            <w:tcW w:w="1362" w:type="dxa"/>
          </w:tcPr>
          <w:p w14:paraId="1F665E09" w14:textId="77777777" w:rsidR="00C64564" w:rsidRPr="00BF210F" w:rsidRDefault="00C64564" w:rsidP="00D66A20">
            <w:pPr>
              <w:jc w:val="center"/>
              <w:rPr>
                <w:rFonts w:cs="Arial"/>
                <w:sz w:val="20"/>
                <w:szCs w:val="20"/>
              </w:rPr>
            </w:pPr>
            <w:r w:rsidRPr="00BF210F">
              <w:rPr>
                <w:rFonts w:cs="Arial"/>
                <w:sz w:val="20"/>
                <w:szCs w:val="20"/>
              </w:rPr>
              <w:t>0.001</w:t>
            </w:r>
          </w:p>
        </w:tc>
        <w:tc>
          <w:tcPr>
            <w:tcW w:w="1539" w:type="dxa"/>
          </w:tcPr>
          <w:p w14:paraId="353242B5" w14:textId="77777777" w:rsidR="00C64564" w:rsidRPr="00BF210F" w:rsidRDefault="00C64564" w:rsidP="00D66A20">
            <w:pPr>
              <w:jc w:val="center"/>
              <w:rPr>
                <w:rFonts w:cs="Arial"/>
                <w:sz w:val="20"/>
                <w:szCs w:val="20"/>
              </w:rPr>
            </w:pPr>
            <w:r w:rsidRPr="00BF210F">
              <w:rPr>
                <w:rFonts w:cs="Arial"/>
                <w:sz w:val="20"/>
                <w:szCs w:val="20"/>
              </w:rPr>
              <w:t>6.7</w:t>
            </w:r>
          </w:p>
        </w:tc>
        <w:tc>
          <w:tcPr>
            <w:tcW w:w="1446" w:type="dxa"/>
          </w:tcPr>
          <w:p w14:paraId="6435DF83" w14:textId="77777777" w:rsidR="00C64564" w:rsidRPr="00BF210F" w:rsidRDefault="00C64564" w:rsidP="00D66A20">
            <w:pPr>
              <w:jc w:val="center"/>
              <w:rPr>
                <w:rFonts w:cs="Arial"/>
                <w:sz w:val="20"/>
                <w:szCs w:val="20"/>
              </w:rPr>
            </w:pPr>
            <w:r w:rsidRPr="00BF210F">
              <w:rPr>
                <w:rFonts w:cs="Arial"/>
                <w:sz w:val="20"/>
                <w:szCs w:val="20"/>
              </w:rPr>
              <w:t>0.379</w:t>
            </w:r>
          </w:p>
        </w:tc>
      </w:tr>
      <w:tr w:rsidR="00C64564" w:rsidRPr="00BF210F" w14:paraId="02FAEB7C" w14:textId="77777777" w:rsidTr="00632CFE">
        <w:tc>
          <w:tcPr>
            <w:tcW w:w="2098" w:type="dxa"/>
          </w:tcPr>
          <w:p w14:paraId="1DB92C86" w14:textId="77777777" w:rsidR="00C64564" w:rsidRPr="00BF210F" w:rsidRDefault="00C64564" w:rsidP="00D66A20">
            <w:pPr>
              <w:jc w:val="center"/>
              <w:rPr>
                <w:rFonts w:cs="Arial"/>
                <w:sz w:val="20"/>
                <w:szCs w:val="20"/>
              </w:rPr>
            </w:pPr>
            <w:r w:rsidRPr="00BF210F">
              <w:rPr>
                <w:rFonts w:cs="Arial"/>
                <w:sz w:val="20"/>
                <w:szCs w:val="20"/>
              </w:rPr>
              <w:t>Coghill 2019</w:t>
            </w:r>
          </w:p>
        </w:tc>
        <w:tc>
          <w:tcPr>
            <w:tcW w:w="1362" w:type="dxa"/>
          </w:tcPr>
          <w:p w14:paraId="63EDC73A" w14:textId="77777777" w:rsidR="00C64564" w:rsidRPr="00BF210F" w:rsidRDefault="00C64564" w:rsidP="00D66A20">
            <w:pPr>
              <w:jc w:val="center"/>
              <w:rPr>
                <w:rFonts w:cs="Arial"/>
                <w:sz w:val="20"/>
                <w:szCs w:val="20"/>
              </w:rPr>
            </w:pPr>
            <w:r w:rsidRPr="00BF210F">
              <w:rPr>
                <w:rFonts w:cs="Arial"/>
                <w:sz w:val="20"/>
                <w:szCs w:val="20"/>
              </w:rPr>
              <w:t>1.20</w:t>
            </w:r>
          </w:p>
        </w:tc>
        <w:tc>
          <w:tcPr>
            <w:tcW w:w="1362" w:type="dxa"/>
          </w:tcPr>
          <w:p w14:paraId="3400F5E8" w14:textId="77777777" w:rsidR="00C64564" w:rsidRPr="00BF210F" w:rsidRDefault="00C64564" w:rsidP="00D66A20">
            <w:pPr>
              <w:jc w:val="center"/>
              <w:rPr>
                <w:rFonts w:cs="Arial"/>
                <w:sz w:val="20"/>
                <w:szCs w:val="20"/>
              </w:rPr>
            </w:pPr>
            <w:r w:rsidRPr="00BF210F">
              <w:rPr>
                <w:rFonts w:cs="Arial"/>
                <w:sz w:val="20"/>
                <w:szCs w:val="20"/>
              </w:rPr>
              <w:t>0.99-1.45</w:t>
            </w:r>
          </w:p>
        </w:tc>
        <w:tc>
          <w:tcPr>
            <w:tcW w:w="1362" w:type="dxa"/>
          </w:tcPr>
          <w:p w14:paraId="23E68619" w14:textId="77777777" w:rsidR="00C64564" w:rsidRPr="00BF210F" w:rsidRDefault="00C64564" w:rsidP="00D66A20">
            <w:pPr>
              <w:jc w:val="center"/>
              <w:rPr>
                <w:rFonts w:cs="Arial"/>
                <w:sz w:val="20"/>
                <w:szCs w:val="20"/>
              </w:rPr>
            </w:pPr>
            <w:r w:rsidRPr="00BF210F">
              <w:rPr>
                <w:rFonts w:cs="Arial"/>
                <w:sz w:val="20"/>
                <w:szCs w:val="20"/>
              </w:rPr>
              <w:t>0.065</w:t>
            </w:r>
          </w:p>
        </w:tc>
        <w:tc>
          <w:tcPr>
            <w:tcW w:w="1539" w:type="dxa"/>
          </w:tcPr>
          <w:p w14:paraId="5DB32520" w14:textId="77777777" w:rsidR="00C64564" w:rsidRPr="00BF210F" w:rsidRDefault="00C64564" w:rsidP="00D66A20">
            <w:pPr>
              <w:jc w:val="center"/>
              <w:rPr>
                <w:rFonts w:cs="Arial"/>
                <w:sz w:val="20"/>
                <w:szCs w:val="20"/>
              </w:rPr>
            </w:pPr>
            <w:r w:rsidRPr="00BF210F">
              <w:rPr>
                <w:rFonts w:cs="Arial"/>
                <w:sz w:val="20"/>
                <w:szCs w:val="20"/>
              </w:rPr>
              <w:t>9.0</w:t>
            </w:r>
          </w:p>
        </w:tc>
        <w:tc>
          <w:tcPr>
            <w:tcW w:w="1446" w:type="dxa"/>
          </w:tcPr>
          <w:p w14:paraId="3CA437BC" w14:textId="77777777" w:rsidR="00C64564" w:rsidRPr="00BF210F" w:rsidRDefault="00C64564" w:rsidP="00D66A20">
            <w:pPr>
              <w:jc w:val="center"/>
              <w:rPr>
                <w:rFonts w:cs="Arial"/>
                <w:sz w:val="20"/>
                <w:szCs w:val="20"/>
              </w:rPr>
            </w:pPr>
            <w:r w:rsidRPr="00BF210F">
              <w:rPr>
                <w:rFonts w:cs="Arial"/>
                <w:sz w:val="20"/>
                <w:szCs w:val="20"/>
              </w:rPr>
              <w:t>0.361</w:t>
            </w:r>
          </w:p>
        </w:tc>
      </w:tr>
      <w:tr w:rsidR="00C64564" w:rsidRPr="00BF210F" w14:paraId="7731F926" w14:textId="77777777" w:rsidTr="00632CFE">
        <w:tc>
          <w:tcPr>
            <w:tcW w:w="2098" w:type="dxa"/>
          </w:tcPr>
          <w:p w14:paraId="6F28B2C2" w14:textId="77777777" w:rsidR="00C64564" w:rsidRPr="00BF210F" w:rsidRDefault="00C64564" w:rsidP="00D66A20">
            <w:pPr>
              <w:jc w:val="center"/>
              <w:rPr>
                <w:rFonts w:cs="Arial"/>
                <w:sz w:val="20"/>
                <w:szCs w:val="20"/>
              </w:rPr>
            </w:pPr>
            <w:r w:rsidRPr="00BF210F">
              <w:rPr>
                <w:rFonts w:cs="Arial"/>
                <w:sz w:val="20"/>
                <w:szCs w:val="20"/>
              </w:rPr>
              <w:t>Phakathi 2019</w:t>
            </w:r>
          </w:p>
        </w:tc>
        <w:tc>
          <w:tcPr>
            <w:tcW w:w="1362" w:type="dxa"/>
          </w:tcPr>
          <w:p w14:paraId="075EBDF5" w14:textId="77777777" w:rsidR="00C64564" w:rsidRPr="00BF210F" w:rsidRDefault="00C64564" w:rsidP="00D66A20">
            <w:pPr>
              <w:jc w:val="center"/>
              <w:rPr>
                <w:rFonts w:cs="Arial"/>
                <w:sz w:val="20"/>
                <w:szCs w:val="20"/>
              </w:rPr>
            </w:pPr>
            <w:r w:rsidRPr="00BF210F">
              <w:rPr>
                <w:rFonts w:cs="Arial"/>
                <w:sz w:val="20"/>
                <w:szCs w:val="20"/>
              </w:rPr>
              <w:t>1.21</w:t>
            </w:r>
          </w:p>
        </w:tc>
        <w:tc>
          <w:tcPr>
            <w:tcW w:w="1362" w:type="dxa"/>
          </w:tcPr>
          <w:p w14:paraId="58AA25C3" w14:textId="77777777" w:rsidR="00C64564" w:rsidRPr="00BF210F" w:rsidRDefault="00C64564" w:rsidP="00D66A20">
            <w:pPr>
              <w:jc w:val="center"/>
              <w:rPr>
                <w:rFonts w:cs="Arial"/>
                <w:sz w:val="20"/>
                <w:szCs w:val="20"/>
              </w:rPr>
            </w:pPr>
            <w:r w:rsidRPr="00BF210F">
              <w:rPr>
                <w:rFonts w:cs="Arial"/>
                <w:sz w:val="20"/>
                <w:szCs w:val="20"/>
              </w:rPr>
              <w:t>1.03-1.42</w:t>
            </w:r>
          </w:p>
        </w:tc>
        <w:tc>
          <w:tcPr>
            <w:tcW w:w="1362" w:type="dxa"/>
          </w:tcPr>
          <w:p w14:paraId="127787CE" w14:textId="77777777" w:rsidR="00C64564" w:rsidRPr="00BF210F" w:rsidRDefault="00C64564" w:rsidP="00D66A20">
            <w:pPr>
              <w:jc w:val="center"/>
              <w:rPr>
                <w:rFonts w:cs="Arial"/>
                <w:sz w:val="20"/>
                <w:szCs w:val="20"/>
              </w:rPr>
            </w:pPr>
            <w:r w:rsidRPr="00BF210F">
              <w:rPr>
                <w:rFonts w:cs="Arial"/>
                <w:sz w:val="20"/>
                <w:szCs w:val="20"/>
              </w:rPr>
              <w:t>0.017</w:t>
            </w:r>
          </w:p>
        </w:tc>
        <w:tc>
          <w:tcPr>
            <w:tcW w:w="1539" w:type="dxa"/>
          </w:tcPr>
          <w:p w14:paraId="0EA194C6" w14:textId="77777777" w:rsidR="00C64564" w:rsidRPr="00BF210F" w:rsidRDefault="00C64564" w:rsidP="00D66A20">
            <w:pPr>
              <w:jc w:val="center"/>
              <w:rPr>
                <w:rFonts w:cs="Arial"/>
                <w:sz w:val="20"/>
                <w:szCs w:val="20"/>
              </w:rPr>
            </w:pPr>
            <w:r w:rsidRPr="00BF210F">
              <w:rPr>
                <w:rFonts w:cs="Arial"/>
                <w:sz w:val="20"/>
                <w:szCs w:val="20"/>
              </w:rPr>
              <w:t>9.0</w:t>
            </w:r>
          </w:p>
        </w:tc>
        <w:tc>
          <w:tcPr>
            <w:tcW w:w="1446" w:type="dxa"/>
          </w:tcPr>
          <w:p w14:paraId="67D5267A" w14:textId="77777777" w:rsidR="00C64564" w:rsidRPr="00BF210F" w:rsidRDefault="00C64564" w:rsidP="00D66A20">
            <w:pPr>
              <w:jc w:val="center"/>
              <w:rPr>
                <w:rFonts w:cs="Arial"/>
                <w:sz w:val="20"/>
                <w:szCs w:val="20"/>
              </w:rPr>
            </w:pPr>
            <w:r w:rsidRPr="00BF210F">
              <w:rPr>
                <w:rFonts w:cs="Arial"/>
                <w:sz w:val="20"/>
                <w:szCs w:val="20"/>
              </w:rPr>
              <w:t>0.360</w:t>
            </w:r>
          </w:p>
        </w:tc>
      </w:tr>
      <w:tr w:rsidR="00C64564" w:rsidRPr="00BF210F" w14:paraId="76697C93" w14:textId="77777777" w:rsidTr="00632CFE">
        <w:tc>
          <w:tcPr>
            <w:tcW w:w="2098" w:type="dxa"/>
          </w:tcPr>
          <w:p w14:paraId="5330170C" w14:textId="77777777" w:rsidR="00C64564" w:rsidRPr="00BF210F" w:rsidRDefault="00C64564" w:rsidP="00D66A20">
            <w:pPr>
              <w:jc w:val="center"/>
              <w:rPr>
                <w:rFonts w:cs="Arial"/>
                <w:sz w:val="20"/>
                <w:szCs w:val="20"/>
              </w:rPr>
            </w:pPr>
            <w:r w:rsidRPr="00BF210F">
              <w:rPr>
                <w:rFonts w:cs="Arial"/>
                <w:sz w:val="20"/>
                <w:szCs w:val="20"/>
              </w:rPr>
              <w:t>Sadigh 2019</w:t>
            </w:r>
          </w:p>
        </w:tc>
        <w:tc>
          <w:tcPr>
            <w:tcW w:w="1362" w:type="dxa"/>
          </w:tcPr>
          <w:p w14:paraId="76F10517" w14:textId="77777777" w:rsidR="00C64564" w:rsidRPr="00BF210F" w:rsidRDefault="00C64564" w:rsidP="00D66A20">
            <w:pPr>
              <w:jc w:val="center"/>
              <w:rPr>
                <w:rFonts w:cs="Arial"/>
                <w:sz w:val="20"/>
                <w:szCs w:val="20"/>
              </w:rPr>
            </w:pPr>
            <w:r w:rsidRPr="00BF210F">
              <w:rPr>
                <w:rFonts w:cs="Arial"/>
                <w:sz w:val="20"/>
                <w:szCs w:val="20"/>
              </w:rPr>
              <w:t>1.28</w:t>
            </w:r>
          </w:p>
        </w:tc>
        <w:tc>
          <w:tcPr>
            <w:tcW w:w="1362" w:type="dxa"/>
          </w:tcPr>
          <w:p w14:paraId="175D4C7A" w14:textId="77777777" w:rsidR="00C64564" w:rsidRPr="00BF210F" w:rsidRDefault="00C64564" w:rsidP="00D66A20">
            <w:pPr>
              <w:jc w:val="center"/>
              <w:rPr>
                <w:rFonts w:cs="Arial"/>
                <w:sz w:val="20"/>
                <w:szCs w:val="20"/>
              </w:rPr>
            </w:pPr>
            <w:r w:rsidRPr="00BF210F">
              <w:rPr>
                <w:rFonts w:cs="Arial"/>
                <w:sz w:val="20"/>
                <w:szCs w:val="20"/>
              </w:rPr>
              <w:t>1.13-1.44</w:t>
            </w:r>
          </w:p>
        </w:tc>
        <w:tc>
          <w:tcPr>
            <w:tcW w:w="1362" w:type="dxa"/>
          </w:tcPr>
          <w:p w14:paraId="714BA761" w14:textId="77777777" w:rsidR="00C64564" w:rsidRPr="00BF210F" w:rsidRDefault="00C64564" w:rsidP="00D66A20">
            <w:pPr>
              <w:jc w:val="center"/>
              <w:rPr>
                <w:rFonts w:cs="Arial"/>
                <w:sz w:val="20"/>
                <w:szCs w:val="20"/>
              </w:rPr>
            </w:pPr>
            <w:r w:rsidRPr="00BF210F">
              <w:rPr>
                <w:rFonts w:cs="Arial"/>
                <w:sz w:val="20"/>
                <w:szCs w:val="20"/>
              </w:rPr>
              <w:t>&lt;0.001</w:t>
            </w:r>
          </w:p>
        </w:tc>
        <w:tc>
          <w:tcPr>
            <w:tcW w:w="1539" w:type="dxa"/>
          </w:tcPr>
          <w:p w14:paraId="7E6123E1" w14:textId="77777777" w:rsidR="00C64564" w:rsidRPr="00BF210F" w:rsidRDefault="00C64564" w:rsidP="00D66A20">
            <w:pPr>
              <w:jc w:val="center"/>
              <w:rPr>
                <w:rFonts w:cs="Arial"/>
                <w:sz w:val="20"/>
                <w:szCs w:val="20"/>
              </w:rPr>
            </w:pPr>
            <w:r w:rsidRPr="00BF210F">
              <w:rPr>
                <w:rFonts w:cs="Arial"/>
                <w:sz w:val="20"/>
                <w:szCs w:val="20"/>
              </w:rPr>
              <w:t>0.0</w:t>
            </w:r>
          </w:p>
        </w:tc>
        <w:tc>
          <w:tcPr>
            <w:tcW w:w="1446" w:type="dxa"/>
          </w:tcPr>
          <w:p w14:paraId="6FAA6173" w14:textId="77777777" w:rsidR="00C64564" w:rsidRPr="00BF210F" w:rsidRDefault="00C64564" w:rsidP="00D66A20">
            <w:pPr>
              <w:jc w:val="center"/>
              <w:rPr>
                <w:rFonts w:cs="Arial"/>
                <w:sz w:val="20"/>
                <w:szCs w:val="20"/>
              </w:rPr>
            </w:pPr>
            <w:r w:rsidRPr="00BF210F">
              <w:rPr>
                <w:rFonts w:cs="Arial"/>
                <w:sz w:val="20"/>
                <w:szCs w:val="20"/>
              </w:rPr>
              <w:t>0.466</w:t>
            </w:r>
          </w:p>
        </w:tc>
      </w:tr>
    </w:tbl>
    <w:p w14:paraId="47DD00B9" w14:textId="06AAF1AC" w:rsidR="00C64564" w:rsidRPr="00BF210F" w:rsidRDefault="00ED1505" w:rsidP="00D66A20">
      <w:pPr>
        <w:rPr>
          <w:rFonts w:cs="Arial"/>
          <w:sz w:val="16"/>
          <w:lang w:val="en-US"/>
        </w:rPr>
      </w:pPr>
      <w:r w:rsidRPr="00BF210F">
        <w:rPr>
          <w:rFonts w:cs="Arial"/>
          <w:sz w:val="16"/>
          <w:lang w:val="en-US"/>
        </w:rPr>
        <w:t>CI: confidence interval; OR: odds ratio.</w:t>
      </w:r>
    </w:p>
    <w:p w14:paraId="047193A6" w14:textId="77777777" w:rsidR="00C64564" w:rsidRPr="00BF210F" w:rsidRDefault="00C64564" w:rsidP="00D66A20">
      <w:pPr>
        <w:rPr>
          <w:rFonts w:cs="Arial"/>
          <w:lang w:val="en-US"/>
        </w:rPr>
      </w:pPr>
      <w:r w:rsidRPr="00BF210F">
        <w:rPr>
          <w:rFonts w:cs="Arial"/>
          <w:lang w:val="en-US"/>
        </w:rPr>
        <w:br w:type="page"/>
      </w:r>
    </w:p>
    <w:p w14:paraId="143A0400" w14:textId="7BDA3812" w:rsidR="00C64564" w:rsidRPr="00BF210F" w:rsidRDefault="00BF210F" w:rsidP="00D66A20">
      <w:pPr>
        <w:rPr>
          <w:rFonts w:cs="Arial"/>
          <w:b/>
          <w:sz w:val="24"/>
          <w:lang w:val="en-US"/>
        </w:rPr>
      </w:pPr>
      <w:r>
        <w:rPr>
          <w:rFonts w:cs="Arial"/>
          <w:b/>
          <w:sz w:val="24"/>
          <w:szCs w:val="24"/>
          <w:lang w:val="en-US"/>
        </w:rPr>
        <w:lastRenderedPageBreak/>
        <w:t xml:space="preserve">Supplementary </w:t>
      </w:r>
      <w:r w:rsidR="00C64564" w:rsidRPr="00BF210F">
        <w:rPr>
          <w:rFonts w:cs="Arial"/>
          <w:b/>
          <w:sz w:val="24"/>
          <w:lang w:val="en-US"/>
        </w:rPr>
        <w:t>Figure 1</w:t>
      </w:r>
      <w:r w:rsidR="00636A7C" w:rsidRPr="00BF210F">
        <w:rPr>
          <w:rFonts w:cs="Arial"/>
          <w:b/>
          <w:sz w:val="24"/>
          <w:lang w:val="en-US"/>
        </w:rPr>
        <w:t>5</w:t>
      </w:r>
      <w:r w:rsidR="00636756" w:rsidRPr="00BF210F">
        <w:rPr>
          <w:rFonts w:cs="Arial"/>
          <w:b/>
          <w:sz w:val="24"/>
          <w:lang w:val="en-US"/>
        </w:rPr>
        <w:t xml:space="preserve"> –</w:t>
      </w:r>
      <w:r w:rsidR="00C64564" w:rsidRPr="00BF210F">
        <w:rPr>
          <w:rFonts w:cs="Arial"/>
          <w:b/>
          <w:sz w:val="24"/>
          <w:lang w:val="en-US"/>
        </w:rPr>
        <w:t xml:space="preserve"> </w:t>
      </w:r>
      <w:r w:rsidR="00636A7C" w:rsidRPr="00BF210F">
        <w:rPr>
          <w:rFonts w:cs="Arial"/>
          <w:b/>
          <w:sz w:val="24"/>
          <w:lang w:val="en-US"/>
        </w:rPr>
        <w:t xml:space="preserve">Meta-analysis of the odds of presenting with </w:t>
      </w:r>
      <w:r w:rsidR="00C64564" w:rsidRPr="00BF210F">
        <w:rPr>
          <w:rFonts w:cs="Arial"/>
          <w:b/>
          <w:sz w:val="24"/>
          <w:lang w:val="en-US"/>
        </w:rPr>
        <w:t xml:space="preserve">stage IV at diagnosis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C64564" w:rsidRPr="00BF210F">
        <w:rPr>
          <w:rFonts w:cs="Arial"/>
          <w:b/>
          <w:sz w:val="24"/>
          <w:lang w:val="en-US"/>
        </w:rPr>
        <w:t>.</w:t>
      </w:r>
    </w:p>
    <w:p w14:paraId="10B82C6D" w14:textId="77777777" w:rsidR="00C64564" w:rsidRPr="00BF210F" w:rsidRDefault="00896EA9" w:rsidP="00D66A20">
      <w:pPr>
        <w:rPr>
          <w:rFonts w:cs="Arial"/>
          <w:lang w:val="en-US"/>
        </w:rPr>
      </w:pPr>
      <w:r w:rsidRPr="00BF210F">
        <w:rPr>
          <w:rFonts w:cs="Arial"/>
          <w:noProof/>
          <w:lang w:val="pt-PT" w:eastAsia="pt-PT"/>
        </w:rPr>
        <mc:AlternateContent>
          <mc:Choice Requires="wps">
            <w:drawing>
              <wp:anchor distT="0" distB="0" distL="114300" distR="114300" simplePos="0" relativeHeight="251665408" behindDoc="0" locked="0" layoutInCell="1" allowOverlap="1" wp14:anchorId="1C416904" wp14:editId="14668E1B">
                <wp:simplePos x="0" y="0"/>
                <wp:positionH relativeFrom="column">
                  <wp:posOffset>1790700</wp:posOffset>
                </wp:positionH>
                <wp:positionV relativeFrom="paragraph">
                  <wp:posOffset>4041302</wp:posOffset>
                </wp:positionV>
                <wp:extent cx="889000" cy="222250"/>
                <wp:effectExtent l="0" t="0" r="0" b="0"/>
                <wp:wrapNone/>
                <wp:docPr id="32" name="Rectangle 32"/>
                <wp:cNvGraphicFramePr/>
                <a:graphic xmlns:a="http://schemas.openxmlformats.org/drawingml/2006/main">
                  <a:graphicData uri="http://schemas.microsoft.com/office/word/2010/wordprocessingShape">
                    <wps:wsp>
                      <wps:cNvSpPr/>
                      <wps:spPr>
                        <a:xfrm>
                          <a:off x="0" y="0"/>
                          <a:ext cx="889000" cy="2222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4BDE1AA9" w14:textId="3DC524F9" w:rsidR="00363D1D" w:rsidRPr="00896EA9" w:rsidRDefault="00363D1D" w:rsidP="00896EA9">
                            <w:pPr>
                              <w:jc w:val="center"/>
                              <w:rPr>
                                <w:sz w:val="16"/>
                                <w:szCs w:val="16"/>
                                <w:lang w:val="en-US"/>
                              </w:rPr>
                            </w:pPr>
                            <w:r>
                              <w:rPr>
                                <w:sz w:val="16"/>
                                <w:szCs w:val="16"/>
                                <w:lang w:val="en-US"/>
                              </w:rPr>
                              <w:t>OR (95% 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416904" id="Rectangle 32" o:spid="_x0000_s1029" style="position:absolute;margin-left:141pt;margin-top:318.2pt;width:70pt;height: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" filled="f" stroked="f" strokeweight="2pt">
                <v:textbox>
                  <w:txbxContent>
                    <w:p w14:paraId="4BDE1AA9" w14:textId="3DC524F9" w:rsidR="00363D1D" w:rsidRPr="00896EA9" w:rsidRDefault="00363D1D" w:rsidP="00896EA9">
                      <w:pPr>
                        <w:jc w:val="center"/>
                        <w:rPr>
                          <w:sz w:val="16"/>
                          <w:szCs w:val="16"/>
                          <w:lang w:val="en-US"/>
                        </w:rPr>
                      </w:pPr>
                      <w:r>
                        <w:rPr>
                          <w:sz w:val="16"/>
                          <w:szCs w:val="16"/>
                          <w:lang w:val="en-US"/>
                        </w:rPr>
                        <w:t>OR (95% CI)</w:t>
                      </w:r>
                    </w:p>
                  </w:txbxContent>
                </v:textbox>
              </v:rect>
            </w:pict>
          </mc:Fallback>
        </mc:AlternateContent>
      </w:r>
      <w:r w:rsidR="00C64564" w:rsidRPr="00BF210F">
        <w:rPr>
          <w:rFonts w:cs="Arial"/>
          <w:noProof/>
          <w:lang w:val="pt-PT" w:eastAsia="pt-PT"/>
        </w:rPr>
        <w:drawing>
          <wp:inline distT="0" distB="0" distL="0" distR="0" wp14:anchorId="3D665882" wp14:editId="1A5E3DA2">
            <wp:extent cx="6120130" cy="4351575"/>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4351575"/>
                    </a:xfrm>
                    <a:prstGeom prst="rect">
                      <a:avLst/>
                    </a:prstGeom>
                    <a:noFill/>
                    <a:ln>
                      <a:noFill/>
                    </a:ln>
                  </pic:spPr>
                </pic:pic>
              </a:graphicData>
            </a:graphic>
          </wp:inline>
        </w:drawing>
      </w:r>
    </w:p>
    <w:p w14:paraId="048CFC76" w14:textId="57C41D1D" w:rsidR="00636756" w:rsidRPr="00BF210F" w:rsidRDefault="00636756" w:rsidP="00D66A20">
      <w:pPr>
        <w:rPr>
          <w:rFonts w:cs="Arial"/>
          <w:sz w:val="16"/>
          <w:lang w:val="en-US"/>
        </w:rPr>
      </w:pPr>
      <w:r w:rsidRPr="00BF210F">
        <w:rPr>
          <w:rFonts w:cs="Arial"/>
          <w:sz w:val="16"/>
          <w:lang w:val="en-US"/>
        </w:rPr>
        <w:t xml:space="preserve">Random effect: </w:t>
      </w:r>
      <w:r w:rsidR="0035681D" w:rsidRPr="00BF210F">
        <w:rPr>
          <w:rFonts w:cs="Arial"/>
          <w:sz w:val="16"/>
          <w:lang w:val="en-US"/>
        </w:rPr>
        <w:t>p=</w:t>
      </w:r>
      <w:r w:rsidRPr="00BF210F">
        <w:rPr>
          <w:rFonts w:cs="Arial"/>
          <w:sz w:val="16"/>
          <w:lang w:val="en-US"/>
        </w:rPr>
        <w:t>0.009</w:t>
      </w:r>
      <w:r w:rsidR="0035681D" w:rsidRPr="00BF210F">
        <w:rPr>
          <w:rFonts w:cs="Arial"/>
          <w:sz w:val="16"/>
          <w:lang w:val="en-US"/>
        </w:rPr>
        <w:t xml:space="preserve">. </w:t>
      </w:r>
      <w:r w:rsidR="0035681D" w:rsidRPr="00BF210F">
        <w:rPr>
          <w:rFonts w:cs="Arial"/>
          <w:sz w:val="16"/>
          <w:szCs w:val="16"/>
          <w:lang w:val="en-US"/>
        </w:rPr>
        <w:t>CI=confidence interval; OR=odds ratio.</w:t>
      </w:r>
    </w:p>
    <w:p w14:paraId="2FBDEA73" w14:textId="77777777" w:rsidR="00C64564" w:rsidRPr="00BF210F" w:rsidRDefault="00C64564" w:rsidP="00D66A20">
      <w:pPr>
        <w:rPr>
          <w:rFonts w:cs="Arial"/>
          <w:sz w:val="20"/>
          <w:lang w:val="en-US"/>
        </w:rPr>
      </w:pPr>
    </w:p>
    <w:p w14:paraId="23D7FE5E" w14:textId="77777777" w:rsidR="00D66A20" w:rsidRPr="00BF210F" w:rsidRDefault="00D66A20" w:rsidP="00D66A20">
      <w:pPr>
        <w:rPr>
          <w:rFonts w:cs="Arial"/>
          <w:lang w:val="en-US"/>
        </w:rPr>
      </w:pPr>
    </w:p>
    <w:p w14:paraId="304625A8" w14:textId="650B375F" w:rsidR="00A324DC" w:rsidRPr="00BF210F" w:rsidRDefault="00BF210F" w:rsidP="00D66A20">
      <w:pPr>
        <w:rPr>
          <w:rFonts w:cs="Arial"/>
          <w:sz w:val="24"/>
          <w:lang w:val="en-US"/>
        </w:rPr>
      </w:pPr>
      <w:r>
        <w:rPr>
          <w:rFonts w:cs="Arial"/>
          <w:b/>
          <w:sz w:val="24"/>
          <w:szCs w:val="24"/>
          <w:lang w:val="en-US"/>
        </w:rPr>
        <w:t xml:space="preserve">Supplementary </w:t>
      </w:r>
      <w:r w:rsidR="00C64564" w:rsidRPr="00BF210F">
        <w:rPr>
          <w:rFonts w:cs="Arial"/>
          <w:b/>
          <w:sz w:val="24"/>
          <w:lang w:val="en-US"/>
        </w:rPr>
        <w:t>Table 1</w:t>
      </w:r>
      <w:r w:rsidR="005432BA" w:rsidRPr="00BF210F">
        <w:rPr>
          <w:rFonts w:cs="Arial"/>
          <w:b/>
          <w:sz w:val="24"/>
          <w:lang w:val="en-US"/>
        </w:rPr>
        <w:t>1</w:t>
      </w:r>
      <w:r w:rsidR="00C64564" w:rsidRPr="00BF210F">
        <w:rPr>
          <w:rFonts w:cs="Arial"/>
          <w:sz w:val="24"/>
          <w:lang w:val="en-US"/>
        </w:rPr>
        <w:t xml:space="preserve"> </w:t>
      </w:r>
      <w:r w:rsidR="00C64564" w:rsidRPr="00BF210F">
        <w:rPr>
          <w:rFonts w:cs="Arial"/>
          <w:b/>
          <w:sz w:val="24"/>
          <w:lang w:val="en-US"/>
        </w:rPr>
        <w:t xml:space="preserve">– </w:t>
      </w:r>
      <w:r w:rsidR="00636A7C" w:rsidRPr="00BF210F">
        <w:rPr>
          <w:rFonts w:cs="Arial"/>
          <w:b/>
          <w:sz w:val="24"/>
          <w:lang w:val="en-US"/>
        </w:rPr>
        <w:t>Sensitivity analysis of the odds of presenting with</w:t>
      </w:r>
      <w:r w:rsidR="00C64564" w:rsidRPr="00BF210F">
        <w:rPr>
          <w:rFonts w:cs="Arial"/>
          <w:b/>
          <w:sz w:val="24"/>
          <w:lang w:val="en-US"/>
        </w:rPr>
        <w:t xml:space="preserve"> stage IV at diagnosis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A324DC" w:rsidRPr="00BF210F">
        <w:rPr>
          <w:rFonts w:cs="Arial"/>
          <w:b/>
          <w:sz w:val="24"/>
          <w:lang w:val="en-US"/>
        </w:rPr>
        <w:t>.</w:t>
      </w:r>
    </w:p>
    <w:p w14:paraId="0E1F58C7" w14:textId="77777777" w:rsidR="00C64564" w:rsidRPr="00BF210F" w:rsidRDefault="00C64564" w:rsidP="00D66A20">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C64564" w:rsidRPr="00BF210F" w14:paraId="47513C48" w14:textId="77777777" w:rsidTr="00C25E84">
        <w:tc>
          <w:tcPr>
            <w:tcW w:w="2098" w:type="dxa"/>
            <w:vMerge w:val="restart"/>
          </w:tcPr>
          <w:p w14:paraId="639D8D5A" w14:textId="77777777" w:rsidR="00C64564" w:rsidRPr="00BF210F" w:rsidRDefault="00C64564" w:rsidP="00D66A20">
            <w:pPr>
              <w:jc w:val="center"/>
              <w:rPr>
                <w:rFonts w:cs="Arial"/>
                <w:b/>
                <w:sz w:val="20"/>
                <w:szCs w:val="20"/>
              </w:rPr>
            </w:pPr>
            <w:r w:rsidRPr="00BF210F">
              <w:rPr>
                <w:rFonts w:cs="Arial"/>
                <w:b/>
                <w:sz w:val="20"/>
                <w:szCs w:val="20"/>
              </w:rPr>
              <w:t>Study excluded</w:t>
            </w:r>
          </w:p>
        </w:tc>
        <w:tc>
          <w:tcPr>
            <w:tcW w:w="4086" w:type="dxa"/>
            <w:gridSpan w:val="3"/>
          </w:tcPr>
          <w:p w14:paraId="2E44A557" w14:textId="77777777" w:rsidR="00C64564" w:rsidRPr="00BF210F" w:rsidRDefault="00C64564" w:rsidP="00D66A20">
            <w:pPr>
              <w:jc w:val="center"/>
              <w:rPr>
                <w:rFonts w:cs="Arial"/>
                <w:b/>
                <w:sz w:val="20"/>
                <w:szCs w:val="20"/>
              </w:rPr>
            </w:pPr>
            <w:r w:rsidRPr="00BF210F">
              <w:rPr>
                <w:rFonts w:cs="Arial"/>
                <w:b/>
                <w:sz w:val="20"/>
                <w:szCs w:val="20"/>
              </w:rPr>
              <w:t>Random effect</w:t>
            </w:r>
          </w:p>
        </w:tc>
        <w:tc>
          <w:tcPr>
            <w:tcW w:w="1539" w:type="dxa"/>
            <w:vMerge w:val="restart"/>
          </w:tcPr>
          <w:p w14:paraId="1A87C6CF" w14:textId="09CB5D2E" w:rsidR="00C64564" w:rsidRPr="00BF210F" w:rsidRDefault="00C316F4"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w:t>
            </w:r>
            <w:r w:rsidR="00C64564" w:rsidRPr="00BF210F">
              <w:rPr>
                <w:rFonts w:cs="Arial"/>
                <w:b/>
                <w:sz w:val="20"/>
                <w:szCs w:val="20"/>
              </w:rPr>
              <w:t>(%)</w:t>
            </w:r>
          </w:p>
        </w:tc>
        <w:tc>
          <w:tcPr>
            <w:tcW w:w="1446" w:type="dxa"/>
            <w:vMerge w:val="restart"/>
          </w:tcPr>
          <w:p w14:paraId="65E2C29F" w14:textId="241FAD42" w:rsidR="00C64564" w:rsidRPr="00BF210F" w:rsidRDefault="00C316F4"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 xml:space="preserve">2 </w:t>
            </w:r>
            <w:r w:rsidR="00C64564" w:rsidRPr="00BF210F">
              <w:rPr>
                <w:rFonts w:cs="Arial"/>
                <w:b/>
                <w:sz w:val="20"/>
                <w:szCs w:val="20"/>
              </w:rPr>
              <w:t>P-value</w:t>
            </w:r>
          </w:p>
        </w:tc>
      </w:tr>
      <w:tr w:rsidR="00C64564" w:rsidRPr="00BF210F" w14:paraId="22B761D1" w14:textId="77777777" w:rsidTr="00364997">
        <w:tc>
          <w:tcPr>
            <w:tcW w:w="2098" w:type="dxa"/>
            <w:vMerge/>
          </w:tcPr>
          <w:p w14:paraId="12826CED" w14:textId="77777777" w:rsidR="00C64564" w:rsidRPr="00BF210F" w:rsidRDefault="00C64564" w:rsidP="00D66A20">
            <w:pPr>
              <w:jc w:val="center"/>
              <w:rPr>
                <w:rFonts w:cs="Arial"/>
                <w:b/>
                <w:sz w:val="20"/>
                <w:szCs w:val="20"/>
              </w:rPr>
            </w:pPr>
          </w:p>
        </w:tc>
        <w:tc>
          <w:tcPr>
            <w:tcW w:w="1362" w:type="dxa"/>
          </w:tcPr>
          <w:p w14:paraId="3099809D" w14:textId="6725D177" w:rsidR="00C64564" w:rsidRPr="00BF210F" w:rsidRDefault="00ED1505" w:rsidP="00D66A20">
            <w:pPr>
              <w:jc w:val="center"/>
              <w:rPr>
                <w:rFonts w:cs="Arial"/>
                <w:b/>
                <w:sz w:val="20"/>
                <w:szCs w:val="20"/>
              </w:rPr>
            </w:pPr>
            <w:r w:rsidRPr="00BF210F">
              <w:rPr>
                <w:rFonts w:cs="Arial"/>
                <w:b/>
                <w:sz w:val="20"/>
                <w:szCs w:val="20"/>
              </w:rPr>
              <w:t xml:space="preserve">Pooled </w:t>
            </w:r>
            <w:r w:rsidR="00C64564" w:rsidRPr="00BF210F">
              <w:rPr>
                <w:rFonts w:cs="Arial"/>
                <w:b/>
                <w:sz w:val="20"/>
                <w:szCs w:val="20"/>
              </w:rPr>
              <w:t>OR</w:t>
            </w:r>
          </w:p>
        </w:tc>
        <w:tc>
          <w:tcPr>
            <w:tcW w:w="1362" w:type="dxa"/>
          </w:tcPr>
          <w:p w14:paraId="0BE7C993" w14:textId="77777777" w:rsidR="00C64564" w:rsidRPr="00BF210F" w:rsidRDefault="00C64564" w:rsidP="00D66A20">
            <w:pPr>
              <w:jc w:val="center"/>
              <w:rPr>
                <w:rFonts w:cs="Arial"/>
                <w:b/>
                <w:sz w:val="20"/>
                <w:szCs w:val="20"/>
              </w:rPr>
            </w:pPr>
            <w:r w:rsidRPr="00BF210F">
              <w:rPr>
                <w:rFonts w:cs="Arial"/>
                <w:b/>
                <w:sz w:val="20"/>
                <w:szCs w:val="20"/>
              </w:rPr>
              <w:t>95% CI</w:t>
            </w:r>
          </w:p>
        </w:tc>
        <w:tc>
          <w:tcPr>
            <w:tcW w:w="1362" w:type="dxa"/>
          </w:tcPr>
          <w:p w14:paraId="562CCB44" w14:textId="77777777" w:rsidR="00C64564" w:rsidRPr="00BF210F" w:rsidRDefault="00C64564" w:rsidP="00D66A20">
            <w:pPr>
              <w:jc w:val="center"/>
              <w:rPr>
                <w:rFonts w:cs="Arial"/>
                <w:b/>
                <w:sz w:val="20"/>
                <w:szCs w:val="20"/>
              </w:rPr>
            </w:pPr>
            <w:r w:rsidRPr="00BF210F">
              <w:rPr>
                <w:rFonts w:cs="Arial"/>
                <w:b/>
                <w:sz w:val="20"/>
                <w:szCs w:val="20"/>
              </w:rPr>
              <w:t>P-value</w:t>
            </w:r>
          </w:p>
        </w:tc>
        <w:tc>
          <w:tcPr>
            <w:tcW w:w="1539" w:type="dxa"/>
            <w:vMerge/>
          </w:tcPr>
          <w:p w14:paraId="0F7ED8C2" w14:textId="77777777" w:rsidR="00C64564" w:rsidRPr="00BF210F" w:rsidRDefault="00C64564" w:rsidP="00D66A20">
            <w:pPr>
              <w:jc w:val="center"/>
              <w:rPr>
                <w:rFonts w:cs="Arial"/>
                <w:b/>
                <w:sz w:val="20"/>
                <w:szCs w:val="20"/>
              </w:rPr>
            </w:pPr>
          </w:p>
        </w:tc>
        <w:tc>
          <w:tcPr>
            <w:tcW w:w="1446" w:type="dxa"/>
            <w:vMerge/>
          </w:tcPr>
          <w:p w14:paraId="104E30EB" w14:textId="77777777" w:rsidR="00C64564" w:rsidRPr="00BF210F" w:rsidRDefault="00C64564" w:rsidP="00D66A20">
            <w:pPr>
              <w:jc w:val="center"/>
              <w:rPr>
                <w:rFonts w:cs="Arial"/>
                <w:b/>
                <w:sz w:val="20"/>
                <w:szCs w:val="20"/>
              </w:rPr>
            </w:pPr>
          </w:p>
        </w:tc>
      </w:tr>
      <w:tr w:rsidR="00C64564" w:rsidRPr="00BF210F" w14:paraId="4AE99117" w14:textId="77777777" w:rsidTr="00364997">
        <w:tc>
          <w:tcPr>
            <w:tcW w:w="2098" w:type="dxa"/>
          </w:tcPr>
          <w:p w14:paraId="70305C79" w14:textId="77777777" w:rsidR="00C64564" w:rsidRPr="00BF210F" w:rsidRDefault="00C64564" w:rsidP="00D66A20">
            <w:pPr>
              <w:jc w:val="center"/>
              <w:rPr>
                <w:rFonts w:cs="Arial"/>
                <w:sz w:val="20"/>
                <w:szCs w:val="20"/>
              </w:rPr>
            </w:pPr>
            <w:r w:rsidRPr="00BF210F">
              <w:rPr>
                <w:rFonts w:cs="Arial"/>
                <w:sz w:val="20"/>
                <w:szCs w:val="20"/>
              </w:rPr>
              <w:t>Sseggwanyi 2011</w:t>
            </w:r>
          </w:p>
        </w:tc>
        <w:tc>
          <w:tcPr>
            <w:tcW w:w="1362" w:type="dxa"/>
          </w:tcPr>
          <w:p w14:paraId="0A588E17" w14:textId="77777777" w:rsidR="00C64564" w:rsidRPr="00BF210F" w:rsidRDefault="00C64564" w:rsidP="00D66A20">
            <w:pPr>
              <w:jc w:val="center"/>
              <w:rPr>
                <w:rFonts w:cs="Arial"/>
                <w:sz w:val="20"/>
                <w:szCs w:val="20"/>
              </w:rPr>
            </w:pPr>
            <w:r w:rsidRPr="00BF210F">
              <w:rPr>
                <w:rFonts w:cs="Arial"/>
                <w:sz w:val="20"/>
                <w:szCs w:val="20"/>
              </w:rPr>
              <w:t>1.56</w:t>
            </w:r>
          </w:p>
        </w:tc>
        <w:tc>
          <w:tcPr>
            <w:tcW w:w="1362" w:type="dxa"/>
          </w:tcPr>
          <w:p w14:paraId="024FACDA" w14:textId="77777777" w:rsidR="00C64564" w:rsidRPr="00BF210F" w:rsidRDefault="00C64564" w:rsidP="00D66A20">
            <w:pPr>
              <w:jc w:val="center"/>
              <w:rPr>
                <w:rFonts w:cs="Arial"/>
                <w:sz w:val="20"/>
                <w:szCs w:val="20"/>
              </w:rPr>
            </w:pPr>
            <w:r w:rsidRPr="00BF210F">
              <w:rPr>
                <w:rFonts w:cs="Arial"/>
                <w:sz w:val="20"/>
                <w:szCs w:val="20"/>
              </w:rPr>
              <w:t>1.10-2.23</w:t>
            </w:r>
          </w:p>
        </w:tc>
        <w:tc>
          <w:tcPr>
            <w:tcW w:w="1362" w:type="dxa"/>
          </w:tcPr>
          <w:p w14:paraId="45A6C5EA" w14:textId="77777777" w:rsidR="00C64564" w:rsidRPr="00BF210F" w:rsidRDefault="00C64564" w:rsidP="00D66A20">
            <w:pPr>
              <w:jc w:val="center"/>
              <w:rPr>
                <w:rFonts w:cs="Arial"/>
                <w:sz w:val="20"/>
                <w:szCs w:val="20"/>
              </w:rPr>
            </w:pPr>
            <w:r w:rsidRPr="00BF210F">
              <w:rPr>
                <w:rFonts w:cs="Arial"/>
                <w:sz w:val="20"/>
                <w:szCs w:val="20"/>
              </w:rPr>
              <w:t>0.013</w:t>
            </w:r>
          </w:p>
        </w:tc>
        <w:tc>
          <w:tcPr>
            <w:tcW w:w="1539" w:type="dxa"/>
          </w:tcPr>
          <w:p w14:paraId="2A038DFC" w14:textId="77777777" w:rsidR="00C64564" w:rsidRPr="00BF210F" w:rsidRDefault="00C64564" w:rsidP="00D66A20">
            <w:pPr>
              <w:jc w:val="center"/>
              <w:rPr>
                <w:rFonts w:cs="Arial"/>
                <w:sz w:val="20"/>
                <w:szCs w:val="20"/>
              </w:rPr>
            </w:pPr>
            <w:r w:rsidRPr="00BF210F">
              <w:rPr>
                <w:rFonts w:cs="Arial"/>
                <w:sz w:val="20"/>
                <w:szCs w:val="20"/>
              </w:rPr>
              <w:t>65.2</w:t>
            </w:r>
          </w:p>
        </w:tc>
        <w:tc>
          <w:tcPr>
            <w:tcW w:w="1446" w:type="dxa"/>
          </w:tcPr>
          <w:p w14:paraId="656ABD35" w14:textId="77777777" w:rsidR="00C64564" w:rsidRPr="00BF210F" w:rsidRDefault="00C64564" w:rsidP="00D66A20">
            <w:pPr>
              <w:jc w:val="center"/>
              <w:rPr>
                <w:rFonts w:cs="Arial"/>
                <w:sz w:val="20"/>
                <w:szCs w:val="20"/>
              </w:rPr>
            </w:pPr>
            <w:r w:rsidRPr="00BF210F">
              <w:rPr>
                <w:rFonts w:cs="Arial"/>
                <w:sz w:val="20"/>
                <w:szCs w:val="20"/>
              </w:rPr>
              <w:t>0.003</w:t>
            </w:r>
          </w:p>
        </w:tc>
      </w:tr>
      <w:tr w:rsidR="00C64564" w:rsidRPr="00BF210F" w14:paraId="43295866" w14:textId="77777777" w:rsidTr="00364997">
        <w:tc>
          <w:tcPr>
            <w:tcW w:w="2098" w:type="dxa"/>
          </w:tcPr>
          <w:p w14:paraId="7D6FFC57" w14:textId="77777777" w:rsidR="00C64564" w:rsidRPr="00BF210F" w:rsidRDefault="00C64564" w:rsidP="00D66A20">
            <w:pPr>
              <w:jc w:val="center"/>
              <w:rPr>
                <w:rFonts w:cs="Arial"/>
                <w:sz w:val="20"/>
                <w:szCs w:val="20"/>
              </w:rPr>
            </w:pPr>
            <w:r w:rsidRPr="00BF210F">
              <w:rPr>
                <w:rFonts w:cs="Arial"/>
                <w:sz w:val="20"/>
                <w:szCs w:val="20"/>
              </w:rPr>
              <w:t>Cubasch 2013</w:t>
            </w:r>
          </w:p>
        </w:tc>
        <w:tc>
          <w:tcPr>
            <w:tcW w:w="1362" w:type="dxa"/>
          </w:tcPr>
          <w:p w14:paraId="4C307F67" w14:textId="77777777" w:rsidR="00C64564" w:rsidRPr="00BF210F" w:rsidRDefault="00C64564" w:rsidP="00D66A20">
            <w:pPr>
              <w:jc w:val="center"/>
              <w:rPr>
                <w:rFonts w:cs="Arial"/>
                <w:sz w:val="20"/>
                <w:szCs w:val="20"/>
              </w:rPr>
            </w:pPr>
            <w:r w:rsidRPr="00BF210F">
              <w:rPr>
                <w:rFonts w:cs="Arial"/>
                <w:sz w:val="20"/>
                <w:szCs w:val="20"/>
              </w:rPr>
              <w:t>1.70</w:t>
            </w:r>
          </w:p>
        </w:tc>
        <w:tc>
          <w:tcPr>
            <w:tcW w:w="1362" w:type="dxa"/>
          </w:tcPr>
          <w:p w14:paraId="7B947E89" w14:textId="77777777" w:rsidR="00C64564" w:rsidRPr="00BF210F" w:rsidRDefault="00C64564" w:rsidP="00D66A20">
            <w:pPr>
              <w:jc w:val="center"/>
              <w:rPr>
                <w:rFonts w:cs="Arial"/>
                <w:sz w:val="20"/>
                <w:szCs w:val="20"/>
              </w:rPr>
            </w:pPr>
            <w:r w:rsidRPr="00BF210F">
              <w:rPr>
                <w:rFonts w:cs="Arial"/>
                <w:sz w:val="20"/>
                <w:szCs w:val="20"/>
              </w:rPr>
              <w:t>1.19-2.42</w:t>
            </w:r>
          </w:p>
        </w:tc>
        <w:tc>
          <w:tcPr>
            <w:tcW w:w="1362" w:type="dxa"/>
          </w:tcPr>
          <w:p w14:paraId="0AC75219" w14:textId="77777777" w:rsidR="00C64564" w:rsidRPr="00BF210F" w:rsidRDefault="00C64564" w:rsidP="00D66A20">
            <w:pPr>
              <w:jc w:val="center"/>
              <w:rPr>
                <w:rFonts w:cs="Arial"/>
                <w:sz w:val="20"/>
                <w:szCs w:val="20"/>
              </w:rPr>
            </w:pPr>
            <w:r w:rsidRPr="00BF210F">
              <w:rPr>
                <w:rFonts w:cs="Arial"/>
                <w:sz w:val="20"/>
                <w:szCs w:val="20"/>
              </w:rPr>
              <w:t>0.003</w:t>
            </w:r>
          </w:p>
        </w:tc>
        <w:tc>
          <w:tcPr>
            <w:tcW w:w="1539" w:type="dxa"/>
          </w:tcPr>
          <w:p w14:paraId="1BA5342B" w14:textId="77777777" w:rsidR="00C64564" w:rsidRPr="00BF210F" w:rsidRDefault="00C64564" w:rsidP="00D66A20">
            <w:pPr>
              <w:jc w:val="center"/>
              <w:rPr>
                <w:rFonts w:cs="Arial"/>
                <w:sz w:val="20"/>
                <w:szCs w:val="20"/>
              </w:rPr>
            </w:pPr>
            <w:r w:rsidRPr="00BF210F">
              <w:rPr>
                <w:rFonts w:cs="Arial"/>
                <w:sz w:val="20"/>
                <w:szCs w:val="20"/>
              </w:rPr>
              <w:t>57.3</w:t>
            </w:r>
          </w:p>
        </w:tc>
        <w:tc>
          <w:tcPr>
            <w:tcW w:w="1446" w:type="dxa"/>
          </w:tcPr>
          <w:p w14:paraId="2BCF1A1B" w14:textId="77777777" w:rsidR="00C64564" w:rsidRPr="00BF210F" w:rsidRDefault="00C64564" w:rsidP="00D66A20">
            <w:pPr>
              <w:jc w:val="center"/>
              <w:rPr>
                <w:rFonts w:cs="Arial"/>
                <w:sz w:val="20"/>
                <w:szCs w:val="20"/>
              </w:rPr>
            </w:pPr>
            <w:r w:rsidRPr="00BF210F">
              <w:rPr>
                <w:rFonts w:cs="Arial"/>
                <w:sz w:val="20"/>
                <w:szCs w:val="20"/>
              </w:rPr>
              <w:t>0.016</w:t>
            </w:r>
          </w:p>
        </w:tc>
      </w:tr>
      <w:tr w:rsidR="00C64564" w:rsidRPr="00BF210F" w14:paraId="75FD5953" w14:textId="77777777" w:rsidTr="00364997">
        <w:tc>
          <w:tcPr>
            <w:tcW w:w="2098" w:type="dxa"/>
          </w:tcPr>
          <w:p w14:paraId="24310BAF" w14:textId="77777777" w:rsidR="00C64564" w:rsidRPr="00BF210F" w:rsidRDefault="00C64564" w:rsidP="00D66A20">
            <w:pPr>
              <w:jc w:val="center"/>
              <w:rPr>
                <w:rFonts w:cs="Arial"/>
                <w:sz w:val="20"/>
                <w:szCs w:val="20"/>
              </w:rPr>
            </w:pPr>
            <w:r w:rsidRPr="00BF210F">
              <w:rPr>
                <w:rFonts w:cs="Arial"/>
                <w:sz w:val="20"/>
                <w:szCs w:val="20"/>
              </w:rPr>
              <w:t>Langenhoven 2016</w:t>
            </w:r>
          </w:p>
        </w:tc>
        <w:tc>
          <w:tcPr>
            <w:tcW w:w="1362" w:type="dxa"/>
          </w:tcPr>
          <w:p w14:paraId="089A0F1F" w14:textId="77777777" w:rsidR="00C64564" w:rsidRPr="00BF210F" w:rsidRDefault="00C64564" w:rsidP="00D66A20">
            <w:pPr>
              <w:jc w:val="center"/>
              <w:rPr>
                <w:rFonts w:cs="Arial"/>
                <w:sz w:val="20"/>
                <w:szCs w:val="20"/>
              </w:rPr>
            </w:pPr>
            <w:r w:rsidRPr="00BF210F">
              <w:rPr>
                <w:rFonts w:cs="Arial"/>
                <w:sz w:val="20"/>
                <w:szCs w:val="20"/>
              </w:rPr>
              <w:t>1.49</w:t>
            </w:r>
          </w:p>
        </w:tc>
        <w:tc>
          <w:tcPr>
            <w:tcW w:w="1362" w:type="dxa"/>
          </w:tcPr>
          <w:p w14:paraId="1942C3DF" w14:textId="77777777" w:rsidR="00C64564" w:rsidRPr="00BF210F" w:rsidRDefault="00C64564" w:rsidP="00D66A20">
            <w:pPr>
              <w:jc w:val="center"/>
              <w:rPr>
                <w:rFonts w:cs="Arial"/>
                <w:sz w:val="20"/>
                <w:szCs w:val="20"/>
              </w:rPr>
            </w:pPr>
            <w:r w:rsidRPr="00BF210F">
              <w:rPr>
                <w:rFonts w:cs="Arial"/>
                <w:sz w:val="20"/>
                <w:szCs w:val="20"/>
              </w:rPr>
              <w:t>1.02-2.17</w:t>
            </w:r>
          </w:p>
        </w:tc>
        <w:tc>
          <w:tcPr>
            <w:tcW w:w="1362" w:type="dxa"/>
          </w:tcPr>
          <w:p w14:paraId="316110EA" w14:textId="77777777" w:rsidR="00C64564" w:rsidRPr="00BF210F" w:rsidRDefault="00C64564" w:rsidP="00D66A20">
            <w:pPr>
              <w:jc w:val="center"/>
              <w:rPr>
                <w:rFonts w:cs="Arial"/>
                <w:sz w:val="20"/>
                <w:szCs w:val="20"/>
              </w:rPr>
            </w:pPr>
            <w:r w:rsidRPr="00BF210F">
              <w:rPr>
                <w:rFonts w:cs="Arial"/>
                <w:sz w:val="20"/>
                <w:szCs w:val="20"/>
              </w:rPr>
              <w:t>0.039</w:t>
            </w:r>
          </w:p>
        </w:tc>
        <w:tc>
          <w:tcPr>
            <w:tcW w:w="1539" w:type="dxa"/>
          </w:tcPr>
          <w:p w14:paraId="73D29EBF" w14:textId="77777777" w:rsidR="00C64564" w:rsidRPr="00BF210F" w:rsidRDefault="00C64564" w:rsidP="00D66A20">
            <w:pPr>
              <w:jc w:val="center"/>
              <w:rPr>
                <w:rFonts w:cs="Arial"/>
                <w:sz w:val="20"/>
                <w:szCs w:val="20"/>
              </w:rPr>
            </w:pPr>
            <w:r w:rsidRPr="00BF210F">
              <w:rPr>
                <w:rFonts w:cs="Arial"/>
                <w:sz w:val="20"/>
                <w:szCs w:val="20"/>
              </w:rPr>
              <w:t>64.6</w:t>
            </w:r>
          </w:p>
        </w:tc>
        <w:tc>
          <w:tcPr>
            <w:tcW w:w="1446" w:type="dxa"/>
          </w:tcPr>
          <w:p w14:paraId="7220F900" w14:textId="77777777" w:rsidR="00C64564" w:rsidRPr="00BF210F" w:rsidRDefault="00C64564" w:rsidP="00D66A20">
            <w:pPr>
              <w:jc w:val="center"/>
              <w:rPr>
                <w:rFonts w:cs="Arial"/>
                <w:sz w:val="20"/>
                <w:szCs w:val="20"/>
              </w:rPr>
            </w:pPr>
            <w:r w:rsidRPr="00BF210F">
              <w:rPr>
                <w:rFonts w:cs="Arial"/>
                <w:sz w:val="20"/>
                <w:szCs w:val="20"/>
              </w:rPr>
              <w:t>0.004</w:t>
            </w:r>
          </w:p>
        </w:tc>
      </w:tr>
      <w:tr w:rsidR="00C64564" w:rsidRPr="00BF210F" w14:paraId="5D999269" w14:textId="77777777" w:rsidTr="00364997">
        <w:tc>
          <w:tcPr>
            <w:tcW w:w="2098" w:type="dxa"/>
          </w:tcPr>
          <w:p w14:paraId="1358CDC0" w14:textId="77777777" w:rsidR="00C64564" w:rsidRPr="00BF210F" w:rsidRDefault="00C64564" w:rsidP="00D66A20">
            <w:pPr>
              <w:jc w:val="center"/>
              <w:rPr>
                <w:rFonts w:cs="Arial"/>
                <w:sz w:val="20"/>
                <w:szCs w:val="20"/>
              </w:rPr>
            </w:pPr>
            <w:r w:rsidRPr="00BF210F">
              <w:rPr>
                <w:rFonts w:cs="Arial"/>
                <w:sz w:val="20"/>
                <w:szCs w:val="20"/>
              </w:rPr>
              <w:t>Phakathi 2016</w:t>
            </w:r>
          </w:p>
        </w:tc>
        <w:tc>
          <w:tcPr>
            <w:tcW w:w="1362" w:type="dxa"/>
          </w:tcPr>
          <w:p w14:paraId="50D9F752" w14:textId="77777777" w:rsidR="00C64564" w:rsidRPr="00BF210F" w:rsidRDefault="00C64564" w:rsidP="00D66A20">
            <w:pPr>
              <w:jc w:val="center"/>
              <w:rPr>
                <w:rFonts w:cs="Arial"/>
                <w:sz w:val="20"/>
                <w:szCs w:val="20"/>
              </w:rPr>
            </w:pPr>
            <w:r w:rsidRPr="00BF210F">
              <w:rPr>
                <w:rFonts w:cs="Arial"/>
                <w:sz w:val="20"/>
                <w:szCs w:val="20"/>
              </w:rPr>
              <w:t>1.58</w:t>
            </w:r>
          </w:p>
        </w:tc>
        <w:tc>
          <w:tcPr>
            <w:tcW w:w="1362" w:type="dxa"/>
          </w:tcPr>
          <w:p w14:paraId="54F1E3F2" w14:textId="77777777" w:rsidR="00C64564" w:rsidRPr="00BF210F" w:rsidRDefault="00C64564" w:rsidP="00D66A20">
            <w:pPr>
              <w:jc w:val="center"/>
              <w:rPr>
                <w:rFonts w:cs="Arial"/>
                <w:sz w:val="20"/>
                <w:szCs w:val="20"/>
              </w:rPr>
            </w:pPr>
            <w:r w:rsidRPr="00BF210F">
              <w:rPr>
                <w:rFonts w:cs="Arial"/>
                <w:sz w:val="20"/>
                <w:szCs w:val="20"/>
              </w:rPr>
              <w:t>1.10-2.27</w:t>
            </w:r>
          </w:p>
        </w:tc>
        <w:tc>
          <w:tcPr>
            <w:tcW w:w="1362" w:type="dxa"/>
          </w:tcPr>
          <w:p w14:paraId="5EC2AEFA" w14:textId="77777777" w:rsidR="00C64564" w:rsidRPr="00BF210F" w:rsidRDefault="00C64564" w:rsidP="00D66A20">
            <w:pPr>
              <w:jc w:val="center"/>
              <w:rPr>
                <w:rFonts w:cs="Arial"/>
                <w:sz w:val="20"/>
                <w:szCs w:val="20"/>
              </w:rPr>
            </w:pPr>
            <w:r w:rsidRPr="00BF210F">
              <w:rPr>
                <w:rFonts w:cs="Arial"/>
                <w:sz w:val="20"/>
                <w:szCs w:val="20"/>
              </w:rPr>
              <w:t>0.013</w:t>
            </w:r>
          </w:p>
        </w:tc>
        <w:tc>
          <w:tcPr>
            <w:tcW w:w="1539" w:type="dxa"/>
          </w:tcPr>
          <w:p w14:paraId="6DBF9485" w14:textId="77777777" w:rsidR="00C64564" w:rsidRPr="00BF210F" w:rsidRDefault="00C64564" w:rsidP="00D66A20">
            <w:pPr>
              <w:jc w:val="center"/>
              <w:rPr>
                <w:rFonts w:cs="Arial"/>
                <w:sz w:val="20"/>
                <w:szCs w:val="20"/>
              </w:rPr>
            </w:pPr>
            <w:r w:rsidRPr="00BF210F">
              <w:rPr>
                <w:rFonts w:cs="Arial"/>
                <w:sz w:val="20"/>
                <w:szCs w:val="20"/>
              </w:rPr>
              <w:t>65.7</w:t>
            </w:r>
          </w:p>
        </w:tc>
        <w:tc>
          <w:tcPr>
            <w:tcW w:w="1446" w:type="dxa"/>
          </w:tcPr>
          <w:p w14:paraId="69B19B24" w14:textId="77777777" w:rsidR="00C64564" w:rsidRPr="00BF210F" w:rsidRDefault="00C64564" w:rsidP="00D66A20">
            <w:pPr>
              <w:jc w:val="center"/>
              <w:rPr>
                <w:rFonts w:cs="Arial"/>
                <w:sz w:val="20"/>
                <w:szCs w:val="20"/>
              </w:rPr>
            </w:pPr>
            <w:r w:rsidRPr="00BF210F">
              <w:rPr>
                <w:rFonts w:cs="Arial"/>
                <w:sz w:val="20"/>
                <w:szCs w:val="20"/>
              </w:rPr>
              <w:t>0.003</w:t>
            </w:r>
          </w:p>
        </w:tc>
      </w:tr>
      <w:tr w:rsidR="00C64564" w:rsidRPr="00BF210F" w14:paraId="58F1DA80" w14:textId="77777777" w:rsidTr="00364997">
        <w:tc>
          <w:tcPr>
            <w:tcW w:w="2098" w:type="dxa"/>
          </w:tcPr>
          <w:p w14:paraId="6792BA48" w14:textId="77777777" w:rsidR="00C64564" w:rsidRPr="00BF210F" w:rsidRDefault="00C64564" w:rsidP="00D66A20">
            <w:pPr>
              <w:jc w:val="center"/>
              <w:rPr>
                <w:rFonts w:cs="Arial"/>
                <w:sz w:val="20"/>
                <w:szCs w:val="20"/>
              </w:rPr>
            </w:pPr>
            <w:r w:rsidRPr="00BF210F">
              <w:rPr>
                <w:rFonts w:cs="Arial"/>
                <w:sz w:val="20"/>
                <w:szCs w:val="20"/>
              </w:rPr>
              <w:t>Ngidi 2017</w:t>
            </w:r>
          </w:p>
        </w:tc>
        <w:tc>
          <w:tcPr>
            <w:tcW w:w="1362" w:type="dxa"/>
          </w:tcPr>
          <w:p w14:paraId="03014AD4" w14:textId="77777777" w:rsidR="00C64564" w:rsidRPr="00BF210F" w:rsidRDefault="00C64564" w:rsidP="00D66A20">
            <w:pPr>
              <w:jc w:val="center"/>
              <w:rPr>
                <w:rFonts w:cs="Arial"/>
                <w:sz w:val="20"/>
                <w:szCs w:val="20"/>
              </w:rPr>
            </w:pPr>
            <w:r w:rsidRPr="00BF210F">
              <w:rPr>
                <w:rFonts w:cs="Arial"/>
                <w:sz w:val="20"/>
                <w:szCs w:val="20"/>
              </w:rPr>
              <w:t>1.61</w:t>
            </w:r>
          </w:p>
        </w:tc>
        <w:tc>
          <w:tcPr>
            <w:tcW w:w="1362" w:type="dxa"/>
          </w:tcPr>
          <w:p w14:paraId="63A0655B" w14:textId="77777777" w:rsidR="00C64564" w:rsidRPr="00BF210F" w:rsidRDefault="00C64564" w:rsidP="00D66A20">
            <w:pPr>
              <w:jc w:val="center"/>
              <w:rPr>
                <w:rFonts w:cs="Arial"/>
                <w:sz w:val="20"/>
                <w:szCs w:val="20"/>
              </w:rPr>
            </w:pPr>
            <w:r w:rsidRPr="00BF210F">
              <w:rPr>
                <w:rFonts w:cs="Arial"/>
                <w:sz w:val="20"/>
                <w:szCs w:val="20"/>
              </w:rPr>
              <w:t>1.14-2.29</w:t>
            </w:r>
          </w:p>
        </w:tc>
        <w:tc>
          <w:tcPr>
            <w:tcW w:w="1362" w:type="dxa"/>
          </w:tcPr>
          <w:p w14:paraId="1B5D32B3" w14:textId="77777777" w:rsidR="00C64564" w:rsidRPr="00BF210F" w:rsidRDefault="00C64564" w:rsidP="00D66A20">
            <w:pPr>
              <w:jc w:val="center"/>
              <w:rPr>
                <w:rFonts w:cs="Arial"/>
                <w:sz w:val="20"/>
                <w:szCs w:val="20"/>
              </w:rPr>
            </w:pPr>
            <w:r w:rsidRPr="00BF210F">
              <w:rPr>
                <w:rFonts w:cs="Arial"/>
                <w:sz w:val="20"/>
                <w:szCs w:val="20"/>
              </w:rPr>
              <w:t>0.007</w:t>
            </w:r>
          </w:p>
        </w:tc>
        <w:tc>
          <w:tcPr>
            <w:tcW w:w="1539" w:type="dxa"/>
          </w:tcPr>
          <w:p w14:paraId="616EB0F3" w14:textId="77777777" w:rsidR="00C64564" w:rsidRPr="00BF210F" w:rsidRDefault="00C64564" w:rsidP="00D66A20">
            <w:pPr>
              <w:jc w:val="center"/>
              <w:rPr>
                <w:rFonts w:cs="Arial"/>
                <w:sz w:val="20"/>
                <w:szCs w:val="20"/>
              </w:rPr>
            </w:pPr>
            <w:r w:rsidRPr="00BF210F">
              <w:rPr>
                <w:rFonts w:cs="Arial"/>
                <w:sz w:val="20"/>
                <w:szCs w:val="20"/>
              </w:rPr>
              <w:t>64.1</w:t>
            </w:r>
          </w:p>
        </w:tc>
        <w:tc>
          <w:tcPr>
            <w:tcW w:w="1446" w:type="dxa"/>
          </w:tcPr>
          <w:p w14:paraId="6E8755C2" w14:textId="77777777" w:rsidR="00C64564" w:rsidRPr="00BF210F" w:rsidRDefault="00C64564" w:rsidP="00D66A20">
            <w:pPr>
              <w:jc w:val="center"/>
              <w:rPr>
                <w:rFonts w:cs="Arial"/>
                <w:sz w:val="20"/>
                <w:szCs w:val="20"/>
              </w:rPr>
            </w:pPr>
            <w:r w:rsidRPr="00BF210F">
              <w:rPr>
                <w:rFonts w:cs="Arial"/>
                <w:sz w:val="20"/>
                <w:szCs w:val="20"/>
              </w:rPr>
              <w:t>0.004</w:t>
            </w:r>
          </w:p>
        </w:tc>
      </w:tr>
      <w:tr w:rsidR="00C64564" w:rsidRPr="00BF210F" w14:paraId="7B7DA6AB" w14:textId="77777777" w:rsidTr="00364997">
        <w:tc>
          <w:tcPr>
            <w:tcW w:w="2098" w:type="dxa"/>
          </w:tcPr>
          <w:p w14:paraId="51585769" w14:textId="77777777" w:rsidR="00C64564" w:rsidRPr="00BF210F" w:rsidRDefault="00C64564" w:rsidP="00D66A20">
            <w:pPr>
              <w:jc w:val="center"/>
              <w:rPr>
                <w:rFonts w:cs="Arial"/>
                <w:sz w:val="20"/>
                <w:szCs w:val="20"/>
              </w:rPr>
            </w:pPr>
            <w:r w:rsidRPr="00BF210F">
              <w:rPr>
                <w:rFonts w:cs="Arial"/>
                <w:sz w:val="20"/>
                <w:szCs w:val="20"/>
              </w:rPr>
              <w:t>Presti 2017</w:t>
            </w:r>
          </w:p>
        </w:tc>
        <w:tc>
          <w:tcPr>
            <w:tcW w:w="1362" w:type="dxa"/>
          </w:tcPr>
          <w:p w14:paraId="451E3B19" w14:textId="77777777" w:rsidR="00C64564" w:rsidRPr="00BF210F" w:rsidRDefault="00C64564" w:rsidP="00D66A20">
            <w:pPr>
              <w:jc w:val="center"/>
              <w:rPr>
                <w:rFonts w:cs="Arial"/>
                <w:sz w:val="20"/>
                <w:szCs w:val="20"/>
              </w:rPr>
            </w:pPr>
            <w:r w:rsidRPr="00BF210F">
              <w:rPr>
                <w:rFonts w:cs="Arial"/>
                <w:sz w:val="20"/>
                <w:szCs w:val="20"/>
              </w:rPr>
              <w:t>1.60</w:t>
            </w:r>
          </w:p>
        </w:tc>
        <w:tc>
          <w:tcPr>
            <w:tcW w:w="1362" w:type="dxa"/>
          </w:tcPr>
          <w:p w14:paraId="33CE13C3" w14:textId="77777777" w:rsidR="00C64564" w:rsidRPr="00BF210F" w:rsidRDefault="00C64564" w:rsidP="00D66A20">
            <w:pPr>
              <w:jc w:val="center"/>
              <w:rPr>
                <w:rFonts w:cs="Arial"/>
                <w:sz w:val="20"/>
                <w:szCs w:val="20"/>
              </w:rPr>
            </w:pPr>
            <w:r w:rsidRPr="00BF210F">
              <w:rPr>
                <w:rFonts w:cs="Arial"/>
                <w:sz w:val="20"/>
                <w:szCs w:val="20"/>
              </w:rPr>
              <w:t>1.10-2.31</w:t>
            </w:r>
          </w:p>
        </w:tc>
        <w:tc>
          <w:tcPr>
            <w:tcW w:w="1362" w:type="dxa"/>
          </w:tcPr>
          <w:p w14:paraId="03D8E5FA" w14:textId="77777777" w:rsidR="00C64564" w:rsidRPr="00BF210F" w:rsidRDefault="00C64564" w:rsidP="00D66A20">
            <w:pPr>
              <w:jc w:val="center"/>
              <w:rPr>
                <w:rFonts w:cs="Arial"/>
                <w:sz w:val="20"/>
                <w:szCs w:val="20"/>
              </w:rPr>
            </w:pPr>
            <w:r w:rsidRPr="00BF210F">
              <w:rPr>
                <w:rFonts w:cs="Arial"/>
                <w:sz w:val="20"/>
                <w:szCs w:val="20"/>
              </w:rPr>
              <w:t>0.013</w:t>
            </w:r>
          </w:p>
        </w:tc>
        <w:tc>
          <w:tcPr>
            <w:tcW w:w="1539" w:type="dxa"/>
          </w:tcPr>
          <w:p w14:paraId="32FB5BE6" w14:textId="77777777" w:rsidR="00C64564" w:rsidRPr="00BF210F" w:rsidRDefault="00C64564" w:rsidP="00D66A20">
            <w:pPr>
              <w:jc w:val="center"/>
              <w:rPr>
                <w:rFonts w:cs="Arial"/>
                <w:sz w:val="20"/>
                <w:szCs w:val="20"/>
              </w:rPr>
            </w:pPr>
            <w:r w:rsidRPr="00BF210F">
              <w:rPr>
                <w:rFonts w:cs="Arial"/>
                <w:sz w:val="20"/>
                <w:szCs w:val="20"/>
              </w:rPr>
              <w:t>65.3</w:t>
            </w:r>
          </w:p>
        </w:tc>
        <w:tc>
          <w:tcPr>
            <w:tcW w:w="1446" w:type="dxa"/>
          </w:tcPr>
          <w:p w14:paraId="7001433E" w14:textId="77777777" w:rsidR="00C64564" w:rsidRPr="00BF210F" w:rsidRDefault="00C64564" w:rsidP="00D66A20">
            <w:pPr>
              <w:jc w:val="center"/>
              <w:rPr>
                <w:rFonts w:cs="Arial"/>
                <w:sz w:val="20"/>
                <w:szCs w:val="20"/>
              </w:rPr>
            </w:pPr>
            <w:r w:rsidRPr="00BF210F">
              <w:rPr>
                <w:rFonts w:cs="Arial"/>
                <w:sz w:val="20"/>
                <w:szCs w:val="20"/>
              </w:rPr>
              <w:t>0.003</w:t>
            </w:r>
          </w:p>
        </w:tc>
      </w:tr>
      <w:tr w:rsidR="00C64564" w:rsidRPr="00BF210F" w14:paraId="04AC6FA7" w14:textId="77777777" w:rsidTr="00364997">
        <w:tc>
          <w:tcPr>
            <w:tcW w:w="2098" w:type="dxa"/>
          </w:tcPr>
          <w:p w14:paraId="1E6FE5C9" w14:textId="77777777" w:rsidR="00C64564" w:rsidRPr="00BF210F" w:rsidRDefault="00C64564" w:rsidP="00D66A20">
            <w:pPr>
              <w:jc w:val="center"/>
              <w:rPr>
                <w:rFonts w:cs="Arial"/>
                <w:sz w:val="20"/>
                <w:szCs w:val="20"/>
              </w:rPr>
            </w:pPr>
            <w:r w:rsidRPr="00BF210F">
              <w:rPr>
                <w:rFonts w:cs="Arial"/>
                <w:sz w:val="20"/>
                <w:szCs w:val="20"/>
              </w:rPr>
              <w:t>Brandao 2019</w:t>
            </w:r>
          </w:p>
        </w:tc>
        <w:tc>
          <w:tcPr>
            <w:tcW w:w="1362" w:type="dxa"/>
          </w:tcPr>
          <w:p w14:paraId="45CF06A4" w14:textId="77777777" w:rsidR="00C64564" w:rsidRPr="00BF210F" w:rsidRDefault="00C64564" w:rsidP="00D66A20">
            <w:pPr>
              <w:jc w:val="center"/>
              <w:rPr>
                <w:rFonts w:cs="Arial"/>
                <w:sz w:val="20"/>
                <w:szCs w:val="20"/>
              </w:rPr>
            </w:pPr>
            <w:r w:rsidRPr="00BF210F">
              <w:rPr>
                <w:rFonts w:cs="Arial"/>
                <w:sz w:val="20"/>
                <w:szCs w:val="20"/>
              </w:rPr>
              <w:t>1.55</w:t>
            </w:r>
          </w:p>
        </w:tc>
        <w:tc>
          <w:tcPr>
            <w:tcW w:w="1362" w:type="dxa"/>
          </w:tcPr>
          <w:p w14:paraId="323EAB61" w14:textId="77777777" w:rsidR="00C64564" w:rsidRPr="00BF210F" w:rsidRDefault="00C64564" w:rsidP="00D66A20">
            <w:pPr>
              <w:jc w:val="center"/>
              <w:rPr>
                <w:rFonts w:cs="Arial"/>
                <w:sz w:val="20"/>
                <w:szCs w:val="20"/>
              </w:rPr>
            </w:pPr>
            <w:r w:rsidRPr="00BF210F">
              <w:rPr>
                <w:rFonts w:cs="Arial"/>
                <w:sz w:val="20"/>
                <w:szCs w:val="20"/>
              </w:rPr>
              <w:t>1.05-2.29</w:t>
            </w:r>
          </w:p>
        </w:tc>
        <w:tc>
          <w:tcPr>
            <w:tcW w:w="1362" w:type="dxa"/>
          </w:tcPr>
          <w:p w14:paraId="29416E00" w14:textId="77777777" w:rsidR="00C64564" w:rsidRPr="00BF210F" w:rsidRDefault="00C64564" w:rsidP="00D66A20">
            <w:pPr>
              <w:jc w:val="center"/>
              <w:rPr>
                <w:rFonts w:cs="Arial"/>
                <w:sz w:val="20"/>
                <w:szCs w:val="20"/>
              </w:rPr>
            </w:pPr>
            <w:r w:rsidRPr="00BF210F">
              <w:rPr>
                <w:rFonts w:cs="Arial"/>
                <w:sz w:val="20"/>
                <w:szCs w:val="20"/>
              </w:rPr>
              <w:t>0.026</w:t>
            </w:r>
          </w:p>
        </w:tc>
        <w:tc>
          <w:tcPr>
            <w:tcW w:w="1539" w:type="dxa"/>
          </w:tcPr>
          <w:p w14:paraId="4E25AD99" w14:textId="77777777" w:rsidR="00C64564" w:rsidRPr="00BF210F" w:rsidRDefault="00C64564" w:rsidP="00D66A20">
            <w:pPr>
              <w:jc w:val="center"/>
              <w:rPr>
                <w:rFonts w:cs="Arial"/>
                <w:sz w:val="20"/>
                <w:szCs w:val="20"/>
              </w:rPr>
            </w:pPr>
            <w:r w:rsidRPr="00BF210F">
              <w:rPr>
                <w:rFonts w:cs="Arial"/>
                <w:sz w:val="20"/>
                <w:szCs w:val="20"/>
              </w:rPr>
              <w:t>65.8</w:t>
            </w:r>
          </w:p>
        </w:tc>
        <w:tc>
          <w:tcPr>
            <w:tcW w:w="1446" w:type="dxa"/>
          </w:tcPr>
          <w:p w14:paraId="168197E2" w14:textId="77777777" w:rsidR="00C64564" w:rsidRPr="00BF210F" w:rsidRDefault="00C64564" w:rsidP="00D66A20">
            <w:pPr>
              <w:jc w:val="center"/>
              <w:rPr>
                <w:rFonts w:cs="Arial"/>
                <w:sz w:val="20"/>
                <w:szCs w:val="20"/>
              </w:rPr>
            </w:pPr>
            <w:r w:rsidRPr="00BF210F">
              <w:rPr>
                <w:rFonts w:cs="Arial"/>
                <w:sz w:val="20"/>
                <w:szCs w:val="20"/>
              </w:rPr>
              <w:t>0.003</w:t>
            </w:r>
          </w:p>
        </w:tc>
      </w:tr>
      <w:tr w:rsidR="00C64564" w:rsidRPr="00BF210F" w14:paraId="75197364" w14:textId="77777777" w:rsidTr="00364997">
        <w:tc>
          <w:tcPr>
            <w:tcW w:w="2098" w:type="dxa"/>
          </w:tcPr>
          <w:p w14:paraId="66441622" w14:textId="77777777" w:rsidR="00C64564" w:rsidRPr="00BF210F" w:rsidRDefault="00C64564" w:rsidP="00D66A20">
            <w:pPr>
              <w:jc w:val="center"/>
              <w:rPr>
                <w:rFonts w:cs="Arial"/>
                <w:sz w:val="20"/>
                <w:szCs w:val="20"/>
              </w:rPr>
            </w:pPr>
            <w:r w:rsidRPr="00BF210F">
              <w:rPr>
                <w:rFonts w:cs="Arial"/>
                <w:sz w:val="20"/>
                <w:szCs w:val="20"/>
              </w:rPr>
              <w:t>Coghill 2019</w:t>
            </w:r>
          </w:p>
        </w:tc>
        <w:tc>
          <w:tcPr>
            <w:tcW w:w="1362" w:type="dxa"/>
          </w:tcPr>
          <w:p w14:paraId="5D120698" w14:textId="77777777" w:rsidR="00C64564" w:rsidRPr="00BF210F" w:rsidRDefault="00C64564" w:rsidP="00D66A20">
            <w:pPr>
              <w:jc w:val="center"/>
              <w:rPr>
                <w:rFonts w:cs="Arial"/>
                <w:sz w:val="20"/>
                <w:szCs w:val="20"/>
              </w:rPr>
            </w:pPr>
            <w:r w:rsidRPr="00BF210F">
              <w:rPr>
                <w:rFonts w:cs="Arial"/>
                <w:sz w:val="20"/>
                <w:szCs w:val="20"/>
              </w:rPr>
              <w:t>1.32</w:t>
            </w:r>
          </w:p>
        </w:tc>
        <w:tc>
          <w:tcPr>
            <w:tcW w:w="1362" w:type="dxa"/>
          </w:tcPr>
          <w:p w14:paraId="1793D2CF" w14:textId="77777777" w:rsidR="00C64564" w:rsidRPr="00BF210F" w:rsidRDefault="00C64564" w:rsidP="00D66A20">
            <w:pPr>
              <w:jc w:val="center"/>
              <w:rPr>
                <w:rFonts w:cs="Arial"/>
                <w:sz w:val="20"/>
                <w:szCs w:val="20"/>
              </w:rPr>
            </w:pPr>
            <w:r w:rsidRPr="00BF210F">
              <w:rPr>
                <w:rFonts w:cs="Arial"/>
                <w:sz w:val="20"/>
                <w:szCs w:val="20"/>
              </w:rPr>
              <w:t>1.04-1.69</w:t>
            </w:r>
          </w:p>
        </w:tc>
        <w:tc>
          <w:tcPr>
            <w:tcW w:w="1362" w:type="dxa"/>
          </w:tcPr>
          <w:p w14:paraId="1D0AFDA8" w14:textId="77777777" w:rsidR="00C64564" w:rsidRPr="00BF210F" w:rsidRDefault="00C64564" w:rsidP="00D66A20">
            <w:pPr>
              <w:jc w:val="center"/>
              <w:rPr>
                <w:rFonts w:cs="Arial"/>
                <w:sz w:val="20"/>
                <w:szCs w:val="20"/>
              </w:rPr>
            </w:pPr>
            <w:r w:rsidRPr="00BF210F">
              <w:rPr>
                <w:rFonts w:cs="Arial"/>
                <w:sz w:val="20"/>
                <w:szCs w:val="20"/>
              </w:rPr>
              <w:t>0.023</w:t>
            </w:r>
          </w:p>
        </w:tc>
        <w:tc>
          <w:tcPr>
            <w:tcW w:w="1539" w:type="dxa"/>
          </w:tcPr>
          <w:p w14:paraId="49B1E12F" w14:textId="77777777" w:rsidR="00C64564" w:rsidRPr="00BF210F" w:rsidRDefault="00C64564" w:rsidP="00D66A20">
            <w:pPr>
              <w:jc w:val="center"/>
              <w:rPr>
                <w:rFonts w:cs="Arial"/>
                <w:sz w:val="20"/>
                <w:szCs w:val="20"/>
              </w:rPr>
            </w:pPr>
            <w:r w:rsidRPr="00BF210F">
              <w:rPr>
                <w:rFonts w:cs="Arial"/>
                <w:sz w:val="20"/>
                <w:szCs w:val="20"/>
              </w:rPr>
              <w:t>0.0</w:t>
            </w:r>
          </w:p>
        </w:tc>
        <w:tc>
          <w:tcPr>
            <w:tcW w:w="1446" w:type="dxa"/>
          </w:tcPr>
          <w:p w14:paraId="4818A908" w14:textId="77777777" w:rsidR="00C64564" w:rsidRPr="00BF210F" w:rsidRDefault="00C64564" w:rsidP="00D66A20">
            <w:pPr>
              <w:jc w:val="center"/>
              <w:rPr>
                <w:rFonts w:cs="Arial"/>
                <w:sz w:val="20"/>
                <w:szCs w:val="20"/>
              </w:rPr>
            </w:pPr>
            <w:r w:rsidRPr="00BF210F">
              <w:rPr>
                <w:rFonts w:cs="Arial"/>
                <w:sz w:val="20"/>
                <w:szCs w:val="20"/>
              </w:rPr>
              <w:t>0.523</w:t>
            </w:r>
          </w:p>
        </w:tc>
      </w:tr>
      <w:tr w:rsidR="00C64564" w:rsidRPr="00BF210F" w14:paraId="1C26FAAF" w14:textId="77777777" w:rsidTr="00364997">
        <w:tc>
          <w:tcPr>
            <w:tcW w:w="2098" w:type="dxa"/>
          </w:tcPr>
          <w:p w14:paraId="6C6CBB36" w14:textId="77777777" w:rsidR="00C64564" w:rsidRPr="00BF210F" w:rsidRDefault="00C64564" w:rsidP="00D66A20">
            <w:pPr>
              <w:jc w:val="center"/>
              <w:rPr>
                <w:rFonts w:cs="Arial"/>
                <w:sz w:val="20"/>
                <w:szCs w:val="20"/>
              </w:rPr>
            </w:pPr>
            <w:r w:rsidRPr="00BF210F">
              <w:rPr>
                <w:rFonts w:cs="Arial"/>
                <w:sz w:val="20"/>
                <w:szCs w:val="20"/>
              </w:rPr>
              <w:t>Phakathi 2019</w:t>
            </w:r>
          </w:p>
        </w:tc>
        <w:tc>
          <w:tcPr>
            <w:tcW w:w="1362" w:type="dxa"/>
          </w:tcPr>
          <w:p w14:paraId="2256F86F" w14:textId="77777777" w:rsidR="00C64564" w:rsidRPr="00BF210F" w:rsidRDefault="00C64564" w:rsidP="00D66A20">
            <w:pPr>
              <w:jc w:val="center"/>
              <w:rPr>
                <w:rFonts w:cs="Arial"/>
                <w:sz w:val="20"/>
                <w:szCs w:val="20"/>
              </w:rPr>
            </w:pPr>
            <w:r w:rsidRPr="00BF210F">
              <w:rPr>
                <w:rFonts w:cs="Arial"/>
                <w:sz w:val="20"/>
                <w:szCs w:val="20"/>
              </w:rPr>
              <w:t>1.71</w:t>
            </w:r>
          </w:p>
        </w:tc>
        <w:tc>
          <w:tcPr>
            <w:tcW w:w="1362" w:type="dxa"/>
          </w:tcPr>
          <w:p w14:paraId="7D8590DD" w14:textId="77777777" w:rsidR="00C64564" w:rsidRPr="00BF210F" w:rsidRDefault="00C64564" w:rsidP="00D66A20">
            <w:pPr>
              <w:jc w:val="center"/>
              <w:rPr>
                <w:rFonts w:cs="Arial"/>
                <w:sz w:val="20"/>
                <w:szCs w:val="20"/>
              </w:rPr>
            </w:pPr>
            <w:r w:rsidRPr="00BF210F">
              <w:rPr>
                <w:rFonts w:cs="Arial"/>
                <w:sz w:val="20"/>
                <w:szCs w:val="20"/>
              </w:rPr>
              <w:t>1.21-2.42</w:t>
            </w:r>
          </w:p>
        </w:tc>
        <w:tc>
          <w:tcPr>
            <w:tcW w:w="1362" w:type="dxa"/>
          </w:tcPr>
          <w:p w14:paraId="081366A0" w14:textId="77777777" w:rsidR="00C64564" w:rsidRPr="00BF210F" w:rsidRDefault="00C64564" w:rsidP="00D66A20">
            <w:pPr>
              <w:jc w:val="center"/>
              <w:rPr>
                <w:rFonts w:cs="Arial"/>
                <w:sz w:val="20"/>
                <w:szCs w:val="20"/>
              </w:rPr>
            </w:pPr>
            <w:r w:rsidRPr="00BF210F">
              <w:rPr>
                <w:rFonts w:cs="Arial"/>
                <w:sz w:val="20"/>
                <w:szCs w:val="20"/>
              </w:rPr>
              <w:t>0.002</w:t>
            </w:r>
          </w:p>
        </w:tc>
        <w:tc>
          <w:tcPr>
            <w:tcW w:w="1539" w:type="dxa"/>
          </w:tcPr>
          <w:p w14:paraId="6B54B0CF" w14:textId="77777777" w:rsidR="00C64564" w:rsidRPr="00BF210F" w:rsidRDefault="00C64564" w:rsidP="00D66A20">
            <w:pPr>
              <w:jc w:val="center"/>
              <w:rPr>
                <w:rFonts w:cs="Arial"/>
                <w:sz w:val="20"/>
                <w:szCs w:val="20"/>
              </w:rPr>
            </w:pPr>
            <w:r w:rsidRPr="00BF210F">
              <w:rPr>
                <w:rFonts w:cs="Arial"/>
                <w:sz w:val="20"/>
                <w:szCs w:val="20"/>
              </w:rPr>
              <w:t>47.3</w:t>
            </w:r>
          </w:p>
        </w:tc>
        <w:tc>
          <w:tcPr>
            <w:tcW w:w="1446" w:type="dxa"/>
          </w:tcPr>
          <w:p w14:paraId="2B0FE73E" w14:textId="77777777" w:rsidR="00C64564" w:rsidRPr="00BF210F" w:rsidRDefault="00C64564" w:rsidP="00D66A20">
            <w:pPr>
              <w:jc w:val="center"/>
              <w:rPr>
                <w:rFonts w:cs="Arial"/>
                <w:sz w:val="20"/>
                <w:szCs w:val="20"/>
              </w:rPr>
            </w:pPr>
            <w:r w:rsidRPr="00BF210F">
              <w:rPr>
                <w:rFonts w:cs="Arial"/>
                <w:sz w:val="20"/>
                <w:szCs w:val="20"/>
              </w:rPr>
              <w:t>0.056</w:t>
            </w:r>
          </w:p>
        </w:tc>
      </w:tr>
      <w:tr w:rsidR="00C64564" w:rsidRPr="00BF210F" w14:paraId="5D7BC2A5" w14:textId="77777777" w:rsidTr="00364997">
        <w:tc>
          <w:tcPr>
            <w:tcW w:w="2098" w:type="dxa"/>
          </w:tcPr>
          <w:p w14:paraId="1E6BD827" w14:textId="77777777" w:rsidR="00C64564" w:rsidRPr="00BF210F" w:rsidRDefault="00C64564" w:rsidP="00D66A20">
            <w:pPr>
              <w:jc w:val="center"/>
              <w:rPr>
                <w:rFonts w:cs="Arial"/>
                <w:sz w:val="20"/>
                <w:szCs w:val="20"/>
              </w:rPr>
            </w:pPr>
            <w:r w:rsidRPr="00BF210F">
              <w:rPr>
                <w:rFonts w:cs="Arial"/>
                <w:sz w:val="20"/>
                <w:szCs w:val="20"/>
              </w:rPr>
              <w:t>Sadigh 2019</w:t>
            </w:r>
          </w:p>
        </w:tc>
        <w:tc>
          <w:tcPr>
            <w:tcW w:w="1362" w:type="dxa"/>
          </w:tcPr>
          <w:p w14:paraId="2A501C12" w14:textId="77777777" w:rsidR="00C64564" w:rsidRPr="00BF210F" w:rsidRDefault="00C64564" w:rsidP="00D66A20">
            <w:pPr>
              <w:jc w:val="center"/>
              <w:rPr>
                <w:rFonts w:cs="Arial"/>
                <w:sz w:val="20"/>
                <w:szCs w:val="20"/>
              </w:rPr>
            </w:pPr>
            <w:r w:rsidRPr="00BF210F">
              <w:rPr>
                <w:rFonts w:cs="Arial"/>
                <w:sz w:val="20"/>
                <w:szCs w:val="20"/>
              </w:rPr>
              <w:t>1.68</w:t>
            </w:r>
          </w:p>
        </w:tc>
        <w:tc>
          <w:tcPr>
            <w:tcW w:w="1362" w:type="dxa"/>
          </w:tcPr>
          <w:p w14:paraId="5E51B874" w14:textId="77777777" w:rsidR="00C64564" w:rsidRPr="00BF210F" w:rsidRDefault="00C64564" w:rsidP="00D66A20">
            <w:pPr>
              <w:jc w:val="center"/>
              <w:rPr>
                <w:rFonts w:cs="Arial"/>
                <w:sz w:val="20"/>
                <w:szCs w:val="20"/>
              </w:rPr>
            </w:pPr>
            <w:r w:rsidRPr="00BF210F">
              <w:rPr>
                <w:rFonts w:cs="Arial"/>
                <w:sz w:val="20"/>
                <w:szCs w:val="20"/>
              </w:rPr>
              <w:t>1.16-2.42</w:t>
            </w:r>
          </w:p>
        </w:tc>
        <w:tc>
          <w:tcPr>
            <w:tcW w:w="1362" w:type="dxa"/>
          </w:tcPr>
          <w:p w14:paraId="001E12C9" w14:textId="77777777" w:rsidR="00C64564" w:rsidRPr="00BF210F" w:rsidRDefault="00C64564" w:rsidP="00D66A20">
            <w:pPr>
              <w:jc w:val="center"/>
              <w:rPr>
                <w:rFonts w:cs="Arial"/>
                <w:sz w:val="20"/>
                <w:szCs w:val="20"/>
              </w:rPr>
            </w:pPr>
            <w:r w:rsidRPr="00BF210F">
              <w:rPr>
                <w:rFonts w:cs="Arial"/>
                <w:sz w:val="20"/>
                <w:szCs w:val="20"/>
              </w:rPr>
              <w:t>0.006</w:t>
            </w:r>
          </w:p>
        </w:tc>
        <w:tc>
          <w:tcPr>
            <w:tcW w:w="1539" w:type="dxa"/>
          </w:tcPr>
          <w:p w14:paraId="1CC357ED" w14:textId="77777777" w:rsidR="00C64564" w:rsidRPr="00BF210F" w:rsidRDefault="00C64564" w:rsidP="00D66A20">
            <w:pPr>
              <w:jc w:val="center"/>
              <w:rPr>
                <w:rFonts w:cs="Arial"/>
                <w:sz w:val="20"/>
                <w:szCs w:val="20"/>
              </w:rPr>
            </w:pPr>
            <w:r w:rsidRPr="00BF210F">
              <w:rPr>
                <w:rFonts w:cs="Arial"/>
                <w:sz w:val="20"/>
                <w:szCs w:val="20"/>
              </w:rPr>
              <w:t>58.6</w:t>
            </w:r>
          </w:p>
        </w:tc>
        <w:tc>
          <w:tcPr>
            <w:tcW w:w="1446" w:type="dxa"/>
          </w:tcPr>
          <w:p w14:paraId="0D10EDB4" w14:textId="77777777" w:rsidR="00C64564" w:rsidRPr="00BF210F" w:rsidRDefault="00C64564" w:rsidP="00D66A20">
            <w:pPr>
              <w:jc w:val="center"/>
              <w:rPr>
                <w:rFonts w:cs="Arial"/>
                <w:sz w:val="20"/>
                <w:szCs w:val="20"/>
              </w:rPr>
            </w:pPr>
            <w:r w:rsidRPr="00BF210F">
              <w:rPr>
                <w:rFonts w:cs="Arial"/>
                <w:sz w:val="20"/>
                <w:szCs w:val="20"/>
              </w:rPr>
              <w:t>0.013</w:t>
            </w:r>
          </w:p>
        </w:tc>
      </w:tr>
    </w:tbl>
    <w:p w14:paraId="6FE70CE1" w14:textId="5433ED5C" w:rsidR="00A324DC" w:rsidRPr="00BF210F" w:rsidRDefault="00ED1505" w:rsidP="00D66A20">
      <w:pPr>
        <w:rPr>
          <w:rFonts w:cs="Arial"/>
          <w:sz w:val="16"/>
          <w:lang w:val="en-US"/>
        </w:rPr>
      </w:pPr>
      <w:r w:rsidRPr="00BF210F">
        <w:rPr>
          <w:rFonts w:cs="Arial"/>
          <w:sz w:val="16"/>
          <w:lang w:val="en-US"/>
        </w:rPr>
        <w:t>CI: confidence interval; OR: odds ratio.</w:t>
      </w:r>
    </w:p>
    <w:p w14:paraId="0DE604E2" w14:textId="77777777" w:rsidR="00A324DC" w:rsidRPr="00BF210F" w:rsidRDefault="00A324DC" w:rsidP="00D66A20">
      <w:pPr>
        <w:rPr>
          <w:rFonts w:cs="Arial"/>
          <w:lang w:val="en-US"/>
        </w:rPr>
      </w:pPr>
      <w:r w:rsidRPr="00BF210F">
        <w:rPr>
          <w:rFonts w:cs="Arial"/>
          <w:lang w:val="en-US"/>
        </w:rPr>
        <w:br w:type="page"/>
      </w:r>
    </w:p>
    <w:p w14:paraId="4C56105E" w14:textId="25417A73" w:rsidR="00A324DC" w:rsidRPr="00BF210F" w:rsidRDefault="00BF210F" w:rsidP="00D66A20">
      <w:pPr>
        <w:rPr>
          <w:rFonts w:cs="Arial"/>
          <w:b/>
          <w:sz w:val="24"/>
          <w:lang w:val="en-US"/>
        </w:rPr>
      </w:pPr>
      <w:r>
        <w:rPr>
          <w:rFonts w:cs="Arial"/>
          <w:b/>
          <w:sz w:val="24"/>
          <w:szCs w:val="24"/>
          <w:lang w:val="en-US"/>
        </w:rPr>
        <w:lastRenderedPageBreak/>
        <w:t xml:space="preserve">Supplementary </w:t>
      </w:r>
      <w:r w:rsidR="00A324DC" w:rsidRPr="00BF210F">
        <w:rPr>
          <w:rFonts w:cs="Arial"/>
          <w:b/>
          <w:sz w:val="24"/>
          <w:lang w:val="en-US"/>
        </w:rPr>
        <w:t xml:space="preserve">Figure </w:t>
      </w:r>
      <w:r w:rsidR="006413F8" w:rsidRPr="00BF210F">
        <w:rPr>
          <w:rFonts w:cs="Arial"/>
          <w:b/>
          <w:sz w:val="24"/>
          <w:lang w:val="en-US"/>
        </w:rPr>
        <w:t>1</w:t>
      </w:r>
      <w:r w:rsidR="00C12385" w:rsidRPr="00BF210F">
        <w:rPr>
          <w:rFonts w:cs="Arial"/>
          <w:b/>
          <w:sz w:val="24"/>
          <w:lang w:val="en-US"/>
        </w:rPr>
        <w:t>6</w:t>
      </w:r>
      <w:r w:rsidR="00636756" w:rsidRPr="00BF210F">
        <w:rPr>
          <w:rFonts w:cs="Arial"/>
          <w:b/>
          <w:sz w:val="24"/>
          <w:lang w:val="en-US"/>
        </w:rPr>
        <w:t xml:space="preserve"> –</w:t>
      </w:r>
      <w:r w:rsidR="00A324DC" w:rsidRPr="00BF210F">
        <w:rPr>
          <w:rFonts w:cs="Arial"/>
          <w:b/>
          <w:sz w:val="24"/>
          <w:lang w:val="en-US"/>
        </w:rPr>
        <w:t xml:space="preserve"> </w:t>
      </w:r>
      <w:r w:rsidR="00C12385" w:rsidRPr="00BF210F">
        <w:rPr>
          <w:rFonts w:cs="Arial"/>
          <w:b/>
          <w:sz w:val="24"/>
          <w:lang w:val="en-US"/>
        </w:rPr>
        <w:t xml:space="preserve">Meta-analysis of the odds of presenting with </w:t>
      </w:r>
      <w:r w:rsidR="00A324DC" w:rsidRPr="00BF210F">
        <w:rPr>
          <w:rFonts w:cs="Arial"/>
          <w:b/>
          <w:sz w:val="24"/>
          <w:lang w:val="en-US"/>
        </w:rPr>
        <w:t xml:space="preserve">Luminal A-like subtype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A324DC" w:rsidRPr="00BF210F">
        <w:rPr>
          <w:rFonts w:cs="Arial"/>
          <w:b/>
          <w:sz w:val="24"/>
          <w:lang w:val="en-US"/>
        </w:rPr>
        <w:t>.</w:t>
      </w:r>
    </w:p>
    <w:p w14:paraId="1CBEBDD1" w14:textId="77777777" w:rsidR="001D4C0D" w:rsidRPr="00BF210F" w:rsidRDefault="00896EA9" w:rsidP="00D66A20">
      <w:pPr>
        <w:rPr>
          <w:rFonts w:cs="Arial"/>
          <w:lang w:val="en-US"/>
        </w:rPr>
      </w:pPr>
      <w:r w:rsidRPr="00BF210F">
        <w:rPr>
          <w:rFonts w:cs="Arial"/>
          <w:noProof/>
          <w:lang w:val="pt-PT" w:eastAsia="pt-PT"/>
        </w:rPr>
        <mc:AlternateContent>
          <mc:Choice Requires="wps">
            <w:drawing>
              <wp:anchor distT="0" distB="0" distL="114300" distR="114300" simplePos="0" relativeHeight="251667456" behindDoc="0" locked="0" layoutInCell="1" allowOverlap="1" wp14:anchorId="2C6F317E" wp14:editId="40CA66BF">
                <wp:simplePos x="0" y="0"/>
                <wp:positionH relativeFrom="column">
                  <wp:posOffset>2068195</wp:posOffset>
                </wp:positionH>
                <wp:positionV relativeFrom="paragraph">
                  <wp:posOffset>3725707</wp:posOffset>
                </wp:positionV>
                <wp:extent cx="889000" cy="222250"/>
                <wp:effectExtent l="0" t="0" r="0" b="0"/>
                <wp:wrapNone/>
                <wp:docPr id="33" name="Rectangle 33"/>
                <wp:cNvGraphicFramePr/>
                <a:graphic xmlns:a="http://schemas.openxmlformats.org/drawingml/2006/main">
                  <a:graphicData uri="http://schemas.microsoft.com/office/word/2010/wordprocessingShape">
                    <wps:wsp>
                      <wps:cNvSpPr/>
                      <wps:spPr>
                        <a:xfrm>
                          <a:off x="0" y="0"/>
                          <a:ext cx="889000" cy="2222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11B283EE" w14:textId="5E60B880" w:rsidR="00363D1D" w:rsidRPr="00896EA9" w:rsidRDefault="00363D1D" w:rsidP="00896EA9">
                            <w:pPr>
                              <w:jc w:val="center"/>
                              <w:rPr>
                                <w:sz w:val="16"/>
                                <w:szCs w:val="16"/>
                                <w:lang w:val="en-US"/>
                              </w:rPr>
                            </w:pPr>
                            <w:r>
                              <w:rPr>
                                <w:sz w:val="16"/>
                                <w:szCs w:val="16"/>
                                <w:lang w:val="en-US"/>
                              </w:rPr>
                              <w:t>OR (95% 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6F317E" id="Rectangle 33" o:spid="_x0000_s1030" style="position:absolute;margin-left:162.85pt;margin-top:293.35pt;width:70pt;height: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" filled="f" stroked="f" strokeweight="2pt">
                <v:textbox>
                  <w:txbxContent>
                    <w:p w14:paraId="11B283EE" w14:textId="5E60B880" w:rsidR="00363D1D" w:rsidRPr="00896EA9" w:rsidRDefault="00363D1D" w:rsidP="00896EA9">
                      <w:pPr>
                        <w:jc w:val="center"/>
                        <w:rPr>
                          <w:sz w:val="16"/>
                          <w:szCs w:val="16"/>
                          <w:lang w:val="en-US"/>
                        </w:rPr>
                      </w:pPr>
                      <w:r>
                        <w:rPr>
                          <w:sz w:val="16"/>
                          <w:szCs w:val="16"/>
                          <w:lang w:val="en-US"/>
                        </w:rPr>
                        <w:t>OR (95% CI)</w:t>
                      </w:r>
                    </w:p>
                  </w:txbxContent>
                </v:textbox>
              </v:rect>
            </w:pict>
          </mc:Fallback>
        </mc:AlternateContent>
      </w:r>
      <w:r w:rsidR="001D4C0D" w:rsidRPr="00BF210F">
        <w:rPr>
          <w:rFonts w:cs="Arial"/>
          <w:noProof/>
          <w:lang w:val="pt-PT" w:eastAsia="pt-PT"/>
        </w:rPr>
        <w:drawing>
          <wp:inline distT="0" distB="0" distL="0" distR="0" wp14:anchorId="2FD47B2A" wp14:editId="0585C291">
            <wp:extent cx="6120130" cy="3997542"/>
            <wp:effectExtent l="0" t="0" r="0" b="3175"/>
            <wp:docPr id="2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3997542"/>
                    </a:xfrm>
                    <a:prstGeom prst="rect">
                      <a:avLst/>
                    </a:prstGeom>
                    <a:noFill/>
                    <a:ln>
                      <a:noFill/>
                    </a:ln>
                  </pic:spPr>
                </pic:pic>
              </a:graphicData>
            </a:graphic>
          </wp:inline>
        </w:drawing>
      </w:r>
    </w:p>
    <w:p w14:paraId="5C84C255" w14:textId="460EB523" w:rsidR="00636756" w:rsidRPr="00BF210F" w:rsidRDefault="00636756" w:rsidP="00D66A20">
      <w:pPr>
        <w:rPr>
          <w:rFonts w:cs="Arial"/>
          <w:sz w:val="16"/>
          <w:lang w:val="en-US"/>
        </w:rPr>
      </w:pPr>
      <w:r w:rsidRPr="00BF210F">
        <w:rPr>
          <w:rFonts w:cs="Arial"/>
          <w:sz w:val="16"/>
          <w:lang w:val="en-US"/>
        </w:rPr>
        <w:t>Random effect: p=0.059</w:t>
      </w:r>
      <w:r w:rsidR="0035681D" w:rsidRPr="00BF210F">
        <w:rPr>
          <w:rFonts w:cs="Arial"/>
          <w:sz w:val="16"/>
          <w:lang w:val="en-US"/>
        </w:rPr>
        <w:t xml:space="preserve">. </w:t>
      </w:r>
      <w:r w:rsidR="0035681D" w:rsidRPr="00BF210F">
        <w:rPr>
          <w:rFonts w:cs="Arial"/>
          <w:sz w:val="16"/>
          <w:szCs w:val="16"/>
          <w:lang w:val="en-US"/>
        </w:rPr>
        <w:t>CI=confidence interval; OR=odds ratio.</w:t>
      </w:r>
    </w:p>
    <w:p w14:paraId="6C2014B0" w14:textId="77777777" w:rsidR="00636756" w:rsidRPr="00BF210F" w:rsidRDefault="00636756" w:rsidP="00D66A20">
      <w:pPr>
        <w:rPr>
          <w:rFonts w:cs="Arial"/>
          <w:sz w:val="20"/>
          <w:lang w:val="en-US"/>
        </w:rPr>
      </w:pPr>
    </w:p>
    <w:p w14:paraId="25C68DAA" w14:textId="77777777" w:rsidR="00D66A20" w:rsidRPr="00BF210F" w:rsidRDefault="00D66A20" w:rsidP="00D66A20">
      <w:pPr>
        <w:rPr>
          <w:rFonts w:cs="Arial"/>
          <w:sz w:val="20"/>
          <w:lang w:val="en-US"/>
        </w:rPr>
      </w:pPr>
    </w:p>
    <w:p w14:paraId="4D35719F" w14:textId="04472827" w:rsidR="001D4C0D" w:rsidRPr="00BF210F" w:rsidRDefault="00BF210F" w:rsidP="00D66A20">
      <w:pPr>
        <w:rPr>
          <w:rFonts w:cs="Arial"/>
          <w:b/>
          <w:sz w:val="24"/>
          <w:lang w:val="en-US"/>
        </w:rPr>
      </w:pPr>
      <w:r>
        <w:rPr>
          <w:rFonts w:cs="Arial"/>
          <w:b/>
          <w:sz w:val="24"/>
          <w:szCs w:val="24"/>
          <w:lang w:val="en-US"/>
        </w:rPr>
        <w:t xml:space="preserve">Supplementary </w:t>
      </w:r>
      <w:r w:rsidR="00C12385" w:rsidRPr="00BF210F">
        <w:rPr>
          <w:rFonts w:cs="Arial"/>
          <w:b/>
          <w:sz w:val="24"/>
          <w:lang w:val="en-US"/>
        </w:rPr>
        <w:t>Ta</w:t>
      </w:r>
      <w:r w:rsidR="005432BA" w:rsidRPr="00BF210F">
        <w:rPr>
          <w:rFonts w:cs="Arial"/>
          <w:b/>
          <w:sz w:val="24"/>
          <w:lang w:val="en-US"/>
        </w:rPr>
        <w:t>ble 12</w:t>
      </w:r>
      <w:r w:rsidR="001D4C0D" w:rsidRPr="00BF210F">
        <w:rPr>
          <w:rFonts w:cs="Arial"/>
          <w:sz w:val="24"/>
          <w:lang w:val="en-US"/>
        </w:rPr>
        <w:t xml:space="preserve"> </w:t>
      </w:r>
      <w:r w:rsidR="001D4C0D" w:rsidRPr="00BF210F">
        <w:rPr>
          <w:rFonts w:cs="Arial"/>
          <w:b/>
          <w:sz w:val="24"/>
          <w:lang w:val="en-US"/>
        </w:rPr>
        <w:t xml:space="preserve">– </w:t>
      </w:r>
      <w:r w:rsidR="00C12385" w:rsidRPr="00BF210F">
        <w:rPr>
          <w:rFonts w:cs="Arial"/>
          <w:b/>
          <w:sz w:val="24"/>
          <w:lang w:val="en-US"/>
        </w:rPr>
        <w:t xml:space="preserve">Sensitivity analysis of the odds of presenting with </w:t>
      </w:r>
      <w:r w:rsidR="001D4C0D" w:rsidRPr="00BF210F">
        <w:rPr>
          <w:rFonts w:cs="Arial"/>
          <w:b/>
          <w:sz w:val="24"/>
          <w:lang w:val="en-US"/>
        </w:rPr>
        <w:t xml:space="preserve">Luminal A-like subtype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1D4C0D" w:rsidRPr="00BF210F">
        <w:rPr>
          <w:rFonts w:cs="Arial"/>
          <w:b/>
          <w:sz w:val="24"/>
          <w:lang w:val="en-US"/>
        </w:rPr>
        <w:t>.</w:t>
      </w:r>
    </w:p>
    <w:p w14:paraId="1654C9D0" w14:textId="77777777" w:rsidR="001D4C0D" w:rsidRPr="00BF210F" w:rsidRDefault="001D4C0D" w:rsidP="00D66A20">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1D4C0D" w:rsidRPr="00BF210F" w14:paraId="1A98DB96" w14:textId="77777777" w:rsidTr="00D65742">
        <w:tc>
          <w:tcPr>
            <w:tcW w:w="2098" w:type="dxa"/>
            <w:vMerge w:val="restart"/>
          </w:tcPr>
          <w:p w14:paraId="4DCEFD5D" w14:textId="77777777" w:rsidR="001D4C0D" w:rsidRPr="00BF210F" w:rsidRDefault="001D4C0D" w:rsidP="00D66A20">
            <w:pPr>
              <w:jc w:val="center"/>
              <w:rPr>
                <w:rFonts w:cs="Arial"/>
                <w:b/>
                <w:sz w:val="20"/>
                <w:szCs w:val="20"/>
              </w:rPr>
            </w:pPr>
            <w:r w:rsidRPr="00BF210F">
              <w:rPr>
                <w:rFonts w:cs="Arial"/>
                <w:b/>
                <w:sz w:val="20"/>
                <w:szCs w:val="20"/>
              </w:rPr>
              <w:t>Study excluded</w:t>
            </w:r>
          </w:p>
        </w:tc>
        <w:tc>
          <w:tcPr>
            <w:tcW w:w="4086" w:type="dxa"/>
            <w:gridSpan w:val="3"/>
          </w:tcPr>
          <w:p w14:paraId="18DAB998" w14:textId="77777777" w:rsidR="001D4C0D" w:rsidRPr="00BF210F" w:rsidRDefault="001D4C0D" w:rsidP="00D66A20">
            <w:pPr>
              <w:jc w:val="center"/>
              <w:rPr>
                <w:rFonts w:cs="Arial"/>
                <w:b/>
                <w:sz w:val="20"/>
                <w:szCs w:val="20"/>
              </w:rPr>
            </w:pPr>
            <w:r w:rsidRPr="00BF210F">
              <w:rPr>
                <w:rFonts w:cs="Arial"/>
                <w:b/>
                <w:sz w:val="20"/>
                <w:szCs w:val="20"/>
              </w:rPr>
              <w:t>Random effect</w:t>
            </w:r>
          </w:p>
        </w:tc>
        <w:tc>
          <w:tcPr>
            <w:tcW w:w="1539" w:type="dxa"/>
            <w:vMerge w:val="restart"/>
          </w:tcPr>
          <w:p w14:paraId="1A0EC9C6" w14:textId="25CC7F6F" w:rsidR="001D4C0D" w:rsidRPr="00BF210F" w:rsidRDefault="00C316F4"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w:t>
            </w:r>
            <w:r w:rsidR="001D4C0D" w:rsidRPr="00BF210F">
              <w:rPr>
                <w:rFonts w:cs="Arial"/>
                <w:b/>
                <w:sz w:val="20"/>
                <w:szCs w:val="20"/>
              </w:rPr>
              <w:t>(%)</w:t>
            </w:r>
          </w:p>
        </w:tc>
        <w:tc>
          <w:tcPr>
            <w:tcW w:w="1446" w:type="dxa"/>
            <w:vMerge w:val="restart"/>
          </w:tcPr>
          <w:p w14:paraId="445F6455" w14:textId="6EC16C2A" w:rsidR="001D4C0D" w:rsidRPr="00BF210F" w:rsidRDefault="00C316F4"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 xml:space="preserve">2 </w:t>
            </w:r>
            <w:r w:rsidR="001D4C0D" w:rsidRPr="00BF210F">
              <w:rPr>
                <w:rFonts w:cs="Arial"/>
                <w:b/>
                <w:sz w:val="20"/>
                <w:szCs w:val="20"/>
              </w:rPr>
              <w:t>P-value</w:t>
            </w:r>
          </w:p>
        </w:tc>
      </w:tr>
      <w:tr w:rsidR="001D4C0D" w:rsidRPr="00BF210F" w14:paraId="592C9B67" w14:textId="77777777" w:rsidTr="00364997">
        <w:tc>
          <w:tcPr>
            <w:tcW w:w="2098" w:type="dxa"/>
            <w:vMerge/>
          </w:tcPr>
          <w:p w14:paraId="752CC0A3" w14:textId="77777777" w:rsidR="001D4C0D" w:rsidRPr="00BF210F" w:rsidRDefault="001D4C0D" w:rsidP="00D66A20">
            <w:pPr>
              <w:jc w:val="center"/>
              <w:rPr>
                <w:rFonts w:cs="Arial"/>
                <w:b/>
                <w:sz w:val="20"/>
                <w:szCs w:val="20"/>
              </w:rPr>
            </w:pPr>
          </w:p>
        </w:tc>
        <w:tc>
          <w:tcPr>
            <w:tcW w:w="1362" w:type="dxa"/>
          </w:tcPr>
          <w:p w14:paraId="50E7216E" w14:textId="5B46E389" w:rsidR="001D4C0D" w:rsidRPr="00BF210F" w:rsidRDefault="00ED1505" w:rsidP="00D66A20">
            <w:pPr>
              <w:jc w:val="center"/>
              <w:rPr>
                <w:rFonts w:cs="Arial"/>
                <w:b/>
                <w:sz w:val="20"/>
                <w:szCs w:val="20"/>
              </w:rPr>
            </w:pPr>
            <w:r w:rsidRPr="00BF210F">
              <w:rPr>
                <w:rFonts w:cs="Arial"/>
                <w:b/>
                <w:sz w:val="20"/>
                <w:szCs w:val="20"/>
              </w:rPr>
              <w:t xml:space="preserve">Pooled </w:t>
            </w:r>
            <w:r w:rsidR="001D4C0D" w:rsidRPr="00BF210F">
              <w:rPr>
                <w:rFonts w:cs="Arial"/>
                <w:b/>
                <w:sz w:val="20"/>
                <w:szCs w:val="20"/>
              </w:rPr>
              <w:t>OR</w:t>
            </w:r>
          </w:p>
        </w:tc>
        <w:tc>
          <w:tcPr>
            <w:tcW w:w="1362" w:type="dxa"/>
          </w:tcPr>
          <w:p w14:paraId="4DFA484F" w14:textId="77777777" w:rsidR="001D4C0D" w:rsidRPr="00BF210F" w:rsidRDefault="001D4C0D" w:rsidP="00D66A20">
            <w:pPr>
              <w:jc w:val="center"/>
              <w:rPr>
                <w:rFonts w:cs="Arial"/>
                <w:b/>
                <w:sz w:val="20"/>
                <w:szCs w:val="20"/>
              </w:rPr>
            </w:pPr>
            <w:r w:rsidRPr="00BF210F">
              <w:rPr>
                <w:rFonts w:cs="Arial"/>
                <w:b/>
                <w:sz w:val="20"/>
                <w:szCs w:val="20"/>
              </w:rPr>
              <w:t>95% CI</w:t>
            </w:r>
          </w:p>
        </w:tc>
        <w:tc>
          <w:tcPr>
            <w:tcW w:w="1362" w:type="dxa"/>
          </w:tcPr>
          <w:p w14:paraId="15B4E641" w14:textId="77777777" w:rsidR="001D4C0D" w:rsidRPr="00BF210F" w:rsidRDefault="001D4C0D" w:rsidP="00D66A20">
            <w:pPr>
              <w:jc w:val="center"/>
              <w:rPr>
                <w:rFonts w:cs="Arial"/>
                <w:b/>
                <w:sz w:val="20"/>
                <w:szCs w:val="20"/>
              </w:rPr>
            </w:pPr>
            <w:r w:rsidRPr="00BF210F">
              <w:rPr>
                <w:rFonts w:cs="Arial"/>
                <w:b/>
                <w:sz w:val="20"/>
                <w:szCs w:val="20"/>
              </w:rPr>
              <w:t>P-value</w:t>
            </w:r>
          </w:p>
        </w:tc>
        <w:tc>
          <w:tcPr>
            <w:tcW w:w="1539" w:type="dxa"/>
            <w:vMerge/>
          </w:tcPr>
          <w:p w14:paraId="57F20023" w14:textId="77777777" w:rsidR="001D4C0D" w:rsidRPr="00BF210F" w:rsidRDefault="001D4C0D" w:rsidP="00D66A20">
            <w:pPr>
              <w:jc w:val="center"/>
              <w:rPr>
                <w:rFonts w:cs="Arial"/>
                <w:b/>
                <w:sz w:val="20"/>
                <w:szCs w:val="20"/>
              </w:rPr>
            </w:pPr>
          </w:p>
        </w:tc>
        <w:tc>
          <w:tcPr>
            <w:tcW w:w="1446" w:type="dxa"/>
            <w:vMerge/>
          </w:tcPr>
          <w:p w14:paraId="79FC2537" w14:textId="77777777" w:rsidR="001D4C0D" w:rsidRPr="00BF210F" w:rsidRDefault="001D4C0D" w:rsidP="00D66A20">
            <w:pPr>
              <w:jc w:val="center"/>
              <w:rPr>
                <w:rFonts w:cs="Arial"/>
                <w:b/>
                <w:sz w:val="20"/>
                <w:szCs w:val="20"/>
              </w:rPr>
            </w:pPr>
          </w:p>
        </w:tc>
      </w:tr>
      <w:tr w:rsidR="001D4C0D" w:rsidRPr="00BF210F" w14:paraId="26175997" w14:textId="77777777" w:rsidTr="00364997">
        <w:tc>
          <w:tcPr>
            <w:tcW w:w="2098" w:type="dxa"/>
          </w:tcPr>
          <w:p w14:paraId="1F5291F7" w14:textId="77777777" w:rsidR="001D4C0D" w:rsidRPr="00BF210F" w:rsidRDefault="001D4C0D" w:rsidP="00D66A20">
            <w:pPr>
              <w:jc w:val="center"/>
              <w:rPr>
                <w:rFonts w:cs="Arial"/>
                <w:sz w:val="20"/>
                <w:szCs w:val="20"/>
              </w:rPr>
            </w:pPr>
            <w:r w:rsidRPr="00BF210F">
              <w:rPr>
                <w:rFonts w:cs="Arial"/>
                <w:sz w:val="20"/>
                <w:szCs w:val="20"/>
              </w:rPr>
              <w:t>Presti 2017</w:t>
            </w:r>
          </w:p>
        </w:tc>
        <w:tc>
          <w:tcPr>
            <w:tcW w:w="1362" w:type="dxa"/>
          </w:tcPr>
          <w:p w14:paraId="3DB67883" w14:textId="77777777" w:rsidR="001D4C0D" w:rsidRPr="00BF210F" w:rsidRDefault="001D4C0D" w:rsidP="00D66A20">
            <w:pPr>
              <w:jc w:val="center"/>
              <w:rPr>
                <w:rFonts w:cs="Arial"/>
                <w:sz w:val="20"/>
                <w:szCs w:val="20"/>
              </w:rPr>
            </w:pPr>
            <w:r w:rsidRPr="00BF210F">
              <w:rPr>
                <w:rFonts w:cs="Arial"/>
                <w:sz w:val="20"/>
                <w:szCs w:val="20"/>
              </w:rPr>
              <w:t>0.76</w:t>
            </w:r>
          </w:p>
        </w:tc>
        <w:tc>
          <w:tcPr>
            <w:tcW w:w="1362" w:type="dxa"/>
          </w:tcPr>
          <w:p w14:paraId="1C3A13E2" w14:textId="77777777" w:rsidR="001D4C0D" w:rsidRPr="00BF210F" w:rsidRDefault="001D4C0D" w:rsidP="00D66A20">
            <w:pPr>
              <w:jc w:val="center"/>
              <w:rPr>
                <w:rFonts w:cs="Arial"/>
                <w:sz w:val="20"/>
                <w:szCs w:val="20"/>
              </w:rPr>
            </w:pPr>
            <w:r w:rsidRPr="00BF210F">
              <w:rPr>
                <w:rFonts w:cs="Arial"/>
                <w:sz w:val="20"/>
                <w:szCs w:val="20"/>
              </w:rPr>
              <w:t>0.50-1.15</w:t>
            </w:r>
          </w:p>
        </w:tc>
        <w:tc>
          <w:tcPr>
            <w:tcW w:w="1362" w:type="dxa"/>
          </w:tcPr>
          <w:p w14:paraId="7B1973DB" w14:textId="77777777" w:rsidR="001D4C0D" w:rsidRPr="00BF210F" w:rsidRDefault="001D4C0D" w:rsidP="00D66A20">
            <w:pPr>
              <w:jc w:val="center"/>
              <w:rPr>
                <w:rFonts w:cs="Arial"/>
                <w:sz w:val="20"/>
                <w:szCs w:val="20"/>
              </w:rPr>
            </w:pPr>
            <w:r w:rsidRPr="00BF210F">
              <w:rPr>
                <w:rFonts w:cs="Arial"/>
                <w:sz w:val="20"/>
                <w:szCs w:val="20"/>
              </w:rPr>
              <w:t>0.193</w:t>
            </w:r>
          </w:p>
        </w:tc>
        <w:tc>
          <w:tcPr>
            <w:tcW w:w="1539" w:type="dxa"/>
          </w:tcPr>
          <w:p w14:paraId="1A7E7F96" w14:textId="77777777" w:rsidR="001D4C0D" w:rsidRPr="00BF210F" w:rsidRDefault="001D4C0D" w:rsidP="00D66A20">
            <w:pPr>
              <w:jc w:val="center"/>
              <w:rPr>
                <w:rFonts w:cs="Arial"/>
                <w:sz w:val="20"/>
                <w:szCs w:val="20"/>
              </w:rPr>
            </w:pPr>
            <w:r w:rsidRPr="00BF210F">
              <w:rPr>
                <w:rFonts w:cs="Arial"/>
                <w:sz w:val="20"/>
                <w:szCs w:val="20"/>
              </w:rPr>
              <w:t>0.0</w:t>
            </w:r>
          </w:p>
        </w:tc>
        <w:tc>
          <w:tcPr>
            <w:tcW w:w="1446" w:type="dxa"/>
          </w:tcPr>
          <w:p w14:paraId="01F16E0B" w14:textId="77777777" w:rsidR="001D4C0D" w:rsidRPr="00BF210F" w:rsidRDefault="001D4C0D" w:rsidP="00D66A20">
            <w:pPr>
              <w:jc w:val="center"/>
              <w:rPr>
                <w:rFonts w:cs="Arial"/>
                <w:sz w:val="20"/>
                <w:szCs w:val="20"/>
              </w:rPr>
            </w:pPr>
            <w:r w:rsidRPr="00BF210F">
              <w:rPr>
                <w:rFonts w:cs="Arial"/>
                <w:sz w:val="20"/>
                <w:szCs w:val="20"/>
              </w:rPr>
              <w:t>0.403</w:t>
            </w:r>
          </w:p>
        </w:tc>
      </w:tr>
      <w:tr w:rsidR="001D4C0D" w:rsidRPr="00BF210F" w14:paraId="30C6763B" w14:textId="77777777" w:rsidTr="00364997">
        <w:tc>
          <w:tcPr>
            <w:tcW w:w="2098" w:type="dxa"/>
          </w:tcPr>
          <w:p w14:paraId="68D4B52C" w14:textId="77777777" w:rsidR="001D4C0D" w:rsidRPr="00BF210F" w:rsidRDefault="001D4C0D" w:rsidP="00D66A20">
            <w:pPr>
              <w:jc w:val="center"/>
              <w:rPr>
                <w:rFonts w:cs="Arial"/>
                <w:sz w:val="20"/>
                <w:szCs w:val="20"/>
              </w:rPr>
            </w:pPr>
            <w:r w:rsidRPr="00BF210F">
              <w:rPr>
                <w:rFonts w:cs="Arial"/>
                <w:sz w:val="20"/>
                <w:szCs w:val="20"/>
              </w:rPr>
              <w:t>Van Zyl 2018</w:t>
            </w:r>
          </w:p>
        </w:tc>
        <w:tc>
          <w:tcPr>
            <w:tcW w:w="1362" w:type="dxa"/>
          </w:tcPr>
          <w:p w14:paraId="4337361F" w14:textId="77777777" w:rsidR="001D4C0D" w:rsidRPr="00BF210F" w:rsidRDefault="001D4C0D" w:rsidP="00D66A20">
            <w:pPr>
              <w:jc w:val="center"/>
              <w:rPr>
                <w:rFonts w:cs="Arial"/>
                <w:sz w:val="20"/>
                <w:szCs w:val="20"/>
              </w:rPr>
            </w:pPr>
            <w:r w:rsidRPr="00BF210F">
              <w:rPr>
                <w:rFonts w:cs="Arial"/>
                <w:sz w:val="20"/>
                <w:szCs w:val="20"/>
              </w:rPr>
              <w:t>0.68</w:t>
            </w:r>
          </w:p>
        </w:tc>
        <w:tc>
          <w:tcPr>
            <w:tcW w:w="1362" w:type="dxa"/>
          </w:tcPr>
          <w:p w14:paraId="382414A2" w14:textId="77777777" w:rsidR="001D4C0D" w:rsidRPr="00BF210F" w:rsidRDefault="001D4C0D" w:rsidP="00D66A20">
            <w:pPr>
              <w:jc w:val="center"/>
              <w:rPr>
                <w:rFonts w:cs="Arial"/>
                <w:sz w:val="20"/>
                <w:szCs w:val="20"/>
              </w:rPr>
            </w:pPr>
            <w:r w:rsidRPr="00BF210F">
              <w:rPr>
                <w:rFonts w:cs="Arial"/>
                <w:sz w:val="20"/>
                <w:szCs w:val="20"/>
              </w:rPr>
              <w:t>0.38-1.22</w:t>
            </w:r>
          </w:p>
        </w:tc>
        <w:tc>
          <w:tcPr>
            <w:tcW w:w="1362" w:type="dxa"/>
          </w:tcPr>
          <w:p w14:paraId="5B386EBB" w14:textId="77777777" w:rsidR="001D4C0D" w:rsidRPr="00BF210F" w:rsidRDefault="001D4C0D" w:rsidP="00D66A20">
            <w:pPr>
              <w:jc w:val="center"/>
              <w:rPr>
                <w:rFonts w:cs="Arial"/>
                <w:sz w:val="20"/>
                <w:szCs w:val="20"/>
              </w:rPr>
            </w:pPr>
            <w:r w:rsidRPr="00BF210F">
              <w:rPr>
                <w:rFonts w:cs="Arial"/>
                <w:sz w:val="20"/>
                <w:szCs w:val="20"/>
              </w:rPr>
              <w:t>0.200</w:t>
            </w:r>
          </w:p>
        </w:tc>
        <w:tc>
          <w:tcPr>
            <w:tcW w:w="1539" w:type="dxa"/>
          </w:tcPr>
          <w:p w14:paraId="1EFCDAA5" w14:textId="77777777" w:rsidR="001D4C0D" w:rsidRPr="00BF210F" w:rsidRDefault="001D4C0D" w:rsidP="00D66A20">
            <w:pPr>
              <w:jc w:val="center"/>
              <w:rPr>
                <w:rFonts w:cs="Arial"/>
                <w:sz w:val="20"/>
                <w:szCs w:val="20"/>
              </w:rPr>
            </w:pPr>
            <w:r w:rsidRPr="00BF210F">
              <w:rPr>
                <w:rFonts w:cs="Arial"/>
                <w:sz w:val="20"/>
                <w:szCs w:val="20"/>
              </w:rPr>
              <w:t>47.6</w:t>
            </w:r>
          </w:p>
        </w:tc>
        <w:tc>
          <w:tcPr>
            <w:tcW w:w="1446" w:type="dxa"/>
          </w:tcPr>
          <w:p w14:paraId="655CB632" w14:textId="77777777" w:rsidR="001D4C0D" w:rsidRPr="00BF210F" w:rsidRDefault="001D4C0D" w:rsidP="00D66A20">
            <w:pPr>
              <w:jc w:val="center"/>
              <w:rPr>
                <w:rFonts w:cs="Arial"/>
                <w:sz w:val="20"/>
                <w:szCs w:val="20"/>
              </w:rPr>
            </w:pPr>
            <w:r w:rsidRPr="00BF210F">
              <w:rPr>
                <w:rFonts w:cs="Arial"/>
                <w:sz w:val="20"/>
                <w:szCs w:val="20"/>
              </w:rPr>
              <w:t>0.148</w:t>
            </w:r>
          </w:p>
        </w:tc>
      </w:tr>
      <w:tr w:rsidR="001D4C0D" w:rsidRPr="00BF210F" w14:paraId="428B1F69" w14:textId="77777777" w:rsidTr="00364997">
        <w:tc>
          <w:tcPr>
            <w:tcW w:w="2098" w:type="dxa"/>
          </w:tcPr>
          <w:p w14:paraId="48B275A6" w14:textId="77777777" w:rsidR="001D4C0D" w:rsidRPr="00BF210F" w:rsidRDefault="001D4C0D" w:rsidP="00D66A20">
            <w:pPr>
              <w:jc w:val="center"/>
              <w:rPr>
                <w:rFonts w:cs="Arial"/>
                <w:sz w:val="20"/>
                <w:szCs w:val="20"/>
              </w:rPr>
            </w:pPr>
            <w:r w:rsidRPr="00BF210F">
              <w:rPr>
                <w:rFonts w:cs="Arial"/>
                <w:sz w:val="20"/>
                <w:szCs w:val="20"/>
              </w:rPr>
              <w:t>Brandao 2019</w:t>
            </w:r>
          </w:p>
        </w:tc>
        <w:tc>
          <w:tcPr>
            <w:tcW w:w="1362" w:type="dxa"/>
          </w:tcPr>
          <w:p w14:paraId="01582E56" w14:textId="77777777" w:rsidR="001D4C0D" w:rsidRPr="00BF210F" w:rsidRDefault="001D4C0D" w:rsidP="00D66A20">
            <w:pPr>
              <w:jc w:val="center"/>
              <w:rPr>
                <w:rFonts w:cs="Arial"/>
                <w:sz w:val="20"/>
                <w:szCs w:val="20"/>
              </w:rPr>
            </w:pPr>
            <w:r w:rsidRPr="00BF210F">
              <w:rPr>
                <w:rFonts w:cs="Arial"/>
                <w:sz w:val="20"/>
                <w:szCs w:val="20"/>
              </w:rPr>
              <w:t>0.60</w:t>
            </w:r>
          </w:p>
        </w:tc>
        <w:tc>
          <w:tcPr>
            <w:tcW w:w="1362" w:type="dxa"/>
          </w:tcPr>
          <w:p w14:paraId="2EF6423B" w14:textId="77777777" w:rsidR="001D4C0D" w:rsidRPr="00BF210F" w:rsidRDefault="001D4C0D" w:rsidP="00D66A20">
            <w:pPr>
              <w:jc w:val="center"/>
              <w:rPr>
                <w:rFonts w:cs="Arial"/>
                <w:sz w:val="20"/>
                <w:szCs w:val="20"/>
              </w:rPr>
            </w:pPr>
            <w:r w:rsidRPr="00BF210F">
              <w:rPr>
                <w:rFonts w:cs="Arial"/>
                <w:sz w:val="20"/>
                <w:szCs w:val="20"/>
              </w:rPr>
              <w:t>0.41-0.87</w:t>
            </w:r>
          </w:p>
        </w:tc>
        <w:tc>
          <w:tcPr>
            <w:tcW w:w="1362" w:type="dxa"/>
          </w:tcPr>
          <w:p w14:paraId="385792A0" w14:textId="77777777" w:rsidR="001D4C0D" w:rsidRPr="00BF210F" w:rsidRDefault="001D4C0D" w:rsidP="00D66A20">
            <w:pPr>
              <w:jc w:val="center"/>
              <w:rPr>
                <w:rFonts w:cs="Arial"/>
                <w:sz w:val="20"/>
                <w:szCs w:val="20"/>
              </w:rPr>
            </w:pPr>
            <w:r w:rsidRPr="00BF210F">
              <w:rPr>
                <w:rFonts w:cs="Arial"/>
                <w:sz w:val="20"/>
                <w:szCs w:val="20"/>
              </w:rPr>
              <w:t>0.007</w:t>
            </w:r>
          </w:p>
        </w:tc>
        <w:tc>
          <w:tcPr>
            <w:tcW w:w="1539" w:type="dxa"/>
          </w:tcPr>
          <w:p w14:paraId="12A0C428" w14:textId="77777777" w:rsidR="001D4C0D" w:rsidRPr="00BF210F" w:rsidRDefault="001D4C0D" w:rsidP="00D66A20">
            <w:pPr>
              <w:jc w:val="center"/>
              <w:rPr>
                <w:rFonts w:cs="Arial"/>
                <w:sz w:val="20"/>
                <w:szCs w:val="20"/>
              </w:rPr>
            </w:pPr>
            <w:r w:rsidRPr="00BF210F">
              <w:rPr>
                <w:rFonts w:cs="Arial"/>
                <w:sz w:val="20"/>
                <w:szCs w:val="20"/>
              </w:rPr>
              <w:t>0.0</w:t>
            </w:r>
          </w:p>
        </w:tc>
        <w:tc>
          <w:tcPr>
            <w:tcW w:w="1446" w:type="dxa"/>
          </w:tcPr>
          <w:p w14:paraId="3C91DAFE" w14:textId="77777777" w:rsidR="001D4C0D" w:rsidRPr="00BF210F" w:rsidRDefault="001D4C0D" w:rsidP="00D66A20">
            <w:pPr>
              <w:jc w:val="center"/>
              <w:rPr>
                <w:rFonts w:cs="Arial"/>
                <w:sz w:val="20"/>
                <w:szCs w:val="20"/>
              </w:rPr>
            </w:pPr>
            <w:r w:rsidRPr="00BF210F">
              <w:rPr>
                <w:rFonts w:cs="Arial"/>
                <w:sz w:val="20"/>
                <w:szCs w:val="20"/>
              </w:rPr>
              <w:t>0.422</w:t>
            </w:r>
          </w:p>
        </w:tc>
      </w:tr>
      <w:tr w:rsidR="001D4C0D" w:rsidRPr="00BF210F" w14:paraId="5DD8FEEB" w14:textId="77777777" w:rsidTr="00364997">
        <w:tc>
          <w:tcPr>
            <w:tcW w:w="2098" w:type="dxa"/>
          </w:tcPr>
          <w:p w14:paraId="6E40D084" w14:textId="77777777" w:rsidR="001D4C0D" w:rsidRPr="00BF210F" w:rsidRDefault="001D4C0D" w:rsidP="00D66A20">
            <w:pPr>
              <w:jc w:val="center"/>
              <w:rPr>
                <w:rFonts w:cs="Arial"/>
                <w:sz w:val="20"/>
                <w:szCs w:val="20"/>
              </w:rPr>
            </w:pPr>
            <w:r w:rsidRPr="00BF210F">
              <w:rPr>
                <w:rFonts w:cs="Arial"/>
                <w:sz w:val="20"/>
                <w:szCs w:val="20"/>
              </w:rPr>
              <w:t>Phakathi 2019</w:t>
            </w:r>
          </w:p>
        </w:tc>
        <w:tc>
          <w:tcPr>
            <w:tcW w:w="1362" w:type="dxa"/>
          </w:tcPr>
          <w:p w14:paraId="478C3BD5" w14:textId="77777777" w:rsidR="001D4C0D" w:rsidRPr="00BF210F" w:rsidRDefault="001D4C0D" w:rsidP="00D66A20">
            <w:pPr>
              <w:jc w:val="center"/>
              <w:rPr>
                <w:rFonts w:cs="Arial"/>
                <w:sz w:val="20"/>
                <w:szCs w:val="20"/>
              </w:rPr>
            </w:pPr>
            <w:r w:rsidRPr="00BF210F">
              <w:rPr>
                <w:rFonts w:cs="Arial"/>
                <w:sz w:val="20"/>
                <w:szCs w:val="20"/>
              </w:rPr>
              <w:t>0.63</w:t>
            </w:r>
          </w:p>
        </w:tc>
        <w:tc>
          <w:tcPr>
            <w:tcW w:w="1362" w:type="dxa"/>
          </w:tcPr>
          <w:p w14:paraId="69E03929" w14:textId="77777777" w:rsidR="001D4C0D" w:rsidRPr="00BF210F" w:rsidRDefault="001D4C0D" w:rsidP="00D66A20">
            <w:pPr>
              <w:jc w:val="center"/>
              <w:rPr>
                <w:rFonts w:cs="Arial"/>
                <w:sz w:val="20"/>
                <w:szCs w:val="20"/>
              </w:rPr>
            </w:pPr>
            <w:r w:rsidRPr="00BF210F">
              <w:rPr>
                <w:rFonts w:cs="Arial"/>
                <w:sz w:val="20"/>
                <w:szCs w:val="20"/>
              </w:rPr>
              <w:t>0.29-1.33</w:t>
            </w:r>
          </w:p>
        </w:tc>
        <w:tc>
          <w:tcPr>
            <w:tcW w:w="1362" w:type="dxa"/>
          </w:tcPr>
          <w:p w14:paraId="59FDD17B" w14:textId="77777777" w:rsidR="001D4C0D" w:rsidRPr="00BF210F" w:rsidRDefault="001D4C0D" w:rsidP="00D66A20">
            <w:pPr>
              <w:jc w:val="center"/>
              <w:rPr>
                <w:rFonts w:cs="Arial"/>
                <w:sz w:val="20"/>
                <w:szCs w:val="20"/>
              </w:rPr>
            </w:pPr>
            <w:r w:rsidRPr="00BF210F">
              <w:rPr>
                <w:rFonts w:cs="Arial"/>
                <w:sz w:val="20"/>
                <w:szCs w:val="20"/>
              </w:rPr>
              <w:t>0.226</w:t>
            </w:r>
          </w:p>
        </w:tc>
        <w:tc>
          <w:tcPr>
            <w:tcW w:w="1539" w:type="dxa"/>
          </w:tcPr>
          <w:p w14:paraId="795A31A0" w14:textId="77777777" w:rsidR="001D4C0D" w:rsidRPr="00BF210F" w:rsidRDefault="001D4C0D" w:rsidP="00D66A20">
            <w:pPr>
              <w:jc w:val="center"/>
              <w:rPr>
                <w:rFonts w:cs="Arial"/>
                <w:sz w:val="20"/>
                <w:szCs w:val="20"/>
              </w:rPr>
            </w:pPr>
            <w:r w:rsidRPr="00BF210F">
              <w:rPr>
                <w:rFonts w:cs="Arial"/>
                <w:sz w:val="20"/>
                <w:szCs w:val="20"/>
              </w:rPr>
              <w:t>44.4</w:t>
            </w:r>
          </w:p>
        </w:tc>
        <w:tc>
          <w:tcPr>
            <w:tcW w:w="1446" w:type="dxa"/>
          </w:tcPr>
          <w:p w14:paraId="142EAE14" w14:textId="77777777" w:rsidR="001D4C0D" w:rsidRPr="00BF210F" w:rsidRDefault="001D4C0D" w:rsidP="00D66A20">
            <w:pPr>
              <w:jc w:val="center"/>
              <w:rPr>
                <w:rFonts w:cs="Arial"/>
                <w:sz w:val="20"/>
                <w:szCs w:val="20"/>
              </w:rPr>
            </w:pPr>
            <w:r w:rsidRPr="00BF210F">
              <w:rPr>
                <w:rFonts w:cs="Arial"/>
                <w:sz w:val="20"/>
                <w:szCs w:val="20"/>
              </w:rPr>
              <w:t>0.165</w:t>
            </w:r>
          </w:p>
        </w:tc>
      </w:tr>
    </w:tbl>
    <w:p w14:paraId="30E1A36A" w14:textId="77777777" w:rsidR="00ED1505" w:rsidRPr="00BF210F" w:rsidRDefault="00ED1505" w:rsidP="00ED1505">
      <w:pPr>
        <w:rPr>
          <w:rFonts w:cs="Arial"/>
          <w:sz w:val="16"/>
          <w:lang w:val="en-US"/>
        </w:rPr>
      </w:pPr>
      <w:r w:rsidRPr="00BF210F">
        <w:rPr>
          <w:rFonts w:cs="Arial"/>
          <w:sz w:val="16"/>
          <w:lang w:val="en-US"/>
        </w:rPr>
        <w:t>CI: confidence interval; OR: odds ratio.</w:t>
      </w:r>
    </w:p>
    <w:p w14:paraId="68B86C6A" w14:textId="77777777" w:rsidR="001D4C0D" w:rsidRPr="00BF210F" w:rsidRDefault="001D4C0D" w:rsidP="00D66A20">
      <w:pPr>
        <w:rPr>
          <w:rFonts w:cs="Arial"/>
          <w:lang w:val="en-US"/>
        </w:rPr>
      </w:pPr>
    </w:p>
    <w:p w14:paraId="0623FFB2" w14:textId="77777777" w:rsidR="001D4C0D" w:rsidRPr="00BF210F" w:rsidRDefault="001D4C0D" w:rsidP="00D66A20">
      <w:pPr>
        <w:rPr>
          <w:rFonts w:cs="Arial"/>
          <w:lang w:val="en-US"/>
        </w:rPr>
      </w:pPr>
    </w:p>
    <w:p w14:paraId="2E14F355" w14:textId="77777777" w:rsidR="001D4C0D" w:rsidRPr="00BF210F" w:rsidRDefault="001D4C0D" w:rsidP="00D66A20">
      <w:pPr>
        <w:rPr>
          <w:rFonts w:cs="Arial"/>
          <w:lang w:val="en-US"/>
        </w:rPr>
      </w:pPr>
      <w:r w:rsidRPr="00BF210F">
        <w:rPr>
          <w:rFonts w:cs="Arial"/>
          <w:lang w:val="en-US"/>
        </w:rPr>
        <w:br w:type="page"/>
      </w:r>
    </w:p>
    <w:p w14:paraId="74C7C909" w14:textId="6B55505B" w:rsidR="001D4C0D" w:rsidRPr="00BF210F" w:rsidRDefault="00BF210F" w:rsidP="00D66A20">
      <w:pPr>
        <w:rPr>
          <w:rFonts w:cs="Arial"/>
          <w:b/>
          <w:sz w:val="24"/>
          <w:lang w:val="en-US"/>
        </w:rPr>
      </w:pPr>
      <w:r>
        <w:rPr>
          <w:rFonts w:cs="Arial"/>
          <w:b/>
          <w:sz w:val="24"/>
          <w:szCs w:val="24"/>
          <w:lang w:val="en-US"/>
        </w:rPr>
        <w:lastRenderedPageBreak/>
        <w:t xml:space="preserve">Supplementary </w:t>
      </w:r>
      <w:r w:rsidR="001D4C0D" w:rsidRPr="00BF210F">
        <w:rPr>
          <w:rFonts w:cs="Arial"/>
          <w:b/>
          <w:sz w:val="24"/>
          <w:lang w:val="en-US"/>
        </w:rPr>
        <w:t xml:space="preserve">Figure </w:t>
      </w:r>
      <w:r w:rsidR="00C12385" w:rsidRPr="00BF210F">
        <w:rPr>
          <w:rFonts w:cs="Arial"/>
          <w:b/>
          <w:sz w:val="24"/>
          <w:lang w:val="en-US"/>
        </w:rPr>
        <w:t>17</w:t>
      </w:r>
      <w:r w:rsidR="00636756" w:rsidRPr="00BF210F">
        <w:rPr>
          <w:rFonts w:cs="Arial"/>
          <w:b/>
          <w:sz w:val="24"/>
          <w:lang w:val="en-US"/>
        </w:rPr>
        <w:t xml:space="preserve"> –</w:t>
      </w:r>
      <w:r w:rsidR="001D4C0D" w:rsidRPr="00BF210F">
        <w:rPr>
          <w:rFonts w:cs="Arial"/>
          <w:b/>
          <w:sz w:val="24"/>
          <w:lang w:val="en-US"/>
        </w:rPr>
        <w:t xml:space="preserve"> </w:t>
      </w:r>
      <w:r w:rsidR="00C12385" w:rsidRPr="00BF210F">
        <w:rPr>
          <w:rFonts w:cs="Arial"/>
          <w:b/>
          <w:sz w:val="24"/>
          <w:lang w:val="en-US"/>
        </w:rPr>
        <w:t xml:space="preserve">Meta-analysis of the odds of presenting with </w:t>
      </w:r>
      <w:r w:rsidR="001D4C0D" w:rsidRPr="00BF210F">
        <w:rPr>
          <w:rFonts w:cs="Arial"/>
          <w:b/>
          <w:sz w:val="24"/>
          <w:lang w:val="en-US"/>
        </w:rPr>
        <w:t xml:space="preserve">Luminal </w:t>
      </w:r>
      <w:r w:rsidR="003003EE" w:rsidRPr="00BF210F">
        <w:rPr>
          <w:rFonts w:cs="Arial"/>
          <w:b/>
          <w:sz w:val="24"/>
          <w:lang w:val="en-US"/>
        </w:rPr>
        <w:t>B</w:t>
      </w:r>
      <w:r w:rsidR="001D4C0D" w:rsidRPr="00BF210F">
        <w:rPr>
          <w:rFonts w:cs="Arial"/>
          <w:b/>
          <w:sz w:val="24"/>
          <w:lang w:val="en-US"/>
        </w:rPr>
        <w:t xml:space="preserve">-like subtype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1D4C0D" w:rsidRPr="00BF210F">
        <w:rPr>
          <w:rFonts w:cs="Arial"/>
          <w:b/>
          <w:sz w:val="24"/>
          <w:lang w:val="en-US"/>
        </w:rPr>
        <w:t>.</w:t>
      </w:r>
    </w:p>
    <w:p w14:paraId="2F785136" w14:textId="77777777" w:rsidR="001D4C0D" w:rsidRPr="00BF210F" w:rsidRDefault="00896EA9" w:rsidP="00D66A20">
      <w:pPr>
        <w:rPr>
          <w:rFonts w:cs="Arial"/>
          <w:lang w:val="en-US"/>
        </w:rPr>
      </w:pPr>
      <w:r w:rsidRPr="00BF210F">
        <w:rPr>
          <w:rFonts w:cs="Arial"/>
          <w:noProof/>
          <w:lang w:val="pt-PT" w:eastAsia="pt-PT"/>
        </w:rPr>
        <mc:AlternateContent>
          <mc:Choice Requires="wps">
            <w:drawing>
              <wp:anchor distT="0" distB="0" distL="114300" distR="114300" simplePos="0" relativeHeight="251669504" behindDoc="0" locked="0" layoutInCell="1" allowOverlap="1" wp14:anchorId="7785F303" wp14:editId="68C8BF16">
                <wp:simplePos x="0" y="0"/>
                <wp:positionH relativeFrom="column">
                  <wp:posOffset>1932305</wp:posOffset>
                </wp:positionH>
                <wp:positionV relativeFrom="paragraph">
                  <wp:posOffset>3717763</wp:posOffset>
                </wp:positionV>
                <wp:extent cx="889000" cy="222250"/>
                <wp:effectExtent l="0" t="0" r="0" b="0"/>
                <wp:wrapNone/>
                <wp:docPr id="34" name="Rectangle 34"/>
                <wp:cNvGraphicFramePr/>
                <a:graphic xmlns:a="http://schemas.openxmlformats.org/drawingml/2006/main">
                  <a:graphicData uri="http://schemas.microsoft.com/office/word/2010/wordprocessingShape">
                    <wps:wsp>
                      <wps:cNvSpPr/>
                      <wps:spPr>
                        <a:xfrm>
                          <a:off x="0" y="0"/>
                          <a:ext cx="889000" cy="2222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1941EC67" w14:textId="6088FD74" w:rsidR="00363D1D" w:rsidRPr="00896EA9" w:rsidRDefault="00363D1D" w:rsidP="00896EA9">
                            <w:pPr>
                              <w:jc w:val="center"/>
                              <w:rPr>
                                <w:sz w:val="16"/>
                                <w:szCs w:val="16"/>
                                <w:lang w:val="en-US"/>
                              </w:rPr>
                            </w:pPr>
                            <w:r>
                              <w:rPr>
                                <w:sz w:val="16"/>
                                <w:szCs w:val="16"/>
                                <w:lang w:val="en-US"/>
                              </w:rPr>
                              <w:t>OR (95% 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85F303" id="Rectangle 34" o:spid="_x0000_s1031" style="position:absolute;margin-left:152.15pt;margin-top:292.75pt;width:70pt;height: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" filled="f" stroked="f" strokeweight="2pt">
                <v:textbox>
                  <w:txbxContent>
                    <w:p w14:paraId="1941EC67" w14:textId="6088FD74" w:rsidR="00363D1D" w:rsidRPr="00896EA9" w:rsidRDefault="00363D1D" w:rsidP="00896EA9">
                      <w:pPr>
                        <w:jc w:val="center"/>
                        <w:rPr>
                          <w:sz w:val="16"/>
                          <w:szCs w:val="16"/>
                          <w:lang w:val="en-US"/>
                        </w:rPr>
                      </w:pPr>
                      <w:r>
                        <w:rPr>
                          <w:sz w:val="16"/>
                          <w:szCs w:val="16"/>
                          <w:lang w:val="en-US"/>
                        </w:rPr>
                        <w:t>OR (95% CI)</w:t>
                      </w:r>
                    </w:p>
                  </w:txbxContent>
                </v:textbox>
              </v:rect>
            </w:pict>
          </mc:Fallback>
        </mc:AlternateContent>
      </w:r>
      <w:r w:rsidR="001D4C0D" w:rsidRPr="00BF210F">
        <w:rPr>
          <w:rFonts w:cs="Arial"/>
          <w:noProof/>
          <w:lang w:val="pt-PT" w:eastAsia="pt-PT"/>
        </w:rPr>
        <w:drawing>
          <wp:inline distT="0" distB="0" distL="0" distR="0" wp14:anchorId="785798B7" wp14:editId="538A89A2">
            <wp:extent cx="6120130" cy="4022725"/>
            <wp:effectExtent l="0" t="0" r="0" b="0"/>
            <wp:docPr id="23"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4022725"/>
                    </a:xfrm>
                    <a:prstGeom prst="rect">
                      <a:avLst/>
                    </a:prstGeom>
                    <a:noFill/>
                    <a:ln>
                      <a:noFill/>
                    </a:ln>
                  </pic:spPr>
                </pic:pic>
              </a:graphicData>
            </a:graphic>
          </wp:inline>
        </w:drawing>
      </w:r>
    </w:p>
    <w:p w14:paraId="35D050AC" w14:textId="01FC8873" w:rsidR="00636756" w:rsidRPr="00BF210F" w:rsidRDefault="00636756" w:rsidP="00D66A20">
      <w:pPr>
        <w:rPr>
          <w:rFonts w:cs="Arial"/>
          <w:sz w:val="16"/>
          <w:lang w:val="en-US"/>
        </w:rPr>
      </w:pPr>
      <w:r w:rsidRPr="00BF210F">
        <w:rPr>
          <w:rFonts w:cs="Arial"/>
          <w:sz w:val="16"/>
          <w:lang w:val="en-US"/>
        </w:rPr>
        <w:t>Random effect: p=0.800</w:t>
      </w:r>
      <w:r w:rsidR="000A17DE" w:rsidRPr="00BF210F">
        <w:rPr>
          <w:rFonts w:cs="Arial"/>
          <w:sz w:val="16"/>
          <w:lang w:val="en-US"/>
        </w:rPr>
        <w:t xml:space="preserve">. </w:t>
      </w:r>
      <w:r w:rsidR="000A17DE" w:rsidRPr="00BF210F">
        <w:rPr>
          <w:rFonts w:cs="Arial"/>
          <w:sz w:val="16"/>
          <w:szCs w:val="16"/>
          <w:lang w:val="en-US"/>
        </w:rPr>
        <w:t>CI=confidence interval; OR=odds ratio.</w:t>
      </w:r>
    </w:p>
    <w:p w14:paraId="13B397FA" w14:textId="77777777" w:rsidR="001D4C0D" w:rsidRPr="00BF210F" w:rsidRDefault="001D4C0D" w:rsidP="00D66A20">
      <w:pPr>
        <w:rPr>
          <w:rFonts w:cs="Arial"/>
          <w:b/>
          <w:sz w:val="20"/>
          <w:lang w:val="en-US"/>
        </w:rPr>
      </w:pPr>
    </w:p>
    <w:p w14:paraId="6BD9FBDA" w14:textId="77777777" w:rsidR="00D66A20" w:rsidRPr="00BF210F" w:rsidRDefault="00D66A20" w:rsidP="00D66A20">
      <w:pPr>
        <w:rPr>
          <w:rFonts w:cs="Arial"/>
          <w:b/>
          <w:sz w:val="20"/>
          <w:lang w:val="en-US"/>
        </w:rPr>
      </w:pPr>
    </w:p>
    <w:p w14:paraId="249FD694" w14:textId="39897ADD" w:rsidR="001D4C0D" w:rsidRPr="00BF210F" w:rsidRDefault="00BF210F" w:rsidP="00D66A20">
      <w:pPr>
        <w:rPr>
          <w:rFonts w:cs="Arial"/>
          <w:sz w:val="24"/>
          <w:lang w:val="en-US"/>
        </w:rPr>
      </w:pPr>
      <w:r>
        <w:rPr>
          <w:rFonts w:cs="Arial"/>
          <w:b/>
          <w:sz w:val="24"/>
          <w:szCs w:val="24"/>
          <w:lang w:val="en-US"/>
        </w:rPr>
        <w:t xml:space="preserve">Supplementary </w:t>
      </w:r>
      <w:r w:rsidR="001D4C0D" w:rsidRPr="00BF210F">
        <w:rPr>
          <w:rFonts w:cs="Arial"/>
          <w:b/>
          <w:sz w:val="24"/>
          <w:lang w:val="en-US"/>
        </w:rPr>
        <w:t>Tabl</w:t>
      </w:r>
      <w:r w:rsidR="005432BA" w:rsidRPr="00BF210F">
        <w:rPr>
          <w:rFonts w:cs="Arial"/>
          <w:b/>
          <w:sz w:val="24"/>
          <w:lang w:val="en-US"/>
        </w:rPr>
        <w:t>e 13</w:t>
      </w:r>
      <w:r w:rsidR="001D4C0D" w:rsidRPr="00BF210F">
        <w:rPr>
          <w:rFonts w:cs="Arial"/>
          <w:sz w:val="24"/>
          <w:lang w:val="en-US"/>
        </w:rPr>
        <w:t xml:space="preserve"> </w:t>
      </w:r>
      <w:r w:rsidR="001D4C0D" w:rsidRPr="00BF210F">
        <w:rPr>
          <w:rFonts w:cs="Arial"/>
          <w:b/>
          <w:sz w:val="24"/>
          <w:lang w:val="en-US"/>
        </w:rPr>
        <w:t xml:space="preserve">– </w:t>
      </w:r>
      <w:r w:rsidR="003C37CE" w:rsidRPr="00BF210F">
        <w:rPr>
          <w:rFonts w:cs="Arial"/>
          <w:b/>
          <w:sz w:val="24"/>
          <w:lang w:val="en-US"/>
        </w:rPr>
        <w:t>Sensitivity analysis of the odds of presenting with</w:t>
      </w:r>
      <w:r w:rsidR="001D4C0D" w:rsidRPr="00BF210F">
        <w:rPr>
          <w:rFonts w:cs="Arial"/>
          <w:b/>
          <w:sz w:val="24"/>
          <w:lang w:val="en-US"/>
        </w:rPr>
        <w:t xml:space="preserve"> Luminal B-like subtype among HIV-positive compared with HIV-negative breast cancer patients.</w:t>
      </w:r>
    </w:p>
    <w:p w14:paraId="22F7B353" w14:textId="77777777" w:rsidR="001D4C0D" w:rsidRPr="00BF210F" w:rsidRDefault="001D4C0D" w:rsidP="00D66A20">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1D4C0D" w:rsidRPr="00BF210F" w14:paraId="5ABDF454" w14:textId="77777777" w:rsidTr="00D65742">
        <w:tc>
          <w:tcPr>
            <w:tcW w:w="2098" w:type="dxa"/>
            <w:vMerge w:val="restart"/>
          </w:tcPr>
          <w:p w14:paraId="13A73C8A" w14:textId="77777777" w:rsidR="001D4C0D" w:rsidRPr="00BF210F" w:rsidRDefault="001D4C0D" w:rsidP="00D66A20">
            <w:pPr>
              <w:jc w:val="center"/>
              <w:rPr>
                <w:rFonts w:cs="Arial"/>
                <w:b/>
                <w:sz w:val="20"/>
                <w:szCs w:val="20"/>
              </w:rPr>
            </w:pPr>
            <w:r w:rsidRPr="00BF210F">
              <w:rPr>
                <w:rFonts w:cs="Arial"/>
                <w:b/>
                <w:sz w:val="20"/>
                <w:szCs w:val="20"/>
              </w:rPr>
              <w:t>Study excluded</w:t>
            </w:r>
          </w:p>
        </w:tc>
        <w:tc>
          <w:tcPr>
            <w:tcW w:w="4086" w:type="dxa"/>
            <w:gridSpan w:val="3"/>
          </w:tcPr>
          <w:p w14:paraId="11CA3541" w14:textId="77777777" w:rsidR="001D4C0D" w:rsidRPr="00BF210F" w:rsidRDefault="001D4C0D" w:rsidP="00D66A20">
            <w:pPr>
              <w:jc w:val="center"/>
              <w:rPr>
                <w:rFonts w:cs="Arial"/>
                <w:b/>
                <w:sz w:val="20"/>
                <w:szCs w:val="20"/>
              </w:rPr>
            </w:pPr>
            <w:r w:rsidRPr="00BF210F">
              <w:rPr>
                <w:rFonts w:cs="Arial"/>
                <w:b/>
                <w:sz w:val="20"/>
                <w:szCs w:val="20"/>
              </w:rPr>
              <w:t>Random effect</w:t>
            </w:r>
          </w:p>
        </w:tc>
        <w:tc>
          <w:tcPr>
            <w:tcW w:w="1539" w:type="dxa"/>
            <w:vMerge w:val="restart"/>
          </w:tcPr>
          <w:p w14:paraId="1569BE28" w14:textId="06F37E69" w:rsidR="001D4C0D" w:rsidRPr="00BF210F" w:rsidRDefault="00C316F4"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w:t>
            </w:r>
            <w:r w:rsidR="001D4C0D" w:rsidRPr="00BF210F">
              <w:rPr>
                <w:rFonts w:cs="Arial"/>
                <w:b/>
                <w:sz w:val="20"/>
                <w:szCs w:val="20"/>
              </w:rPr>
              <w:t>(%)</w:t>
            </w:r>
          </w:p>
        </w:tc>
        <w:tc>
          <w:tcPr>
            <w:tcW w:w="1446" w:type="dxa"/>
            <w:vMerge w:val="restart"/>
          </w:tcPr>
          <w:p w14:paraId="14B0B935" w14:textId="03BFD422" w:rsidR="001D4C0D" w:rsidRPr="00BF210F" w:rsidRDefault="00C316F4"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 xml:space="preserve">2 </w:t>
            </w:r>
            <w:r w:rsidR="001D4C0D" w:rsidRPr="00BF210F">
              <w:rPr>
                <w:rFonts w:cs="Arial"/>
                <w:b/>
                <w:sz w:val="20"/>
                <w:szCs w:val="20"/>
              </w:rPr>
              <w:t>P-value</w:t>
            </w:r>
          </w:p>
        </w:tc>
      </w:tr>
      <w:tr w:rsidR="001D4C0D" w:rsidRPr="00BF210F" w14:paraId="48F08A72" w14:textId="77777777" w:rsidTr="00FB16BD">
        <w:tc>
          <w:tcPr>
            <w:tcW w:w="2098" w:type="dxa"/>
            <w:vMerge/>
          </w:tcPr>
          <w:p w14:paraId="44531EB2" w14:textId="77777777" w:rsidR="001D4C0D" w:rsidRPr="00BF210F" w:rsidRDefault="001D4C0D" w:rsidP="00D66A20">
            <w:pPr>
              <w:jc w:val="center"/>
              <w:rPr>
                <w:rFonts w:cs="Arial"/>
                <w:b/>
                <w:sz w:val="20"/>
                <w:szCs w:val="20"/>
              </w:rPr>
            </w:pPr>
          </w:p>
        </w:tc>
        <w:tc>
          <w:tcPr>
            <w:tcW w:w="1362" w:type="dxa"/>
          </w:tcPr>
          <w:p w14:paraId="43CD66E2" w14:textId="4993EA4B" w:rsidR="001D4C0D" w:rsidRPr="00BF210F" w:rsidRDefault="00ED1505" w:rsidP="00D66A20">
            <w:pPr>
              <w:jc w:val="center"/>
              <w:rPr>
                <w:rFonts w:cs="Arial"/>
                <w:b/>
                <w:sz w:val="20"/>
                <w:szCs w:val="20"/>
              </w:rPr>
            </w:pPr>
            <w:r w:rsidRPr="00BF210F">
              <w:rPr>
                <w:rFonts w:cs="Arial"/>
                <w:b/>
                <w:sz w:val="20"/>
                <w:szCs w:val="20"/>
              </w:rPr>
              <w:t xml:space="preserve">Pooled </w:t>
            </w:r>
            <w:r w:rsidR="001D4C0D" w:rsidRPr="00BF210F">
              <w:rPr>
                <w:rFonts w:cs="Arial"/>
                <w:b/>
                <w:sz w:val="20"/>
                <w:szCs w:val="20"/>
              </w:rPr>
              <w:t>OR</w:t>
            </w:r>
          </w:p>
        </w:tc>
        <w:tc>
          <w:tcPr>
            <w:tcW w:w="1362" w:type="dxa"/>
          </w:tcPr>
          <w:p w14:paraId="39F0CC3C" w14:textId="77777777" w:rsidR="001D4C0D" w:rsidRPr="00BF210F" w:rsidRDefault="001D4C0D" w:rsidP="00D66A20">
            <w:pPr>
              <w:jc w:val="center"/>
              <w:rPr>
                <w:rFonts w:cs="Arial"/>
                <w:b/>
                <w:sz w:val="20"/>
                <w:szCs w:val="20"/>
              </w:rPr>
            </w:pPr>
            <w:r w:rsidRPr="00BF210F">
              <w:rPr>
                <w:rFonts w:cs="Arial"/>
                <w:b/>
                <w:sz w:val="20"/>
                <w:szCs w:val="20"/>
              </w:rPr>
              <w:t>95% CI</w:t>
            </w:r>
          </w:p>
        </w:tc>
        <w:tc>
          <w:tcPr>
            <w:tcW w:w="1362" w:type="dxa"/>
          </w:tcPr>
          <w:p w14:paraId="65D7F55B" w14:textId="77777777" w:rsidR="001D4C0D" w:rsidRPr="00BF210F" w:rsidRDefault="001D4C0D" w:rsidP="00D66A20">
            <w:pPr>
              <w:jc w:val="center"/>
              <w:rPr>
                <w:rFonts w:cs="Arial"/>
                <w:b/>
                <w:sz w:val="20"/>
                <w:szCs w:val="20"/>
              </w:rPr>
            </w:pPr>
            <w:r w:rsidRPr="00BF210F">
              <w:rPr>
                <w:rFonts w:cs="Arial"/>
                <w:b/>
                <w:sz w:val="20"/>
                <w:szCs w:val="20"/>
              </w:rPr>
              <w:t>P-value</w:t>
            </w:r>
          </w:p>
        </w:tc>
        <w:tc>
          <w:tcPr>
            <w:tcW w:w="1539" w:type="dxa"/>
            <w:vMerge/>
          </w:tcPr>
          <w:p w14:paraId="28ECA2EA" w14:textId="77777777" w:rsidR="001D4C0D" w:rsidRPr="00BF210F" w:rsidRDefault="001D4C0D" w:rsidP="00D66A20">
            <w:pPr>
              <w:jc w:val="center"/>
              <w:rPr>
                <w:rFonts w:cs="Arial"/>
                <w:b/>
                <w:sz w:val="20"/>
                <w:szCs w:val="20"/>
              </w:rPr>
            </w:pPr>
          </w:p>
        </w:tc>
        <w:tc>
          <w:tcPr>
            <w:tcW w:w="1446" w:type="dxa"/>
            <w:vMerge/>
          </w:tcPr>
          <w:p w14:paraId="1932B258" w14:textId="77777777" w:rsidR="001D4C0D" w:rsidRPr="00BF210F" w:rsidRDefault="001D4C0D" w:rsidP="00D66A20">
            <w:pPr>
              <w:jc w:val="center"/>
              <w:rPr>
                <w:rFonts w:cs="Arial"/>
                <w:b/>
                <w:sz w:val="20"/>
                <w:szCs w:val="20"/>
              </w:rPr>
            </w:pPr>
          </w:p>
        </w:tc>
      </w:tr>
      <w:tr w:rsidR="001D4C0D" w:rsidRPr="00BF210F" w14:paraId="51DEF0D5" w14:textId="77777777" w:rsidTr="00FB16BD">
        <w:tc>
          <w:tcPr>
            <w:tcW w:w="2098" w:type="dxa"/>
          </w:tcPr>
          <w:p w14:paraId="4EFC2542" w14:textId="77777777" w:rsidR="001D4C0D" w:rsidRPr="00BF210F" w:rsidRDefault="001D4C0D" w:rsidP="00D66A20">
            <w:pPr>
              <w:jc w:val="center"/>
              <w:rPr>
                <w:rFonts w:cs="Arial"/>
                <w:sz w:val="20"/>
                <w:szCs w:val="20"/>
              </w:rPr>
            </w:pPr>
            <w:r w:rsidRPr="00BF210F">
              <w:rPr>
                <w:rFonts w:cs="Arial"/>
                <w:sz w:val="20"/>
                <w:szCs w:val="20"/>
              </w:rPr>
              <w:t>Presti 2017</w:t>
            </w:r>
          </w:p>
        </w:tc>
        <w:tc>
          <w:tcPr>
            <w:tcW w:w="1362" w:type="dxa"/>
          </w:tcPr>
          <w:p w14:paraId="3A2E39C1" w14:textId="77777777" w:rsidR="001D4C0D" w:rsidRPr="00BF210F" w:rsidRDefault="001D4C0D" w:rsidP="00D66A20">
            <w:pPr>
              <w:jc w:val="center"/>
              <w:rPr>
                <w:rFonts w:cs="Arial"/>
                <w:sz w:val="20"/>
                <w:szCs w:val="20"/>
              </w:rPr>
            </w:pPr>
            <w:r w:rsidRPr="00BF210F">
              <w:rPr>
                <w:rFonts w:cs="Arial"/>
                <w:sz w:val="20"/>
                <w:szCs w:val="20"/>
              </w:rPr>
              <w:t>1.01</w:t>
            </w:r>
          </w:p>
        </w:tc>
        <w:tc>
          <w:tcPr>
            <w:tcW w:w="1362" w:type="dxa"/>
          </w:tcPr>
          <w:p w14:paraId="1A6A86B8" w14:textId="77777777" w:rsidR="001D4C0D" w:rsidRPr="00BF210F" w:rsidRDefault="001D4C0D" w:rsidP="00D66A20">
            <w:pPr>
              <w:jc w:val="center"/>
              <w:rPr>
                <w:rFonts w:cs="Arial"/>
                <w:sz w:val="20"/>
                <w:szCs w:val="20"/>
              </w:rPr>
            </w:pPr>
            <w:r w:rsidRPr="00BF210F">
              <w:rPr>
                <w:rFonts w:cs="Arial"/>
                <w:sz w:val="20"/>
                <w:szCs w:val="20"/>
              </w:rPr>
              <w:t>0.77-1.32</w:t>
            </w:r>
          </w:p>
        </w:tc>
        <w:tc>
          <w:tcPr>
            <w:tcW w:w="1362" w:type="dxa"/>
          </w:tcPr>
          <w:p w14:paraId="03BF0003" w14:textId="77777777" w:rsidR="001D4C0D" w:rsidRPr="00BF210F" w:rsidRDefault="001D4C0D" w:rsidP="00D66A20">
            <w:pPr>
              <w:jc w:val="center"/>
              <w:rPr>
                <w:rFonts w:cs="Arial"/>
                <w:sz w:val="20"/>
                <w:szCs w:val="20"/>
              </w:rPr>
            </w:pPr>
            <w:r w:rsidRPr="00BF210F">
              <w:rPr>
                <w:rFonts w:cs="Arial"/>
                <w:sz w:val="20"/>
                <w:szCs w:val="20"/>
              </w:rPr>
              <w:t>0.962</w:t>
            </w:r>
          </w:p>
        </w:tc>
        <w:tc>
          <w:tcPr>
            <w:tcW w:w="1539" w:type="dxa"/>
          </w:tcPr>
          <w:p w14:paraId="51702B49" w14:textId="77777777" w:rsidR="001D4C0D" w:rsidRPr="00BF210F" w:rsidRDefault="001D4C0D" w:rsidP="00D66A20">
            <w:pPr>
              <w:jc w:val="center"/>
              <w:rPr>
                <w:rFonts w:cs="Arial"/>
                <w:sz w:val="20"/>
                <w:szCs w:val="20"/>
              </w:rPr>
            </w:pPr>
            <w:r w:rsidRPr="00BF210F">
              <w:rPr>
                <w:rFonts w:cs="Arial"/>
                <w:sz w:val="20"/>
                <w:szCs w:val="20"/>
              </w:rPr>
              <w:t>0.0</w:t>
            </w:r>
          </w:p>
        </w:tc>
        <w:tc>
          <w:tcPr>
            <w:tcW w:w="1446" w:type="dxa"/>
          </w:tcPr>
          <w:p w14:paraId="57397233" w14:textId="77777777" w:rsidR="001D4C0D" w:rsidRPr="00BF210F" w:rsidRDefault="001D4C0D" w:rsidP="00D66A20">
            <w:pPr>
              <w:jc w:val="center"/>
              <w:rPr>
                <w:rFonts w:cs="Arial"/>
                <w:sz w:val="20"/>
                <w:szCs w:val="20"/>
              </w:rPr>
            </w:pPr>
            <w:r w:rsidRPr="00BF210F">
              <w:rPr>
                <w:rFonts w:cs="Arial"/>
                <w:sz w:val="20"/>
                <w:szCs w:val="20"/>
              </w:rPr>
              <w:t>0.542</w:t>
            </w:r>
          </w:p>
        </w:tc>
      </w:tr>
      <w:tr w:rsidR="001D4C0D" w:rsidRPr="00BF210F" w14:paraId="23A81619" w14:textId="77777777" w:rsidTr="00FB16BD">
        <w:tc>
          <w:tcPr>
            <w:tcW w:w="2098" w:type="dxa"/>
          </w:tcPr>
          <w:p w14:paraId="70CA0134" w14:textId="77777777" w:rsidR="001D4C0D" w:rsidRPr="00BF210F" w:rsidRDefault="001D4C0D" w:rsidP="00D66A20">
            <w:pPr>
              <w:jc w:val="center"/>
              <w:rPr>
                <w:rFonts w:cs="Arial"/>
                <w:sz w:val="20"/>
                <w:szCs w:val="20"/>
              </w:rPr>
            </w:pPr>
            <w:r w:rsidRPr="00BF210F">
              <w:rPr>
                <w:rFonts w:cs="Arial"/>
                <w:sz w:val="20"/>
                <w:szCs w:val="20"/>
              </w:rPr>
              <w:t>Van Zyl 2018</w:t>
            </w:r>
          </w:p>
        </w:tc>
        <w:tc>
          <w:tcPr>
            <w:tcW w:w="1362" w:type="dxa"/>
          </w:tcPr>
          <w:p w14:paraId="109D2254" w14:textId="77777777" w:rsidR="001D4C0D" w:rsidRPr="00BF210F" w:rsidRDefault="001D4C0D" w:rsidP="00D66A20">
            <w:pPr>
              <w:jc w:val="center"/>
              <w:rPr>
                <w:rFonts w:cs="Arial"/>
                <w:sz w:val="20"/>
                <w:szCs w:val="20"/>
              </w:rPr>
            </w:pPr>
            <w:r w:rsidRPr="00BF210F">
              <w:rPr>
                <w:rFonts w:cs="Arial"/>
                <w:sz w:val="20"/>
                <w:szCs w:val="20"/>
              </w:rPr>
              <w:t>1.00</w:t>
            </w:r>
          </w:p>
        </w:tc>
        <w:tc>
          <w:tcPr>
            <w:tcW w:w="1362" w:type="dxa"/>
          </w:tcPr>
          <w:p w14:paraId="773A9C7F" w14:textId="77777777" w:rsidR="001D4C0D" w:rsidRPr="00BF210F" w:rsidRDefault="001D4C0D" w:rsidP="00D66A20">
            <w:pPr>
              <w:jc w:val="center"/>
              <w:rPr>
                <w:rFonts w:cs="Arial"/>
                <w:sz w:val="20"/>
                <w:szCs w:val="20"/>
              </w:rPr>
            </w:pPr>
            <w:r w:rsidRPr="00BF210F">
              <w:rPr>
                <w:rFonts w:cs="Arial"/>
                <w:sz w:val="20"/>
                <w:szCs w:val="20"/>
              </w:rPr>
              <w:t>0.75-1.32</w:t>
            </w:r>
          </w:p>
        </w:tc>
        <w:tc>
          <w:tcPr>
            <w:tcW w:w="1362" w:type="dxa"/>
          </w:tcPr>
          <w:p w14:paraId="1E92A5E1" w14:textId="77777777" w:rsidR="001D4C0D" w:rsidRPr="00BF210F" w:rsidRDefault="001D4C0D" w:rsidP="00D66A20">
            <w:pPr>
              <w:jc w:val="center"/>
              <w:rPr>
                <w:rFonts w:cs="Arial"/>
                <w:sz w:val="20"/>
                <w:szCs w:val="20"/>
              </w:rPr>
            </w:pPr>
            <w:r w:rsidRPr="00BF210F">
              <w:rPr>
                <w:rFonts w:cs="Arial"/>
                <w:sz w:val="20"/>
                <w:szCs w:val="20"/>
              </w:rPr>
              <w:t>0.987</w:t>
            </w:r>
          </w:p>
        </w:tc>
        <w:tc>
          <w:tcPr>
            <w:tcW w:w="1539" w:type="dxa"/>
          </w:tcPr>
          <w:p w14:paraId="7AF27862" w14:textId="77777777" w:rsidR="001D4C0D" w:rsidRPr="00BF210F" w:rsidRDefault="001D4C0D" w:rsidP="00D66A20">
            <w:pPr>
              <w:jc w:val="center"/>
              <w:rPr>
                <w:rFonts w:cs="Arial"/>
                <w:sz w:val="20"/>
                <w:szCs w:val="20"/>
              </w:rPr>
            </w:pPr>
            <w:r w:rsidRPr="00BF210F">
              <w:rPr>
                <w:rFonts w:cs="Arial"/>
                <w:sz w:val="20"/>
                <w:szCs w:val="20"/>
              </w:rPr>
              <w:t>0.0</w:t>
            </w:r>
          </w:p>
        </w:tc>
        <w:tc>
          <w:tcPr>
            <w:tcW w:w="1446" w:type="dxa"/>
          </w:tcPr>
          <w:p w14:paraId="43014B07" w14:textId="77777777" w:rsidR="001D4C0D" w:rsidRPr="00BF210F" w:rsidRDefault="001D4C0D" w:rsidP="00D66A20">
            <w:pPr>
              <w:jc w:val="center"/>
              <w:rPr>
                <w:rFonts w:cs="Arial"/>
                <w:sz w:val="20"/>
                <w:szCs w:val="20"/>
              </w:rPr>
            </w:pPr>
            <w:r w:rsidRPr="00BF210F">
              <w:rPr>
                <w:rFonts w:cs="Arial"/>
                <w:sz w:val="20"/>
                <w:szCs w:val="20"/>
              </w:rPr>
              <w:t>0.539</w:t>
            </w:r>
          </w:p>
        </w:tc>
      </w:tr>
      <w:tr w:rsidR="001D4C0D" w:rsidRPr="00BF210F" w14:paraId="314ADE62" w14:textId="77777777" w:rsidTr="00FB16BD">
        <w:tc>
          <w:tcPr>
            <w:tcW w:w="2098" w:type="dxa"/>
          </w:tcPr>
          <w:p w14:paraId="02648CA9" w14:textId="77777777" w:rsidR="001D4C0D" w:rsidRPr="00BF210F" w:rsidRDefault="001D4C0D" w:rsidP="00D66A20">
            <w:pPr>
              <w:jc w:val="center"/>
              <w:rPr>
                <w:rFonts w:cs="Arial"/>
                <w:sz w:val="20"/>
                <w:szCs w:val="20"/>
              </w:rPr>
            </w:pPr>
            <w:r w:rsidRPr="00BF210F">
              <w:rPr>
                <w:rFonts w:cs="Arial"/>
                <w:sz w:val="20"/>
                <w:szCs w:val="20"/>
              </w:rPr>
              <w:t>Brandao 2019</w:t>
            </w:r>
          </w:p>
        </w:tc>
        <w:tc>
          <w:tcPr>
            <w:tcW w:w="1362" w:type="dxa"/>
          </w:tcPr>
          <w:p w14:paraId="6674DF1F" w14:textId="77777777" w:rsidR="001D4C0D" w:rsidRPr="00BF210F" w:rsidRDefault="001D4C0D" w:rsidP="00D66A20">
            <w:pPr>
              <w:jc w:val="center"/>
              <w:rPr>
                <w:rFonts w:cs="Arial"/>
                <w:sz w:val="20"/>
                <w:szCs w:val="20"/>
              </w:rPr>
            </w:pPr>
            <w:r w:rsidRPr="00BF210F">
              <w:rPr>
                <w:rFonts w:cs="Arial"/>
                <w:sz w:val="20"/>
                <w:szCs w:val="20"/>
              </w:rPr>
              <w:t>1.09</w:t>
            </w:r>
          </w:p>
        </w:tc>
        <w:tc>
          <w:tcPr>
            <w:tcW w:w="1362" w:type="dxa"/>
          </w:tcPr>
          <w:p w14:paraId="2CA09D27" w14:textId="77777777" w:rsidR="001D4C0D" w:rsidRPr="00BF210F" w:rsidRDefault="001D4C0D" w:rsidP="00D66A20">
            <w:pPr>
              <w:jc w:val="center"/>
              <w:rPr>
                <w:rFonts w:cs="Arial"/>
                <w:sz w:val="20"/>
                <w:szCs w:val="20"/>
              </w:rPr>
            </w:pPr>
            <w:r w:rsidRPr="00BF210F">
              <w:rPr>
                <w:rFonts w:cs="Arial"/>
                <w:sz w:val="20"/>
                <w:szCs w:val="20"/>
              </w:rPr>
              <w:t>0.82-1.45</w:t>
            </w:r>
          </w:p>
        </w:tc>
        <w:tc>
          <w:tcPr>
            <w:tcW w:w="1362" w:type="dxa"/>
          </w:tcPr>
          <w:p w14:paraId="28B9B96F" w14:textId="77777777" w:rsidR="001D4C0D" w:rsidRPr="00BF210F" w:rsidRDefault="001D4C0D" w:rsidP="00D66A20">
            <w:pPr>
              <w:jc w:val="center"/>
              <w:rPr>
                <w:rFonts w:cs="Arial"/>
                <w:sz w:val="20"/>
                <w:szCs w:val="20"/>
              </w:rPr>
            </w:pPr>
            <w:r w:rsidRPr="00BF210F">
              <w:rPr>
                <w:rFonts w:cs="Arial"/>
                <w:sz w:val="20"/>
                <w:szCs w:val="20"/>
              </w:rPr>
              <w:t>0.561</w:t>
            </w:r>
          </w:p>
        </w:tc>
        <w:tc>
          <w:tcPr>
            <w:tcW w:w="1539" w:type="dxa"/>
          </w:tcPr>
          <w:p w14:paraId="780BB01C" w14:textId="77777777" w:rsidR="001D4C0D" w:rsidRPr="00BF210F" w:rsidRDefault="001D4C0D" w:rsidP="00D66A20">
            <w:pPr>
              <w:jc w:val="center"/>
              <w:rPr>
                <w:rFonts w:cs="Arial"/>
                <w:sz w:val="20"/>
                <w:szCs w:val="20"/>
              </w:rPr>
            </w:pPr>
            <w:r w:rsidRPr="00BF210F">
              <w:rPr>
                <w:rFonts w:cs="Arial"/>
                <w:sz w:val="20"/>
                <w:szCs w:val="20"/>
              </w:rPr>
              <w:t>0.0</w:t>
            </w:r>
          </w:p>
        </w:tc>
        <w:tc>
          <w:tcPr>
            <w:tcW w:w="1446" w:type="dxa"/>
          </w:tcPr>
          <w:p w14:paraId="73702BBD" w14:textId="77777777" w:rsidR="001D4C0D" w:rsidRPr="00BF210F" w:rsidRDefault="001D4C0D" w:rsidP="00D66A20">
            <w:pPr>
              <w:jc w:val="center"/>
              <w:rPr>
                <w:rFonts w:cs="Arial"/>
                <w:sz w:val="20"/>
                <w:szCs w:val="20"/>
              </w:rPr>
            </w:pPr>
            <w:r w:rsidRPr="00BF210F">
              <w:rPr>
                <w:rFonts w:cs="Arial"/>
                <w:sz w:val="20"/>
                <w:szCs w:val="20"/>
              </w:rPr>
              <w:t>0.587</w:t>
            </w:r>
          </w:p>
        </w:tc>
      </w:tr>
      <w:tr w:rsidR="001D4C0D" w:rsidRPr="00BF210F" w14:paraId="186257AF" w14:textId="77777777" w:rsidTr="00FB16BD">
        <w:tc>
          <w:tcPr>
            <w:tcW w:w="2098" w:type="dxa"/>
          </w:tcPr>
          <w:p w14:paraId="20421EA9" w14:textId="77777777" w:rsidR="001D4C0D" w:rsidRPr="00BF210F" w:rsidRDefault="001D4C0D" w:rsidP="00D66A20">
            <w:pPr>
              <w:jc w:val="center"/>
              <w:rPr>
                <w:rFonts w:cs="Arial"/>
                <w:sz w:val="20"/>
                <w:szCs w:val="20"/>
              </w:rPr>
            </w:pPr>
            <w:r w:rsidRPr="00BF210F">
              <w:rPr>
                <w:rFonts w:cs="Arial"/>
                <w:sz w:val="20"/>
                <w:szCs w:val="20"/>
              </w:rPr>
              <w:t>Phakathi 2019</w:t>
            </w:r>
          </w:p>
        </w:tc>
        <w:tc>
          <w:tcPr>
            <w:tcW w:w="1362" w:type="dxa"/>
          </w:tcPr>
          <w:p w14:paraId="239EF0B2" w14:textId="77777777" w:rsidR="001D4C0D" w:rsidRPr="00BF210F" w:rsidRDefault="001D4C0D" w:rsidP="00D66A20">
            <w:pPr>
              <w:jc w:val="center"/>
              <w:rPr>
                <w:rFonts w:cs="Arial"/>
                <w:sz w:val="20"/>
                <w:szCs w:val="20"/>
              </w:rPr>
            </w:pPr>
            <w:r w:rsidRPr="00BF210F">
              <w:rPr>
                <w:rFonts w:cs="Arial"/>
                <w:sz w:val="20"/>
                <w:szCs w:val="20"/>
              </w:rPr>
              <w:t>1.09</w:t>
            </w:r>
          </w:p>
        </w:tc>
        <w:tc>
          <w:tcPr>
            <w:tcW w:w="1362" w:type="dxa"/>
          </w:tcPr>
          <w:p w14:paraId="23849217" w14:textId="77777777" w:rsidR="001D4C0D" w:rsidRPr="00BF210F" w:rsidRDefault="001D4C0D" w:rsidP="00D66A20">
            <w:pPr>
              <w:jc w:val="center"/>
              <w:rPr>
                <w:rFonts w:cs="Arial"/>
                <w:sz w:val="20"/>
                <w:szCs w:val="20"/>
              </w:rPr>
            </w:pPr>
            <w:r w:rsidRPr="00BF210F">
              <w:rPr>
                <w:rFonts w:cs="Arial"/>
                <w:sz w:val="20"/>
                <w:szCs w:val="20"/>
              </w:rPr>
              <w:t>0.68-1.74</w:t>
            </w:r>
          </w:p>
        </w:tc>
        <w:tc>
          <w:tcPr>
            <w:tcW w:w="1362" w:type="dxa"/>
          </w:tcPr>
          <w:p w14:paraId="2FE54364" w14:textId="77777777" w:rsidR="001D4C0D" w:rsidRPr="00BF210F" w:rsidRDefault="001D4C0D" w:rsidP="00D66A20">
            <w:pPr>
              <w:jc w:val="center"/>
              <w:rPr>
                <w:rFonts w:cs="Arial"/>
                <w:sz w:val="20"/>
                <w:szCs w:val="20"/>
              </w:rPr>
            </w:pPr>
            <w:r w:rsidRPr="00BF210F">
              <w:rPr>
                <w:rFonts w:cs="Arial"/>
                <w:sz w:val="20"/>
                <w:szCs w:val="20"/>
              </w:rPr>
              <w:t>0.731</w:t>
            </w:r>
          </w:p>
        </w:tc>
        <w:tc>
          <w:tcPr>
            <w:tcW w:w="1539" w:type="dxa"/>
          </w:tcPr>
          <w:p w14:paraId="09570E4D" w14:textId="77777777" w:rsidR="001D4C0D" w:rsidRPr="00BF210F" w:rsidRDefault="001D4C0D" w:rsidP="00D66A20">
            <w:pPr>
              <w:jc w:val="center"/>
              <w:rPr>
                <w:rFonts w:cs="Arial"/>
                <w:sz w:val="20"/>
                <w:szCs w:val="20"/>
              </w:rPr>
            </w:pPr>
            <w:r w:rsidRPr="00BF210F">
              <w:rPr>
                <w:rFonts w:cs="Arial"/>
                <w:sz w:val="20"/>
                <w:szCs w:val="20"/>
              </w:rPr>
              <w:t>0.0</w:t>
            </w:r>
          </w:p>
        </w:tc>
        <w:tc>
          <w:tcPr>
            <w:tcW w:w="1446" w:type="dxa"/>
          </w:tcPr>
          <w:p w14:paraId="6BCC5193" w14:textId="77777777" w:rsidR="001D4C0D" w:rsidRPr="00BF210F" w:rsidRDefault="001D4C0D" w:rsidP="00D66A20">
            <w:pPr>
              <w:jc w:val="center"/>
              <w:rPr>
                <w:rFonts w:cs="Arial"/>
                <w:sz w:val="20"/>
                <w:szCs w:val="20"/>
              </w:rPr>
            </w:pPr>
            <w:r w:rsidRPr="00BF210F">
              <w:rPr>
                <w:rFonts w:cs="Arial"/>
                <w:sz w:val="20"/>
                <w:szCs w:val="20"/>
              </w:rPr>
              <w:t>0.405</w:t>
            </w:r>
          </w:p>
        </w:tc>
      </w:tr>
    </w:tbl>
    <w:p w14:paraId="4A900BD3" w14:textId="77777777" w:rsidR="00ED1505" w:rsidRPr="00BF210F" w:rsidRDefault="00ED1505" w:rsidP="00ED1505">
      <w:pPr>
        <w:rPr>
          <w:rFonts w:cs="Arial"/>
          <w:sz w:val="16"/>
          <w:lang w:val="en-US"/>
        </w:rPr>
      </w:pPr>
      <w:r w:rsidRPr="00BF210F">
        <w:rPr>
          <w:rFonts w:cs="Arial"/>
          <w:sz w:val="16"/>
          <w:lang w:val="en-US"/>
        </w:rPr>
        <w:t>CI: confidence interval; OR: odds ratio.</w:t>
      </w:r>
    </w:p>
    <w:p w14:paraId="0FCAA1FA" w14:textId="77777777" w:rsidR="001D4C0D" w:rsidRPr="00BF210F" w:rsidRDefault="001D4C0D" w:rsidP="00D66A20">
      <w:pPr>
        <w:rPr>
          <w:rFonts w:cs="Arial"/>
          <w:lang w:val="en-US"/>
        </w:rPr>
      </w:pPr>
    </w:p>
    <w:p w14:paraId="6BB4BFA5" w14:textId="77777777" w:rsidR="001D4C0D" w:rsidRPr="00BF210F" w:rsidRDefault="001D4C0D" w:rsidP="00D66A20">
      <w:pPr>
        <w:rPr>
          <w:rFonts w:cs="Arial"/>
          <w:lang w:val="en-US"/>
        </w:rPr>
      </w:pPr>
      <w:r w:rsidRPr="00BF210F">
        <w:rPr>
          <w:rFonts w:cs="Arial"/>
          <w:lang w:val="en-US"/>
        </w:rPr>
        <w:br w:type="page"/>
      </w:r>
    </w:p>
    <w:p w14:paraId="10291641" w14:textId="58417743" w:rsidR="001D4C0D" w:rsidRPr="00BF210F" w:rsidRDefault="00BF210F" w:rsidP="00D66A20">
      <w:pPr>
        <w:rPr>
          <w:rFonts w:cs="Arial"/>
          <w:b/>
          <w:sz w:val="24"/>
          <w:lang w:val="en-US"/>
        </w:rPr>
      </w:pPr>
      <w:r>
        <w:rPr>
          <w:rFonts w:cs="Arial"/>
          <w:b/>
          <w:sz w:val="24"/>
          <w:szCs w:val="24"/>
          <w:lang w:val="en-US"/>
        </w:rPr>
        <w:lastRenderedPageBreak/>
        <w:t xml:space="preserve">Supplementary </w:t>
      </w:r>
      <w:r w:rsidR="001D4C0D" w:rsidRPr="00BF210F">
        <w:rPr>
          <w:rFonts w:cs="Arial"/>
          <w:b/>
          <w:sz w:val="24"/>
          <w:lang w:val="en-US"/>
        </w:rPr>
        <w:t xml:space="preserve">Figure </w:t>
      </w:r>
      <w:r w:rsidR="006413F8" w:rsidRPr="00BF210F">
        <w:rPr>
          <w:rFonts w:cs="Arial"/>
          <w:b/>
          <w:sz w:val="24"/>
          <w:lang w:val="en-US"/>
        </w:rPr>
        <w:t>1</w:t>
      </w:r>
      <w:r w:rsidR="003C37CE" w:rsidRPr="00BF210F">
        <w:rPr>
          <w:rFonts w:cs="Arial"/>
          <w:b/>
          <w:sz w:val="24"/>
          <w:lang w:val="en-US"/>
        </w:rPr>
        <w:t>8</w:t>
      </w:r>
      <w:r w:rsidR="00822665" w:rsidRPr="00BF210F">
        <w:rPr>
          <w:rFonts w:cs="Arial"/>
          <w:b/>
          <w:sz w:val="24"/>
          <w:lang w:val="en-US"/>
        </w:rPr>
        <w:t xml:space="preserve"> –</w:t>
      </w:r>
      <w:r w:rsidR="001D4C0D" w:rsidRPr="00BF210F">
        <w:rPr>
          <w:rFonts w:cs="Arial"/>
          <w:b/>
          <w:sz w:val="24"/>
          <w:lang w:val="en-US"/>
        </w:rPr>
        <w:t xml:space="preserve"> </w:t>
      </w:r>
      <w:r w:rsidR="003C37CE" w:rsidRPr="00BF210F">
        <w:rPr>
          <w:rFonts w:cs="Arial"/>
          <w:b/>
          <w:sz w:val="24"/>
          <w:lang w:val="en-US"/>
        </w:rPr>
        <w:t xml:space="preserve">Meta-analysis of the odds of presenting with </w:t>
      </w:r>
      <w:r w:rsidR="001D4C0D" w:rsidRPr="00BF210F">
        <w:rPr>
          <w:rFonts w:cs="Arial"/>
          <w:b/>
          <w:sz w:val="24"/>
          <w:lang w:val="en-US"/>
        </w:rPr>
        <w:t xml:space="preserve">HER2-enriched subtype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1D4C0D" w:rsidRPr="00BF210F">
        <w:rPr>
          <w:rFonts w:cs="Arial"/>
          <w:b/>
          <w:sz w:val="24"/>
          <w:lang w:val="en-US"/>
        </w:rPr>
        <w:t>.</w:t>
      </w:r>
    </w:p>
    <w:p w14:paraId="13477217" w14:textId="77777777" w:rsidR="001D4C0D" w:rsidRPr="00BF210F" w:rsidRDefault="001D4C0D" w:rsidP="00D66A20">
      <w:pPr>
        <w:rPr>
          <w:rFonts w:cs="Arial"/>
          <w:b/>
          <w:sz w:val="20"/>
          <w:lang w:val="en-US"/>
        </w:rPr>
      </w:pPr>
    </w:p>
    <w:p w14:paraId="36F091DB" w14:textId="77777777" w:rsidR="001D4C0D" w:rsidRPr="00BF210F" w:rsidRDefault="00896EA9" w:rsidP="00D66A20">
      <w:pPr>
        <w:rPr>
          <w:rFonts w:cs="Arial"/>
          <w:lang w:val="en-US"/>
        </w:rPr>
      </w:pPr>
      <w:r w:rsidRPr="00BF210F">
        <w:rPr>
          <w:rFonts w:cs="Arial"/>
          <w:noProof/>
          <w:lang w:val="pt-PT" w:eastAsia="pt-PT"/>
        </w:rPr>
        <mc:AlternateContent>
          <mc:Choice Requires="wps">
            <w:drawing>
              <wp:anchor distT="0" distB="0" distL="114300" distR="114300" simplePos="0" relativeHeight="251671552" behindDoc="0" locked="0" layoutInCell="1" allowOverlap="1" wp14:anchorId="04CEEE16" wp14:editId="11907A7E">
                <wp:simplePos x="0" y="0"/>
                <wp:positionH relativeFrom="column">
                  <wp:posOffset>1998183</wp:posOffset>
                </wp:positionH>
                <wp:positionV relativeFrom="paragraph">
                  <wp:posOffset>3739515</wp:posOffset>
                </wp:positionV>
                <wp:extent cx="889000" cy="222250"/>
                <wp:effectExtent l="0" t="0" r="0" b="0"/>
                <wp:wrapNone/>
                <wp:docPr id="36" name="Rectangle 36"/>
                <wp:cNvGraphicFramePr/>
                <a:graphic xmlns:a="http://schemas.openxmlformats.org/drawingml/2006/main">
                  <a:graphicData uri="http://schemas.microsoft.com/office/word/2010/wordprocessingShape">
                    <wps:wsp>
                      <wps:cNvSpPr/>
                      <wps:spPr>
                        <a:xfrm>
                          <a:off x="0" y="0"/>
                          <a:ext cx="889000" cy="2222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597272F" w14:textId="60CA801D" w:rsidR="00363D1D" w:rsidRPr="00896EA9" w:rsidRDefault="00363D1D" w:rsidP="00896EA9">
                            <w:pPr>
                              <w:jc w:val="center"/>
                              <w:rPr>
                                <w:sz w:val="16"/>
                                <w:szCs w:val="16"/>
                                <w:lang w:val="en-US"/>
                              </w:rPr>
                            </w:pPr>
                            <w:r>
                              <w:rPr>
                                <w:sz w:val="16"/>
                                <w:szCs w:val="16"/>
                                <w:lang w:val="en-US"/>
                              </w:rPr>
                              <w:t>OR (95% 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CEEE16" id="Rectangle 36" o:spid="_x0000_s1032" style="position:absolute;margin-left:157.35pt;margin-top:294.45pt;width:70pt;height: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" filled="f" stroked="f" strokeweight="2pt">
                <v:textbox>
                  <w:txbxContent>
                    <w:p w14:paraId="3597272F" w14:textId="60CA801D" w:rsidR="00363D1D" w:rsidRPr="00896EA9" w:rsidRDefault="00363D1D" w:rsidP="00896EA9">
                      <w:pPr>
                        <w:jc w:val="center"/>
                        <w:rPr>
                          <w:sz w:val="16"/>
                          <w:szCs w:val="16"/>
                          <w:lang w:val="en-US"/>
                        </w:rPr>
                      </w:pPr>
                      <w:r>
                        <w:rPr>
                          <w:sz w:val="16"/>
                          <w:szCs w:val="16"/>
                          <w:lang w:val="en-US"/>
                        </w:rPr>
                        <w:t>OR (95% CI)</w:t>
                      </w:r>
                    </w:p>
                  </w:txbxContent>
                </v:textbox>
              </v:rect>
            </w:pict>
          </mc:Fallback>
        </mc:AlternateContent>
      </w:r>
      <w:r w:rsidR="001D4C0D" w:rsidRPr="00BF210F">
        <w:rPr>
          <w:rFonts w:cs="Arial"/>
          <w:noProof/>
          <w:lang w:val="pt-PT" w:eastAsia="pt-PT"/>
        </w:rPr>
        <w:drawing>
          <wp:inline distT="0" distB="0" distL="0" distR="0" wp14:anchorId="6EB7E599" wp14:editId="1FF016C5">
            <wp:extent cx="6120130" cy="4021126"/>
            <wp:effectExtent l="0" t="0" r="0" b="0"/>
            <wp:docPr id="24"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4021126"/>
                    </a:xfrm>
                    <a:prstGeom prst="rect">
                      <a:avLst/>
                    </a:prstGeom>
                    <a:noFill/>
                    <a:ln>
                      <a:noFill/>
                    </a:ln>
                  </pic:spPr>
                </pic:pic>
              </a:graphicData>
            </a:graphic>
          </wp:inline>
        </w:drawing>
      </w:r>
    </w:p>
    <w:p w14:paraId="46184C8F" w14:textId="1F70D781" w:rsidR="00822665" w:rsidRPr="00BF210F" w:rsidRDefault="00822665" w:rsidP="00D66A20">
      <w:pPr>
        <w:rPr>
          <w:rFonts w:cs="Arial"/>
          <w:sz w:val="16"/>
          <w:lang w:val="en-US"/>
        </w:rPr>
      </w:pPr>
      <w:r w:rsidRPr="00BF210F">
        <w:rPr>
          <w:rFonts w:cs="Arial"/>
          <w:sz w:val="16"/>
          <w:lang w:val="en-US"/>
        </w:rPr>
        <w:t>Random effect: p=0.842</w:t>
      </w:r>
      <w:r w:rsidR="000A17DE" w:rsidRPr="00BF210F">
        <w:rPr>
          <w:rFonts w:cs="Arial"/>
          <w:sz w:val="16"/>
          <w:lang w:val="en-US"/>
        </w:rPr>
        <w:t xml:space="preserve">. </w:t>
      </w:r>
      <w:r w:rsidR="000A17DE" w:rsidRPr="00BF210F">
        <w:rPr>
          <w:rFonts w:cs="Arial"/>
          <w:sz w:val="16"/>
          <w:szCs w:val="16"/>
          <w:lang w:val="en-US"/>
        </w:rPr>
        <w:t>CI=confidence interval; OR=odds ratio.</w:t>
      </w:r>
    </w:p>
    <w:p w14:paraId="2D3DE729" w14:textId="77777777" w:rsidR="00822665" w:rsidRPr="00BF210F" w:rsidRDefault="00822665" w:rsidP="00D66A20">
      <w:pPr>
        <w:rPr>
          <w:rFonts w:cs="Arial"/>
          <w:b/>
          <w:sz w:val="20"/>
          <w:lang w:val="en-US"/>
        </w:rPr>
      </w:pPr>
    </w:p>
    <w:p w14:paraId="3AD9E83C" w14:textId="77777777" w:rsidR="00D66A20" w:rsidRPr="00BF210F" w:rsidRDefault="00D66A20" w:rsidP="00D66A20">
      <w:pPr>
        <w:rPr>
          <w:rFonts w:cs="Arial"/>
          <w:b/>
          <w:sz w:val="20"/>
          <w:lang w:val="en-US"/>
        </w:rPr>
      </w:pPr>
    </w:p>
    <w:p w14:paraId="54AF258E" w14:textId="41139E2B" w:rsidR="001D4C0D" w:rsidRPr="00BF210F" w:rsidRDefault="00BF210F" w:rsidP="00D66A20">
      <w:pPr>
        <w:rPr>
          <w:rFonts w:cs="Arial"/>
          <w:sz w:val="24"/>
          <w:lang w:val="en-US"/>
        </w:rPr>
      </w:pPr>
      <w:r>
        <w:rPr>
          <w:rFonts w:cs="Arial"/>
          <w:b/>
          <w:sz w:val="24"/>
          <w:szCs w:val="24"/>
          <w:lang w:val="en-US"/>
        </w:rPr>
        <w:t xml:space="preserve">Supplementary </w:t>
      </w:r>
      <w:r w:rsidR="00FB16BD" w:rsidRPr="00BF210F">
        <w:rPr>
          <w:rFonts w:cs="Arial"/>
          <w:b/>
          <w:sz w:val="24"/>
          <w:lang w:val="en-US"/>
        </w:rPr>
        <w:t>T</w:t>
      </w:r>
      <w:r w:rsidR="003C37CE" w:rsidRPr="00BF210F">
        <w:rPr>
          <w:rFonts w:cs="Arial"/>
          <w:b/>
          <w:sz w:val="24"/>
          <w:lang w:val="en-US"/>
        </w:rPr>
        <w:t>able 1</w:t>
      </w:r>
      <w:r w:rsidR="005432BA" w:rsidRPr="00BF210F">
        <w:rPr>
          <w:rFonts w:cs="Arial"/>
          <w:b/>
          <w:sz w:val="24"/>
          <w:lang w:val="en-US"/>
        </w:rPr>
        <w:t>4</w:t>
      </w:r>
      <w:r w:rsidR="001D4C0D" w:rsidRPr="00BF210F">
        <w:rPr>
          <w:rFonts w:cs="Arial"/>
          <w:sz w:val="24"/>
          <w:lang w:val="en-US"/>
        </w:rPr>
        <w:t xml:space="preserve"> </w:t>
      </w:r>
      <w:r w:rsidR="001D4C0D" w:rsidRPr="00BF210F">
        <w:rPr>
          <w:rFonts w:cs="Arial"/>
          <w:b/>
          <w:sz w:val="24"/>
          <w:lang w:val="en-US"/>
        </w:rPr>
        <w:t xml:space="preserve">– </w:t>
      </w:r>
      <w:r w:rsidR="003C37CE" w:rsidRPr="00BF210F">
        <w:rPr>
          <w:rFonts w:cs="Arial"/>
          <w:b/>
          <w:sz w:val="24"/>
          <w:lang w:val="en-US"/>
        </w:rPr>
        <w:t xml:space="preserve">Sensitivity analysis of the odds of presenting with </w:t>
      </w:r>
      <w:r w:rsidR="001D4C0D" w:rsidRPr="00BF210F">
        <w:rPr>
          <w:rFonts w:cs="Arial"/>
          <w:b/>
          <w:sz w:val="24"/>
          <w:lang w:val="en-US"/>
        </w:rPr>
        <w:t xml:space="preserve">HER2-enriched subtype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1D4C0D" w:rsidRPr="00BF210F">
        <w:rPr>
          <w:rFonts w:cs="Arial"/>
          <w:b/>
          <w:sz w:val="24"/>
          <w:lang w:val="en-US"/>
        </w:rPr>
        <w:t>.</w:t>
      </w:r>
    </w:p>
    <w:p w14:paraId="5E4097AB" w14:textId="77777777" w:rsidR="001D4C0D" w:rsidRPr="00BF210F" w:rsidRDefault="001D4C0D" w:rsidP="00D66A20">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1D4C0D" w:rsidRPr="00BF210F" w14:paraId="77FE4541" w14:textId="77777777" w:rsidTr="00D65742">
        <w:tc>
          <w:tcPr>
            <w:tcW w:w="2098" w:type="dxa"/>
            <w:vMerge w:val="restart"/>
          </w:tcPr>
          <w:p w14:paraId="6F076837" w14:textId="77777777" w:rsidR="001D4C0D" w:rsidRPr="00BF210F" w:rsidRDefault="001D4C0D" w:rsidP="00D66A20">
            <w:pPr>
              <w:jc w:val="center"/>
              <w:rPr>
                <w:rFonts w:cs="Arial"/>
                <w:b/>
                <w:sz w:val="20"/>
                <w:szCs w:val="20"/>
              </w:rPr>
            </w:pPr>
            <w:r w:rsidRPr="00BF210F">
              <w:rPr>
                <w:rFonts w:cs="Arial"/>
                <w:b/>
                <w:sz w:val="20"/>
                <w:szCs w:val="20"/>
              </w:rPr>
              <w:t>Study excluded</w:t>
            </w:r>
          </w:p>
        </w:tc>
        <w:tc>
          <w:tcPr>
            <w:tcW w:w="4086" w:type="dxa"/>
            <w:gridSpan w:val="3"/>
          </w:tcPr>
          <w:p w14:paraId="0A35F1CE" w14:textId="77777777" w:rsidR="001D4C0D" w:rsidRPr="00BF210F" w:rsidRDefault="001D4C0D" w:rsidP="00D66A20">
            <w:pPr>
              <w:jc w:val="center"/>
              <w:rPr>
                <w:rFonts w:cs="Arial"/>
                <w:b/>
                <w:sz w:val="20"/>
                <w:szCs w:val="20"/>
              </w:rPr>
            </w:pPr>
            <w:r w:rsidRPr="00BF210F">
              <w:rPr>
                <w:rFonts w:cs="Arial"/>
                <w:b/>
                <w:sz w:val="20"/>
                <w:szCs w:val="20"/>
              </w:rPr>
              <w:t>Random effect</w:t>
            </w:r>
          </w:p>
        </w:tc>
        <w:tc>
          <w:tcPr>
            <w:tcW w:w="1539" w:type="dxa"/>
            <w:vMerge w:val="restart"/>
          </w:tcPr>
          <w:p w14:paraId="528A2DFF" w14:textId="2BA0EF34" w:rsidR="001D4C0D" w:rsidRPr="00BF210F" w:rsidRDefault="00C316F4"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w:t>
            </w:r>
            <w:r w:rsidR="001D4C0D" w:rsidRPr="00BF210F">
              <w:rPr>
                <w:rFonts w:cs="Arial"/>
                <w:b/>
                <w:sz w:val="20"/>
                <w:szCs w:val="20"/>
              </w:rPr>
              <w:t>(%)</w:t>
            </w:r>
          </w:p>
        </w:tc>
        <w:tc>
          <w:tcPr>
            <w:tcW w:w="1446" w:type="dxa"/>
            <w:vMerge w:val="restart"/>
          </w:tcPr>
          <w:p w14:paraId="1A137864" w14:textId="629E8BD2" w:rsidR="001D4C0D" w:rsidRPr="00BF210F" w:rsidRDefault="00C316F4"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001D4C0D" w:rsidRPr="00BF210F">
              <w:rPr>
                <w:rFonts w:cs="Arial"/>
                <w:b/>
                <w:sz w:val="20"/>
                <w:szCs w:val="20"/>
              </w:rPr>
              <w:t xml:space="preserve"> P-value</w:t>
            </w:r>
          </w:p>
        </w:tc>
      </w:tr>
      <w:tr w:rsidR="001D4C0D" w:rsidRPr="00BF210F" w14:paraId="1D80834A" w14:textId="77777777" w:rsidTr="00FB16BD">
        <w:tc>
          <w:tcPr>
            <w:tcW w:w="2098" w:type="dxa"/>
            <w:vMerge/>
          </w:tcPr>
          <w:p w14:paraId="70B3BFE7" w14:textId="77777777" w:rsidR="001D4C0D" w:rsidRPr="00BF210F" w:rsidRDefault="001D4C0D" w:rsidP="00D66A20">
            <w:pPr>
              <w:jc w:val="center"/>
              <w:rPr>
                <w:rFonts w:cs="Arial"/>
                <w:b/>
                <w:sz w:val="20"/>
                <w:szCs w:val="20"/>
              </w:rPr>
            </w:pPr>
          </w:p>
        </w:tc>
        <w:tc>
          <w:tcPr>
            <w:tcW w:w="1362" w:type="dxa"/>
          </w:tcPr>
          <w:p w14:paraId="3AD5F356" w14:textId="1322698F" w:rsidR="001D4C0D" w:rsidRPr="00BF210F" w:rsidRDefault="00ED1505" w:rsidP="00D66A20">
            <w:pPr>
              <w:jc w:val="center"/>
              <w:rPr>
                <w:rFonts w:cs="Arial"/>
                <w:b/>
                <w:sz w:val="20"/>
                <w:szCs w:val="20"/>
              </w:rPr>
            </w:pPr>
            <w:r w:rsidRPr="00BF210F">
              <w:rPr>
                <w:rFonts w:cs="Arial"/>
                <w:b/>
                <w:sz w:val="20"/>
                <w:szCs w:val="20"/>
              </w:rPr>
              <w:t xml:space="preserve">Pooled </w:t>
            </w:r>
            <w:r w:rsidR="001D4C0D" w:rsidRPr="00BF210F">
              <w:rPr>
                <w:rFonts w:cs="Arial"/>
                <w:b/>
                <w:sz w:val="20"/>
                <w:szCs w:val="20"/>
              </w:rPr>
              <w:t>OR</w:t>
            </w:r>
          </w:p>
        </w:tc>
        <w:tc>
          <w:tcPr>
            <w:tcW w:w="1362" w:type="dxa"/>
          </w:tcPr>
          <w:p w14:paraId="3CE4EBCE" w14:textId="77777777" w:rsidR="001D4C0D" w:rsidRPr="00BF210F" w:rsidRDefault="001D4C0D" w:rsidP="00D66A20">
            <w:pPr>
              <w:jc w:val="center"/>
              <w:rPr>
                <w:rFonts w:cs="Arial"/>
                <w:b/>
                <w:sz w:val="20"/>
                <w:szCs w:val="20"/>
              </w:rPr>
            </w:pPr>
            <w:r w:rsidRPr="00BF210F">
              <w:rPr>
                <w:rFonts w:cs="Arial"/>
                <w:b/>
                <w:sz w:val="20"/>
                <w:szCs w:val="20"/>
              </w:rPr>
              <w:t>95% CI</w:t>
            </w:r>
          </w:p>
        </w:tc>
        <w:tc>
          <w:tcPr>
            <w:tcW w:w="1362" w:type="dxa"/>
          </w:tcPr>
          <w:p w14:paraId="35371534" w14:textId="77777777" w:rsidR="001D4C0D" w:rsidRPr="00BF210F" w:rsidRDefault="001D4C0D" w:rsidP="00D66A20">
            <w:pPr>
              <w:jc w:val="center"/>
              <w:rPr>
                <w:rFonts w:cs="Arial"/>
                <w:b/>
                <w:sz w:val="20"/>
                <w:szCs w:val="20"/>
              </w:rPr>
            </w:pPr>
            <w:r w:rsidRPr="00BF210F">
              <w:rPr>
                <w:rFonts w:cs="Arial"/>
                <w:b/>
                <w:sz w:val="20"/>
                <w:szCs w:val="20"/>
              </w:rPr>
              <w:t>P-value</w:t>
            </w:r>
          </w:p>
        </w:tc>
        <w:tc>
          <w:tcPr>
            <w:tcW w:w="1539" w:type="dxa"/>
            <w:vMerge/>
          </w:tcPr>
          <w:p w14:paraId="1D353DCA" w14:textId="77777777" w:rsidR="001D4C0D" w:rsidRPr="00BF210F" w:rsidRDefault="001D4C0D" w:rsidP="00D66A20">
            <w:pPr>
              <w:jc w:val="center"/>
              <w:rPr>
                <w:rFonts w:cs="Arial"/>
                <w:b/>
                <w:sz w:val="20"/>
                <w:szCs w:val="20"/>
              </w:rPr>
            </w:pPr>
          </w:p>
        </w:tc>
        <w:tc>
          <w:tcPr>
            <w:tcW w:w="1446" w:type="dxa"/>
            <w:vMerge/>
          </w:tcPr>
          <w:p w14:paraId="1E903651" w14:textId="77777777" w:rsidR="001D4C0D" w:rsidRPr="00BF210F" w:rsidRDefault="001D4C0D" w:rsidP="00D66A20">
            <w:pPr>
              <w:jc w:val="center"/>
              <w:rPr>
                <w:rFonts w:cs="Arial"/>
                <w:b/>
                <w:sz w:val="20"/>
                <w:szCs w:val="20"/>
              </w:rPr>
            </w:pPr>
          </w:p>
        </w:tc>
      </w:tr>
      <w:tr w:rsidR="001D4C0D" w:rsidRPr="00BF210F" w14:paraId="161528A2" w14:textId="77777777" w:rsidTr="00FB16BD">
        <w:tc>
          <w:tcPr>
            <w:tcW w:w="2098" w:type="dxa"/>
          </w:tcPr>
          <w:p w14:paraId="66397AC2" w14:textId="77777777" w:rsidR="001D4C0D" w:rsidRPr="00BF210F" w:rsidRDefault="001D4C0D" w:rsidP="00D66A20">
            <w:pPr>
              <w:jc w:val="center"/>
              <w:rPr>
                <w:rFonts w:cs="Arial"/>
                <w:sz w:val="20"/>
                <w:szCs w:val="20"/>
              </w:rPr>
            </w:pPr>
            <w:r w:rsidRPr="00BF210F">
              <w:rPr>
                <w:rFonts w:cs="Arial"/>
                <w:sz w:val="20"/>
                <w:szCs w:val="20"/>
              </w:rPr>
              <w:t>Presti 2017</w:t>
            </w:r>
          </w:p>
        </w:tc>
        <w:tc>
          <w:tcPr>
            <w:tcW w:w="1362" w:type="dxa"/>
          </w:tcPr>
          <w:p w14:paraId="46274C41" w14:textId="77777777" w:rsidR="001D4C0D" w:rsidRPr="00BF210F" w:rsidRDefault="001D4C0D" w:rsidP="00D66A20">
            <w:pPr>
              <w:jc w:val="center"/>
              <w:rPr>
                <w:rFonts w:cs="Arial"/>
                <w:sz w:val="20"/>
                <w:szCs w:val="20"/>
              </w:rPr>
            </w:pPr>
            <w:r w:rsidRPr="00BF210F">
              <w:rPr>
                <w:rFonts w:cs="Arial"/>
                <w:sz w:val="20"/>
                <w:szCs w:val="20"/>
              </w:rPr>
              <w:t>0.83</w:t>
            </w:r>
          </w:p>
        </w:tc>
        <w:tc>
          <w:tcPr>
            <w:tcW w:w="1362" w:type="dxa"/>
          </w:tcPr>
          <w:p w14:paraId="6CA5230A" w14:textId="77777777" w:rsidR="001D4C0D" w:rsidRPr="00BF210F" w:rsidRDefault="001D4C0D" w:rsidP="00D66A20">
            <w:pPr>
              <w:jc w:val="center"/>
              <w:rPr>
                <w:rFonts w:cs="Arial"/>
                <w:sz w:val="20"/>
                <w:szCs w:val="20"/>
              </w:rPr>
            </w:pPr>
            <w:r w:rsidRPr="00BF210F">
              <w:rPr>
                <w:rFonts w:cs="Arial"/>
                <w:sz w:val="20"/>
                <w:szCs w:val="20"/>
              </w:rPr>
              <w:t>0.37-1.87</w:t>
            </w:r>
          </w:p>
        </w:tc>
        <w:tc>
          <w:tcPr>
            <w:tcW w:w="1362" w:type="dxa"/>
          </w:tcPr>
          <w:p w14:paraId="163E3723" w14:textId="77777777" w:rsidR="001D4C0D" w:rsidRPr="00BF210F" w:rsidRDefault="001D4C0D" w:rsidP="00D66A20">
            <w:pPr>
              <w:jc w:val="center"/>
              <w:rPr>
                <w:rFonts w:cs="Arial"/>
                <w:sz w:val="20"/>
                <w:szCs w:val="20"/>
              </w:rPr>
            </w:pPr>
            <w:r w:rsidRPr="00BF210F">
              <w:rPr>
                <w:rFonts w:cs="Arial"/>
                <w:sz w:val="20"/>
                <w:szCs w:val="20"/>
              </w:rPr>
              <w:t>0.650</w:t>
            </w:r>
          </w:p>
        </w:tc>
        <w:tc>
          <w:tcPr>
            <w:tcW w:w="1539" w:type="dxa"/>
          </w:tcPr>
          <w:p w14:paraId="6BD600F8" w14:textId="77777777" w:rsidR="001D4C0D" w:rsidRPr="00BF210F" w:rsidRDefault="001D4C0D" w:rsidP="00D66A20">
            <w:pPr>
              <w:jc w:val="center"/>
              <w:rPr>
                <w:rFonts w:cs="Arial"/>
                <w:sz w:val="20"/>
                <w:szCs w:val="20"/>
              </w:rPr>
            </w:pPr>
            <w:r w:rsidRPr="00BF210F">
              <w:rPr>
                <w:rFonts w:cs="Arial"/>
                <w:sz w:val="20"/>
                <w:szCs w:val="20"/>
              </w:rPr>
              <w:t>42.0</w:t>
            </w:r>
          </w:p>
        </w:tc>
        <w:tc>
          <w:tcPr>
            <w:tcW w:w="1446" w:type="dxa"/>
          </w:tcPr>
          <w:p w14:paraId="0BF02056" w14:textId="77777777" w:rsidR="001D4C0D" w:rsidRPr="00BF210F" w:rsidRDefault="001D4C0D" w:rsidP="00D66A20">
            <w:pPr>
              <w:jc w:val="center"/>
              <w:rPr>
                <w:rFonts w:cs="Arial"/>
                <w:sz w:val="20"/>
                <w:szCs w:val="20"/>
              </w:rPr>
            </w:pPr>
            <w:r w:rsidRPr="00BF210F">
              <w:rPr>
                <w:rFonts w:cs="Arial"/>
                <w:sz w:val="20"/>
                <w:szCs w:val="20"/>
              </w:rPr>
              <w:t>0.178</w:t>
            </w:r>
          </w:p>
        </w:tc>
      </w:tr>
      <w:tr w:rsidR="001D4C0D" w:rsidRPr="00BF210F" w14:paraId="6A0D74F4" w14:textId="77777777" w:rsidTr="00FB16BD">
        <w:tc>
          <w:tcPr>
            <w:tcW w:w="2098" w:type="dxa"/>
          </w:tcPr>
          <w:p w14:paraId="44C49AD4" w14:textId="77777777" w:rsidR="001D4C0D" w:rsidRPr="00BF210F" w:rsidRDefault="001D4C0D" w:rsidP="00D66A20">
            <w:pPr>
              <w:jc w:val="center"/>
              <w:rPr>
                <w:rFonts w:cs="Arial"/>
                <w:sz w:val="20"/>
                <w:szCs w:val="20"/>
              </w:rPr>
            </w:pPr>
            <w:r w:rsidRPr="00BF210F">
              <w:rPr>
                <w:rFonts w:cs="Arial"/>
                <w:sz w:val="20"/>
                <w:szCs w:val="20"/>
              </w:rPr>
              <w:t>Van Zyl 2018</w:t>
            </w:r>
          </w:p>
        </w:tc>
        <w:tc>
          <w:tcPr>
            <w:tcW w:w="1362" w:type="dxa"/>
          </w:tcPr>
          <w:p w14:paraId="457497E6" w14:textId="77777777" w:rsidR="001D4C0D" w:rsidRPr="00BF210F" w:rsidRDefault="001D4C0D" w:rsidP="00D66A20">
            <w:pPr>
              <w:jc w:val="center"/>
              <w:rPr>
                <w:rFonts w:cs="Arial"/>
                <w:sz w:val="20"/>
                <w:szCs w:val="20"/>
              </w:rPr>
            </w:pPr>
            <w:r w:rsidRPr="00BF210F">
              <w:rPr>
                <w:rFonts w:cs="Arial"/>
                <w:sz w:val="20"/>
                <w:szCs w:val="20"/>
              </w:rPr>
              <w:t>0.99</w:t>
            </w:r>
          </w:p>
        </w:tc>
        <w:tc>
          <w:tcPr>
            <w:tcW w:w="1362" w:type="dxa"/>
          </w:tcPr>
          <w:p w14:paraId="24F42713" w14:textId="77777777" w:rsidR="001D4C0D" w:rsidRPr="00BF210F" w:rsidRDefault="001D4C0D" w:rsidP="00D66A20">
            <w:pPr>
              <w:jc w:val="center"/>
              <w:rPr>
                <w:rFonts w:cs="Arial"/>
                <w:sz w:val="20"/>
                <w:szCs w:val="20"/>
              </w:rPr>
            </w:pPr>
            <w:r w:rsidRPr="00BF210F">
              <w:rPr>
                <w:rFonts w:cs="Arial"/>
                <w:sz w:val="20"/>
                <w:szCs w:val="20"/>
              </w:rPr>
              <w:t>0.34-2.93</w:t>
            </w:r>
          </w:p>
        </w:tc>
        <w:tc>
          <w:tcPr>
            <w:tcW w:w="1362" w:type="dxa"/>
          </w:tcPr>
          <w:p w14:paraId="458BD98C" w14:textId="77777777" w:rsidR="001D4C0D" w:rsidRPr="00BF210F" w:rsidRDefault="001D4C0D" w:rsidP="00D66A20">
            <w:pPr>
              <w:jc w:val="center"/>
              <w:rPr>
                <w:rFonts w:cs="Arial"/>
                <w:sz w:val="20"/>
                <w:szCs w:val="20"/>
              </w:rPr>
            </w:pPr>
            <w:r w:rsidRPr="00BF210F">
              <w:rPr>
                <w:rFonts w:cs="Arial"/>
                <w:sz w:val="20"/>
                <w:szCs w:val="20"/>
              </w:rPr>
              <w:t>0.992</w:t>
            </w:r>
          </w:p>
        </w:tc>
        <w:tc>
          <w:tcPr>
            <w:tcW w:w="1539" w:type="dxa"/>
          </w:tcPr>
          <w:p w14:paraId="21259AF1" w14:textId="77777777" w:rsidR="001D4C0D" w:rsidRPr="00BF210F" w:rsidRDefault="001D4C0D" w:rsidP="00D66A20">
            <w:pPr>
              <w:jc w:val="center"/>
              <w:rPr>
                <w:rFonts w:cs="Arial"/>
                <w:sz w:val="20"/>
                <w:szCs w:val="20"/>
              </w:rPr>
            </w:pPr>
            <w:r w:rsidRPr="00BF210F">
              <w:rPr>
                <w:rFonts w:cs="Arial"/>
                <w:sz w:val="20"/>
                <w:szCs w:val="20"/>
              </w:rPr>
              <w:t>69.2</w:t>
            </w:r>
          </w:p>
        </w:tc>
        <w:tc>
          <w:tcPr>
            <w:tcW w:w="1446" w:type="dxa"/>
          </w:tcPr>
          <w:p w14:paraId="3AB5C32D" w14:textId="77777777" w:rsidR="001D4C0D" w:rsidRPr="00BF210F" w:rsidRDefault="001D4C0D" w:rsidP="00D66A20">
            <w:pPr>
              <w:jc w:val="center"/>
              <w:rPr>
                <w:rFonts w:cs="Arial"/>
                <w:sz w:val="20"/>
                <w:szCs w:val="20"/>
              </w:rPr>
            </w:pPr>
            <w:r w:rsidRPr="00BF210F">
              <w:rPr>
                <w:rFonts w:cs="Arial"/>
                <w:sz w:val="20"/>
                <w:szCs w:val="20"/>
              </w:rPr>
              <w:t>0.039</w:t>
            </w:r>
          </w:p>
        </w:tc>
      </w:tr>
      <w:tr w:rsidR="001D4C0D" w:rsidRPr="00BF210F" w14:paraId="0E111F93" w14:textId="77777777" w:rsidTr="00FB16BD">
        <w:tc>
          <w:tcPr>
            <w:tcW w:w="2098" w:type="dxa"/>
          </w:tcPr>
          <w:p w14:paraId="214CAC27" w14:textId="77777777" w:rsidR="001D4C0D" w:rsidRPr="00BF210F" w:rsidRDefault="001D4C0D" w:rsidP="00D66A20">
            <w:pPr>
              <w:jc w:val="center"/>
              <w:rPr>
                <w:rFonts w:cs="Arial"/>
                <w:sz w:val="20"/>
                <w:szCs w:val="20"/>
              </w:rPr>
            </w:pPr>
            <w:r w:rsidRPr="00BF210F">
              <w:rPr>
                <w:rFonts w:cs="Arial"/>
                <w:sz w:val="20"/>
                <w:szCs w:val="20"/>
              </w:rPr>
              <w:t>Brandao 2019</w:t>
            </w:r>
          </w:p>
        </w:tc>
        <w:tc>
          <w:tcPr>
            <w:tcW w:w="1362" w:type="dxa"/>
          </w:tcPr>
          <w:p w14:paraId="15752325" w14:textId="77777777" w:rsidR="001D4C0D" w:rsidRPr="00BF210F" w:rsidRDefault="001D4C0D" w:rsidP="00D66A20">
            <w:pPr>
              <w:jc w:val="center"/>
              <w:rPr>
                <w:rFonts w:cs="Arial"/>
                <w:sz w:val="20"/>
                <w:szCs w:val="20"/>
              </w:rPr>
            </w:pPr>
            <w:r w:rsidRPr="00BF210F">
              <w:rPr>
                <w:rFonts w:cs="Arial"/>
                <w:sz w:val="20"/>
                <w:szCs w:val="20"/>
              </w:rPr>
              <w:t>1.34</w:t>
            </w:r>
          </w:p>
        </w:tc>
        <w:tc>
          <w:tcPr>
            <w:tcW w:w="1362" w:type="dxa"/>
          </w:tcPr>
          <w:p w14:paraId="49D20726" w14:textId="77777777" w:rsidR="001D4C0D" w:rsidRPr="00BF210F" w:rsidRDefault="001D4C0D" w:rsidP="00D66A20">
            <w:pPr>
              <w:jc w:val="center"/>
              <w:rPr>
                <w:rFonts w:cs="Arial"/>
                <w:sz w:val="20"/>
                <w:szCs w:val="20"/>
              </w:rPr>
            </w:pPr>
            <w:r w:rsidRPr="00BF210F">
              <w:rPr>
                <w:rFonts w:cs="Arial"/>
                <w:sz w:val="20"/>
                <w:szCs w:val="20"/>
              </w:rPr>
              <w:t>0.81-2.22</w:t>
            </w:r>
          </w:p>
        </w:tc>
        <w:tc>
          <w:tcPr>
            <w:tcW w:w="1362" w:type="dxa"/>
          </w:tcPr>
          <w:p w14:paraId="19692C4D" w14:textId="77777777" w:rsidR="001D4C0D" w:rsidRPr="00BF210F" w:rsidRDefault="001D4C0D" w:rsidP="00D66A20">
            <w:pPr>
              <w:jc w:val="center"/>
              <w:rPr>
                <w:rFonts w:cs="Arial"/>
                <w:sz w:val="20"/>
                <w:szCs w:val="20"/>
              </w:rPr>
            </w:pPr>
            <w:r w:rsidRPr="00BF210F">
              <w:rPr>
                <w:rFonts w:cs="Arial"/>
                <w:sz w:val="20"/>
                <w:szCs w:val="20"/>
              </w:rPr>
              <w:t>0.261</w:t>
            </w:r>
          </w:p>
        </w:tc>
        <w:tc>
          <w:tcPr>
            <w:tcW w:w="1539" w:type="dxa"/>
          </w:tcPr>
          <w:p w14:paraId="72D5443C" w14:textId="77777777" w:rsidR="001D4C0D" w:rsidRPr="00BF210F" w:rsidRDefault="001D4C0D" w:rsidP="00D66A20">
            <w:pPr>
              <w:jc w:val="center"/>
              <w:rPr>
                <w:rFonts w:cs="Arial"/>
                <w:sz w:val="20"/>
                <w:szCs w:val="20"/>
              </w:rPr>
            </w:pPr>
            <w:r w:rsidRPr="00BF210F">
              <w:rPr>
                <w:rFonts w:cs="Arial"/>
                <w:sz w:val="20"/>
                <w:szCs w:val="20"/>
              </w:rPr>
              <w:t>0.3</w:t>
            </w:r>
          </w:p>
        </w:tc>
        <w:tc>
          <w:tcPr>
            <w:tcW w:w="1446" w:type="dxa"/>
          </w:tcPr>
          <w:p w14:paraId="7AA7AFD3" w14:textId="77777777" w:rsidR="001D4C0D" w:rsidRPr="00BF210F" w:rsidRDefault="001D4C0D" w:rsidP="00D66A20">
            <w:pPr>
              <w:jc w:val="center"/>
              <w:rPr>
                <w:rFonts w:cs="Arial"/>
                <w:sz w:val="20"/>
                <w:szCs w:val="20"/>
              </w:rPr>
            </w:pPr>
            <w:r w:rsidRPr="00BF210F">
              <w:rPr>
                <w:rFonts w:cs="Arial"/>
                <w:sz w:val="20"/>
                <w:szCs w:val="20"/>
              </w:rPr>
              <w:t>0.367</w:t>
            </w:r>
          </w:p>
        </w:tc>
      </w:tr>
      <w:tr w:rsidR="001D4C0D" w:rsidRPr="00BF210F" w14:paraId="43AC187E" w14:textId="77777777" w:rsidTr="00FB16BD">
        <w:tc>
          <w:tcPr>
            <w:tcW w:w="2098" w:type="dxa"/>
          </w:tcPr>
          <w:p w14:paraId="41F50FDC" w14:textId="77777777" w:rsidR="001D4C0D" w:rsidRPr="00BF210F" w:rsidRDefault="001D4C0D" w:rsidP="00D66A20">
            <w:pPr>
              <w:jc w:val="center"/>
              <w:rPr>
                <w:rFonts w:cs="Arial"/>
                <w:sz w:val="20"/>
                <w:szCs w:val="20"/>
              </w:rPr>
            </w:pPr>
            <w:r w:rsidRPr="00BF210F">
              <w:rPr>
                <w:rFonts w:cs="Arial"/>
                <w:sz w:val="20"/>
                <w:szCs w:val="20"/>
              </w:rPr>
              <w:t>Phakathi 2019</w:t>
            </w:r>
          </w:p>
        </w:tc>
        <w:tc>
          <w:tcPr>
            <w:tcW w:w="1362" w:type="dxa"/>
          </w:tcPr>
          <w:p w14:paraId="716E535F" w14:textId="77777777" w:rsidR="001D4C0D" w:rsidRPr="00BF210F" w:rsidRDefault="001D4C0D" w:rsidP="00D66A20">
            <w:pPr>
              <w:jc w:val="center"/>
              <w:rPr>
                <w:rFonts w:cs="Arial"/>
                <w:sz w:val="20"/>
                <w:szCs w:val="20"/>
              </w:rPr>
            </w:pPr>
            <w:r w:rsidRPr="00BF210F">
              <w:rPr>
                <w:rFonts w:cs="Arial"/>
                <w:sz w:val="20"/>
                <w:szCs w:val="20"/>
              </w:rPr>
              <w:t>1.03</w:t>
            </w:r>
          </w:p>
        </w:tc>
        <w:tc>
          <w:tcPr>
            <w:tcW w:w="1362" w:type="dxa"/>
          </w:tcPr>
          <w:p w14:paraId="3081454B" w14:textId="77777777" w:rsidR="001D4C0D" w:rsidRPr="00BF210F" w:rsidRDefault="001D4C0D" w:rsidP="00D66A20">
            <w:pPr>
              <w:jc w:val="center"/>
              <w:rPr>
                <w:rFonts w:cs="Arial"/>
                <w:sz w:val="20"/>
                <w:szCs w:val="20"/>
              </w:rPr>
            </w:pPr>
            <w:r w:rsidRPr="00BF210F">
              <w:rPr>
                <w:rFonts w:cs="Arial"/>
                <w:sz w:val="20"/>
                <w:szCs w:val="20"/>
              </w:rPr>
              <w:t>0.27-3.99</w:t>
            </w:r>
          </w:p>
        </w:tc>
        <w:tc>
          <w:tcPr>
            <w:tcW w:w="1362" w:type="dxa"/>
          </w:tcPr>
          <w:p w14:paraId="6A4C29BB" w14:textId="77777777" w:rsidR="001D4C0D" w:rsidRPr="00BF210F" w:rsidRDefault="001D4C0D" w:rsidP="00D66A20">
            <w:pPr>
              <w:jc w:val="center"/>
              <w:rPr>
                <w:rFonts w:cs="Arial"/>
                <w:sz w:val="20"/>
                <w:szCs w:val="20"/>
              </w:rPr>
            </w:pPr>
            <w:r w:rsidRPr="00BF210F">
              <w:rPr>
                <w:rFonts w:cs="Arial"/>
                <w:sz w:val="20"/>
                <w:szCs w:val="20"/>
              </w:rPr>
              <w:t>0.966</w:t>
            </w:r>
          </w:p>
        </w:tc>
        <w:tc>
          <w:tcPr>
            <w:tcW w:w="1539" w:type="dxa"/>
          </w:tcPr>
          <w:p w14:paraId="06E9E2D3" w14:textId="77777777" w:rsidR="001D4C0D" w:rsidRPr="00BF210F" w:rsidRDefault="001D4C0D" w:rsidP="00D66A20">
            <w:pPr>
              <w:jc w:val="center"/>
              <w:rPr>
                <w:rFonts w:cs="Arial"/>
                <w:sz w:val="20"/>
                <w:szCs w:val="20"/>
              </w:rPr>
            </w:pPr>
            <w:r w:rsidRPr="00BF210F">
              <w:rPr>
                <w:rFonts w:cs="Arial"/>
                <w:sz w:val="20"/>
                <w:szCs w:val="20"/>
              </w:rPr>
              <w:t>70.5</w:t>
            </w:r>
          </w:p>
        </w:tc>
        <w:tc>
          <w:tcPr>
            <w:tcW w:w="1446" w:type="dxa"/>
          </w:tcPr>
          <w:p w14:paraId="55AF5DBE" w14:textId="77777777" w:rsidR="001D4C0D" w:rsidRPr="00BF210F" w:rsidRDefault="001D4C0D" w:rsidP="00D66A20">
            <w:pPr>
              <w:jc w:val="center"/>
              <w:rPr>
                <w:rFonts w:cs="Arial"/>
                <w:sz w:val="20"/>
                <w:szCs w:val="20"/>
              </w:rPr>
            </w:pPr>
            <w:r w:rsidRPr="00BF210F">
              <w:rPr>
                <w:rFonts w:cs="Arial"/>
                <w:sz w:val="20"/>
                <w:szCs w:val="20"/>
              </w:rPr>
              <w:t>0.034</w:t>
            </w:r>
          </w:p>
        </w:tc>
      </w:tr>
    </w:tbl>
    <w:p w14:paraId="2A384680" w14:textId="77777777" w:rsidR="00ED1505" w:rsidRPr="00BF210F" w:rsidRDefault="00ED1505" w:rsidP="00ED1505">
      <w:pPr>
        <w:rPr>
          <w:rFonts w:cs="Arial"/>
          <w:sz w:val="16"/>
          <w:lang w:val="en-US"/>
        </w:rPr>
      </w:pPr>
      <w:r w:rsidRPr="00BF210F">
        <w:rPr>
          <w:rFonts w:cs="Arial"/>
          <w:sz w:val="16"/>
          <w:lang w:val="en-US"/>
        </w:rPr>
        <w:t>CI: confidence interval; OR: odds ratio.</w:t>
      </w:r>
    </w:p>
    <w:p w14:paraId="3C3464C7" w14:textId="77777777" w:rsidR="001D4C0D" w:rsidRPr="00BF210F" w:rsidRDefault="001D4C0D" w:rsidP="00D66A20">
      <w:pPr>
        <w:rPr>
          <w:rFonts w:cs="Arial"/>
          <w:lang w:val="en-US"/>
        </w:rPr>
      </w:pPr>
    </w:p>
    <w:p w14:paraId="410AF950" w14:textId="77777777" w:rsidR="00921509" w:rsidRPr="00BF210F" w:rsidRDefault="00921509" w:rsidP="00D66A20">
      <w:pPr>
        <w:rPr>
          <w:rFonts w:cs="Arial"/>
          <w:lang w:val="en-US"/>
        </w:rPr>
      </w:pPr>
    </w:p>
    <w:p w14:paraId="5D0B55CA" w14:textId="77777777" w:rsidR="00EA43C5" w:rsidRPr="00BF210F" w:rsidRDefault="00EA43C5" w:rsidP="00D66A20">
      <w:pPr>
        <w:rPr>
          <w:rFonts w:cs="Arial"/>
          <w:lang w:val="en-US"/>
        </w:rPr>
      </w:pPr>
      <w:r w:rsidRPr="00BF210F">
        <w:rPr>
          <w:rFonts w:cs="Arial"/>
          <w:lang w:val="en-US"/>
        </w:rPr>
        <w:br w:type="page"/>
      </w:r>
    </w:p>
    <w:p w14:paraId="16E71D86" w14:textId="44192FFF" w:rsidR="00921509" w:rsidRPr="00BF210F" w:rsidRDefault="00BF210F" w:rsidP="00D66A20">
      <w:pPr>
        <w:rPr>
          <w:rFonts w:cs="Arial"/>
          <w:b/>
          <w:sz w:val="24"/>
          <w:lang w:val="en-US"/>
        </w:rPr>
      </w:pPr>
      <w:r>
        <w:rPr>
          <w:rFonts w:cs="Arial"/>
          <w:b/>
          <w:sz w:val="24"/>
          <w:szCs w:val="24"/>
          <w:lang w:val="en-US"/>
        </w:rPr>
        <w:lastRenderedPageBreak/>
        <w:t xml:space="preserve">Supplementary </w:t>
      </w:r>
      <w:r w:rsidR="00921509" w:rsidRPr="00BF210F">
        <w:rPr>
          <w:rFonts w:cs="Arial"/>
          <w:b/>
          <w:sz w:val="24"/>
          <w:lang w:val="en-US"/>
        </w:rPr>
        <w:t xml:space="preserve">Figure </w:t>
      </w:r>
      <w:r w:rsidR="003C37CE" w:rsidRPr="00BF210F">
        <w:rPr>
          <w:rFonts w:cs="Arial"/>
          <w:b/>
          <w:sz w:val="24"/>
          <w:lang w:val="en-US"/>
        </w:rPr>
        <w:t>19</w:t>
      </w:r>
      <w:r w:rsidR="00123E57" w:rsidRPr="00BF210F">
        <w:rPr>
          <w:rFonts w:cs="Arial"/>
          <w:b/>
          <w:sz w:val="24"/>
          <w:lang w:val="en-US"/>
        </w:rPr>
        <w:t xml:space="preserve"> –</w:t>
      </w:r>
      <w:r w:rsidR="00921509" w:rsidRPr="00BF210F">
        <w:rPr>
          <w:rFonts w:cs="Arial"/>
          <w:b/>
          <w:sz w:val="24"/>
          <w:lang w:val="en-US"/>
        </w:rPr>
        <w:t xml:space="preserve"> </w:t>
      </w:r>
      <w:r w:rsidR="003C37CE" w:rsidRPr="00BF210F">
        <w:rPr>
          <w:rFonts w:cs="Arial"/>
          <w:b/>
          <w:sz w:val="24"/>
          <w:lang w:val="en-US"/>
        </w:rPr>
        <w:t xml:space="preserve">Meta-analysis of the odds of presenting with </w:t>
      </w:r>
      <w:r w:rsidR="00921509" w:rsidRPr="00BF210F">
        <w:rPr>
          <w:rFonts w:cs="Arial"/>
          <w:b/>
          <w:sz w:val="24"/>
          <w:lang w:val="en-US"/>
        </w:rPr>
        <w:t xml:space="preserve">estrogen receptor-positive status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921509" w:rsidRPr="00BF210F">
        <w:rPr>
          <w:rFonts w:cs="Arial"/>
          <w:b/>
          <w:sz w:val="24"/>
          <w:lang w:val="en-US"/>
        </w:rPr>
        <w:t>.</w:t>
      </w:r>
      <w:r w:rsidR="00896EA9" w:rsidRPr="00BF210F">
        <w:rPr>
          <w:rFonts w:cs="Arial"/>
          <w:b/>
          <w:noProof/>
          <w:sz w:val="24"/>
          <w:lang w:eastAsia="en-GB"/>
        </w:rPr>
        <w:t xml:space="preserve"> </w:t>
      </w:r>
    </w:p>
    <w:p w14:paraId="3B6449D0" w14:textId="77777777" w:rsidR="00921509" w:rsidRPr="00BF210F" w:rsidRDefault="00921509" w:rsidP="00D66A20">
      <w:pPr>
        <w:rPr>
          <w:rFonts w:cs="Arial"/>
          <w:b/>
          <w:sz w:val="20"/>
          <w:lang w:val="en-US"/>
        </w:rPr>
      </w:pPr>
    </w:p>
    <w:p w14:paraId="117089E1" w14:textId="77777777" w:rsidR="00921509" w:rsidRPr="00BF210F" w:rsidRDefault="00896EA9" w:rsidP="00D66A20">
      <w:pPr>
        <w:rPr>
          <w:rFonts w:cs="Arial"/>
          <w:lang w:val="en-US"/>
        </w:rPr>
      </w:pPr>
      <w:r w:rsidRPr="00BF210F">
        <w:rPr>
          <w:rFonts w:cs="Arial"/>
          <w:noProof/>
          <w:lang w:val="pt-PT" w:eastAsia="pt-PT"/>
        </w:rPr>
        <mc:AlternateContent>
          <mc:Choice Requires="wps">
            <w:drawing>
              <wp:anchor distT="0" distB="0" distL="114300" distR="114300" simplePos="0" relativeHeight="251673600" behindDoc="0" locked="0" layoutInCell="1" allowOverlap="1" wp14:anchorId="58A64487" wp14:editId="7D9FDB63">
                <wp:simplePos x="0" y="0"/>
                <wp:positionH relativeFrom="column">
                  <wp:posOffset>1934210</wp:posOffset>
                </wp:positionH>
                <wp:positionV relativeFrom="paragraph">
                  <wp:posOffset>4048287</wp:posOffset>
                </wp:positionV>
                <wp:extent cx="889000" cy="222250"/>
                <wp:effectExtent l="0" t="0" r="0" b="0"/>
                <wp:wrapNone/>
                <wp:docPr id="37" name="Rectangle 37"/>
                <wp:cNvGraphicFramePr/>
                <a:graphic xmlns:a="http://schemas.openxmlformats.org/drawingml/2006/main">
                  <a:graphicData uri="http://schemas.microsoft.com/office/word/2010/wordprocessingShape">
                    <wps:wsp>
                      <wps:cNvSpPr/>
                      <wps:spPr>
                        <a:xfrm>
                          <a:off x="0" y="0"/>
                          <a:ext cx="889000" cy="2222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76190B6" w14:textId="54D9A03D" w:rsidR="00363D1D" w:rsidRPr="00896EA9" w:rsidRDefault="00363D1D" w:rsidP="00896EA9">
                            <w:pPr>
                              <w:jc w:val="center"/>
                              <w:rPr>
                                <w:sz w:val="16"/>
                                <w:szCs w:val="16"/>
                                <w:lang w:val="en-US"/>
                              </w:rPr>
                            </w:pPr>
                            <w:r>
                              <w:rPr>
                                <w:sz w:val="16"/>
                                <w:szCs w:val="16"/>
                                <w:lang w:val="en-US"/>
                              </w:rPr>
                              <w:t>OR (95% 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A64487" id="Rectangle 37" o:spid="_x0000_s1033" style="position:absolute;margin-left:152.3pt;margin-top:318.75pt;width:70pt;height:1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" filled="f" stroked="f" strokeweight="2pt">
                <v:textbox>
                  <w:txbxContent>
                    <w:p w14:paraId="276190B6" w14:textId="54D9A03D" w:rsidR="00363D1D" w:rsidRPr="00896EA9" w:rsidRDefault="00363D1D" w:rsidP="00896EA9">
                      <w:pPr>
                        <w:jc w:val="center"/>
                        <w:rPr>
                          <w:sz w:val="16"/>
                          <w:szCs w:val="16"/>
                          <w:lang w:val="en-US"/>
                        </w:rPr>
                      </w:pPr>
                      <w:r>
                        <w:rPr>
                          <w:sz w:val="16"/>
                          <w:szCs w:val="16"/>
                          <w:lang w:val="en-US"/>
                        </w:rPr>
                        <w:t>OR (95% CI)</w:t>
                      </w:r>
                    </w:p>
                  </w:txbxContent>
                </v:textbox>
              </v:rect>
            </w:pict>
          </mc:Fallback>
        </mc:AlternateContent>
      </w:r>
      <w:r w:rsidR="00921509" w:rsidRPr="00BF210F">
        <w:rPr>
          <w:rFonts w:cs="Arial"/>
          <w:noProof/>
          <w:lang w:val="pt-PT" w:eastAsia="pt-PT"/>
        </w:rPr>
        <w:drawing>
          <wp:inline distT="0" distB="0" distL="0" distR="0" wp14:anchorId="78B057D4" wp14:editId="20264B64">
            <wp:extent cx="6120130" cy="4359067"/>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4359067"/>
                    </a:xfrm>
                    <a:prstGeom prst="rect">
                      <a:avLst/>
                    </a:prstGeom>
                    <a:noFill/>
                    <a:ln>
                      <a:noFill/>
                    </a:ln>
                  </pic:spPr>
                </pic:pic>
              </a:graphicData>
            </a:graphic>
          </wp:inline>
        </w:drawing>
      </w:r>
    </w:p>
    <w:p w14:paraId="256643FF" w14:textId="797DCC5E" w:rsidR="00822665" w:rsidRPr="00BF210F" w:rsidRDefault="00822665" w:rsidP="00D66A20">
      <w:pPr>
        <w:rPr>
          <w:rFonts w:cs="Arial"/>
          <w:sz w:val="16"/>
          <w:lang w:val="en-US"/>
        </w:rPr>
      </w:pPr>
      <w:r w:rsidRPr="00BF210F">
        <w:rPr>
          <w:rFonts w:cs="Arial"/>
          <w:sz w:val="16"/>
          <w:lang w:val="en-US"/>
        </w:rPr>
        <w:t>Random effect: p=0.112</w:t>
      </w:r>
      <w:r w:rsidR="002119EA" w:rsidRPr="00BF210F">
        <w:rPr>
          <w:rFonts w:cs="Arial"/>
          <w:sz w:val="16"/>
          <w:lang w:val="en-US"/>
        </w:rPr>
        <w:t xml:space="preserve">. </w:t>
      </w:r>
      <w:r w:rsidR="002119EA" w:rsidRPr="00BF210F">
        <w:rPr>
          <w:rFonts w:cs="Arial"/>
          <w:sz w:val="16"/>
          <w:szCs w:val="16"/>
          <w:lang w:val="en-US"/>
        </w:rPr>
        <w:t>CI=confidence interval; OR=odds ratio.</w:t>
      </w:r>
    </w:p>
    <w:p w14:paraId="5F4B5D82" w14:textId="77777777" w:rsidR="00921509" w:rsidRPr="00BF210F" w:rsidRDefault="00921509" w:rsidP="00D66A20">
      <w:pPr>
        <w:rPr>
          <w:rFonts w:cs="Arial"/>
          <w:sz w:val="20"/>
          <w:lang w:val="en-US"/>
        </w:rPr>
      </w:pPr>
    </w:p>
    <w:p w14:paraId="694F3631" w14:textId="77777777" w:rsidR="00D66A20" w:rsidRPr="00BF210F" w:rsidRDefault="00D66A20" w:rsidP="00D66A20">
      <w:pPr>
        <w:rPr>
          <w:rFonts w:cs="Arial"/>
          <w:sz w:val="20"/>
          <w:lang w:val="en-US"/>
        </w:rPr>
      </w:pPr>
    </w:p>
    <w:p w14:paraId="1EDEDA35" w14:textId="31AFEF0E" w:rsidR="00921509" w:rsidRPr="00BF210F" w:rsidRDefault="00BF210F" w:rsidP="00D66A20">
      <w:pPr>
        <w:rPr>
          <w:rFonts w:cs="Arial"/>
          <w:sz w:val="24"/>
          <w:lang w:val="en-US"/>
        </w:rPr>
      </w:pPr>
      <w:r>
        <w:rPr>
          <w:rFonts w:cs="Arial"/>
          <w:b/>
          <w:sz w:val="24"/>
          <w:szCs w:val="24"/>
          <w:lang w:val="en-US"/>
        </w:rPr>
        <w:t xml:space="preserve">Supplementary </w:t>
      </w:r>
      <w:r w:rsidR="00921509" w:rsidRPr="00BF210F">
        <w:rPr>
          <w:rFonts w:cs="Arial"/>
          <w:b/>
          <w:sz w:val="24"/>
          <w:lang w:val="en-US"/>
        </w:rPr>
        <w:t>Table 1</w:t>
      </w:r>
      <w:r w:rsidR="005432BA" w:rsidRPr="00BF210F">
        <w:rPr>
          <w:rFonts w:cs="Arial"/>
          <w:b/>
          <w:sz w:val="24"/>
          <w:lang w:val="en-US"/>
        </w:rPr>
        <w:t>5</w:t>
      </w:r>
      <w:r w:rsidR="00921509" w:rsidRPr="00BF210F">
        <w:rPr>
          <w:rFonts w:cs="Arial"/>
          <w:sz w:val="24"/>
          <w:lang w:val="en-US"/>
        </w:rPr>
        <w:t xml:space="preserve"> </w:t>
      </w:r>
      <w:r w:rsidR="00921509" w:rsidRPr="00BF210F">
        <w:rPr>
          <w:rFonts w:cs="Arial"/>
          <w:b/>
          <w:sz w:val="24"/>
          <w:lang w:val="en-US"/>
        </w:rPr>
        <w:t xml:space="preserve">– </w:t>
      </w:r>
      <w:r w:rsidR="004C2696" w:rsidRPr="00BF210F">
        <w:rPr>
          <w:rFonts w:cs="Arial"/>
          <w:b/>
          <w:sz w:val="24"/>
          <w:lang w:val="en-US"/>
        </w:rPr>
        <w:t xml:space="preserve">Sensitivity analysis of the odds of presenting with </w:t>
      </w:r>
      <w:r w:rsidR="00921509" w:rsidRPr="00BF210F">
        <w:rPr>
          <w:rFonts w:cs="Arial"/>
          <w:b/>
          <w:sz w:val="24"/>
          <w:lang w:val="en-US"/>
        </w:rPr>
        <w:t xml:space="preserve">estrogen receptor-positive status </w:t>
      </w:r>
      <w:r w:rsidR="009258FF" w:rsidRPr="00BF210F">
        <w:rPr>
          <w:rFonts w:cs="Arial"/>
          <w:b/>
          <w:sz w:val="24"/>
          <w:szCs w:val="24"/>
          <w:lang w:val="en-US"/>
        </w:rPr>
        <w:t xml:space="preserve">among </w:t>
      </w:r>
      <w:r w:rsidR="009258FF">
        <w:rPr>
          <w:rFonts w:cs="Arial"/>
          <w:b/>
          <w:sz w:val="24"/>
          <w:szCs w:val="24"/>
          <w:lang w:val="en-US"/>
        </w:rPr>
        <w:t>WLWH</w:t>
      </w:r>
      <w:r w:rsidR="009258FF" w:rsidRPr="00BF210F">
        <w:rPr>
          <w:rFonts w:cs="Arial"/>
          <w:b/>
          <w:sz w:val="24"/>
          <w:szCs w:val="24"/>
          <w:lang w:val="en-US"/>
        </w:rPr>
        <w:t xml:space="preserve"> compared with HIV-negative </w:t>
      </w:r>
      <w:r w:rsidR="009258FF">
        <w:rPr>
          <w:rFonts w:cs="Arial"/>
          <w:b/>
          <w:sz w:val="24"/>
          <w:szCs w:val="24"/>
          <w:lang w:val="en-US"/>
        </w:rPr>
        <w:t xml:space="preserve">women with </w:t>
      </w:r>
      <w:r w:rsidR="009258FF" w:rsidRPr="00BF210F">
        <w:rPr>
          <w:rFonts w:cs="Arial"/>
          <w:b/>
          <w:sz w:val="24"/>
          <w:szCs w:val="24"/>
          <w:lang w:val="en-US"/>
        </w:rPr>
        <w:t>breast cancer</w:t>
      </w:r>
      <w:r w:rsidR="00921509" w:rsidRPr="00BF210F">
        <w:rPr>
          <w:rFonts w:cs="Arial"/>
          <w:b/>
          <w:sz w:val="24"/>
          <w:lang w:val="en-US"/>
        </w:rPr>
        <w:t>.</w:t>
      </w:r>
    </w:p>
    <w:p w14:paraId="6665E603" w14:textId="77777777" w:rsidR="00921509" w:rsidRPr="00BF210F" w:rsidRDefault="00921509" w:rsidP="00D66A20">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921509" w:rsidRPr="00BF210F" w14:paraId="0132CEEF" w14:textId="77777777" w:rsidTr="00D65742">
        <w:tc>
          <w:tcPr>
            <w:tcW w:w="2098" w:type="dxa"/>
            <w:vMerge w:val="restart"/>
          </w:tcPr>
          <w:p w14:paraId="6E35FB38" w14:textId="77777777" w:rsidR="00921509" w:rsidRPr="00BF210F" w:rsidRDefault="00921509" w:rsidP="00D66A20">
            <w:pPr>
              <w:jc w:val="center"/>
              <w:rPr>
                <w:rFonts w:cs="Arial"/>
                <w:b/>
                <w:sz w:val="20"/>
                <w:szCs w:val="20"/>
              </w:rPr>
            </w:pPr>
            <w:r w:rsidRPr="00BF210F">
              <w:rPr>
                <w:rFonts w:cs="Arial"/>
                <w:b/>
                <w:sz w:val="20"/>
                <w:szCs w:val="20"/>
              </w:rPr>
              <w:t>Study excluded</w:t>
            </w:r>
          </w:p>
        </w:tc>
        <w:tc>
          <w:tcPr>
            <w:tcW w:w="4086" w:type="dxa"/>
            <w:gridSpan w:val="3"/>
          </w:tcPr>
          <w:p w14:paraId="27F39665" w14:textId="77777777" w:rsidR="00921509" w:rsidRPr="00BF210F" w:rsidRDefault="00921509" w:rsidP="00D66A20">
            <w:pPr>
              <w:jc w:val="center"/>
              <w:rPr>
                <w:rFonts w:cs="Arial"/>
                <w:b/>
                <w:sz w:val="20"/>
                <w:szCs w:val="20"/>
              </w:rPr>
            </w:pPr>
            <w:r w:rsidRPr="00BF210F">
              <w:rPr>
                <w:rFonts w:cs="Arial"/>
                <w:b/>
                <w:sz w:val="20"/>
                <w:szCs w:val="20"/>
              </w:rPr>
              <w:t>Random effect</w:t>
            </w:r>
          </w:p>
        </w:tc>
        <w:tc>
          <w:tcPr>
            <w:tcW w:w="1539" w:type="dxa"/>
            <w:vMerge w:val="restart"/>
          </w:tcPr>
          <w:p w14:paraId="46DD6EB1" w14:textId="00533E7E" w:rsidR="00921509" w:rsidRPr="00BF210F" w:rsidRDefault="00C316F4"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w:t>
            </w:r>
            <w:r w:rsidR="00921509" w:rsidRPr="00BF210F">
              <w:rPr>
                <w:rFonts w:cs="Arial"/>
                <w:b/>
                <w:sz w:val="20"/>
                <w:szCs w:val="20"/>
              </w:rPr>
              <w:t>(%)</w:t>
            </w:r>
          </w:p>
        </w:tc>
        <w:tc>
          <w:tcPr>
            <w:tcW w:w="1446" w:type="dxa"/>
            <w:vMerge w:val="restart"/>
          </w:tcPr>
          <w:p w14:paraId="37EC5983" w14:textId="1B42B548" w:rsidR="00921509" w:rsidRPr="00BF210F" w:rsidRDefault="00C316F4" w:rsidP="00D66A20">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00921509" w:rsidRPr="00BF210F">
              <w:rPr>
                <w:rFonts w:cs="Arial"/>
                <w:b/>
                <w:sz w:val="20"/>
                <w:szCs w:val="20"/>
              </w:rPr>
              <w:t xml:space="preserve"> P-value</w:t>
            </w:r>
          </w:p>
        </w:tc>
      </w:tr>
      <w:tr w:rsidR="00921509" w:rsidRPr="00BF210F" w14:paraId="50FEB102" w14:textId="77777777" w:rsidTr="00953521">
        <w:tc>
          <w:tcPr>
            <w:tcW w:w="2098" w:type="dxa"/>
            <w:vMerge/>
          </w:tcPr>
          <w:p w14:paraId="15396039" w14:textId="77777777" w:rsidR="00921509" w:rsidRPr="00BF210F" w:rsidRDefault="00921509" w:rsidP="00D66A20">
            <w:pPr>
              <w:jc w:val="center"/>
              <w:rPr>
                <w:rFonts w:cs="Arial"/>
                <w:b/>
                <w:sz w:val="20"/>
                <w:szCs w:val="20"/>
              </w:rPr>
            </w:pPr>
          </w:p>
        </w:tc>
        <w:tc>
          <w:tcPr>
            <w:tcW w:w="1362" w:type="dxa"/>
          </w:tcPr>
          <w:p w14:paraId="552D236E" w14:textId="4BF57524" w:rsidR="00921509" w:rsidRPr="00BF210F" w:rsidRDefault="00ED1505" w:rsidP="00D66A20">
            <w:pPr>
              <w:jc w:val="center"/>
              <w:rPr>
                <w:rFonts w:cs="Arial"/>
                <w:b/>
                <w:sz w:val="20"/>
                <w:szCs w:val="20"/>
              </w:rPr>
            </w:pPr>
            <w:r w:rsidRPr="00BF210F">
              <w:rPr>
                <w:rFonts w:cs="Arial"/>
                <w:b/>
                <w:sz w:val="20"/>
                <w:szCs w:val="20"/>
              </w:rPr>
              <w:t xml:space="preserve">Pooled </w:t>
            </w:r>
            <w:r w:rsidR="00921509" w:rsidRPr="00BF210F">
              <w:rPr>
                <w:rFonts w:cs="Arial"/>
                <w:b/>
                <w:sz w:val="20"/>
                <w:szCs w:val="20"/>
              </w:rPr>
              <w:t>OR</w:t>
            </w:r>
          </w:p>
        </w:tc>
        <w:tc>
          <w:tcPr>
            <w:tcW w:w="1362" w:type="dxa"/>
          </w:tcPr>
          <w:p w14:paraId="3FB50532" w14:textId="77777777" w:rsidR="00921509" w:rsidRPr="00BF210F" w:rsidRDefault="00921509" w:rsidP="00D66A20">
            <w:pPr>
              <w:jc w:val="center"/>
              <w:rPr>
                <w:rFonts w:cs="Arial"/>
                <w:b/>
                <w:sz w:val="20"/>
                <w:szCs w:val="20"/>
              </w:rPr>
            </w:pPr>
            <w:r w:rsidRPr="00BF210F">
              <w:rPr>
                <w:rFonts w:cs="Arial"/>
                <w:b/>
                <w:sz w:val="20"/>
                <w:szCs w:val="20"/>
              </w:rPr>
              <w:t>95% CI</w:t>
            </w:r>
          </w:p>
        </w:tc>
        <w:tc>
          <w:tcPr>
            <w:tcW w:w="1362" w:type="dxa"/>
          </w:tcPr>
          <w:p w14:paraId="1E95233C" w14:textId="77777777" w:rsidR="00921509" w:rsidRPr="00BF210F" w:rsidRDefault="00921509" w:rsidP="00D66A20">
            <w:pPr>
              <w:jc w:val="center"/>
              <w:rPr>
                <w:rFonts w:cs="Arial"/>
                <w:b/>
                <w:sz w:val="20"/>
                <w:szCs w:val="20"/>
              </w:rPr>
            </w:pPr>
            <w:r w:rsidRPr="00BF210F">
              <w:rPr>
                <w:rFonts w:cs="Arial"/>
                <w:b/>
                <w:sz w:val="20"/>
                <w:szCs w:val="20"/>
              </w:rPr>
              <w:t>P-value</w:t>
            </w:r>
          </w:p>
        </w:tc>
        <w:tc>
          <w:tcPr>
            <w:tcW w:w="1539" w:type="dxa"/>
            <w:vMerge/>
          </w:tcPr>
          <w:p w14:paraId="5A7586FE" w14:textId="77777777" w:rsidR="00921509" w:rsidRPr="00BF210F" w:rsidRDefault="00921509" w:rsidP="00D66A20">
            <w:pPr>
              <w:jc w:val="center"/>
              <w:rPr>
                <w:rFonts w:cs="Arial"/>
                <w:b/>
                <w:sz w:val="20"/>
                <w:szCs w:val="20"/>
              </w:rPr>
            </w:pPr>
          </w:p>
        </w:tc>
        <w:tc>
          <w:tcPr>
            <w:tcW w:w="1446" w:type="dxa"/>
            <w:vMerge/>
          </w:tcPr>
          <w:p w14:paraId="69C8A213" w14:textId="77777777" w:rsidR="00921509" w:rsidRPr="00BF210F" w:rsidRDefault="00921509" w:rsidP="00D66A20">
            <w:pPr>
              <w:jc w:val="center"/>
              <w:rPr>
                <w:rFonts w:cs="Arial"/>
                <w:b/>
                <w:sz w:val="20"/>
                <w:szCs w:val="20"/>
              </w:rPr>
            </w:pPr>
          </w:p>
        </w:tc>
      </w:tr>
      <w:tr w:rsidR="00921509" w:rsidRPr="00BF210F" w14:paraId="312C9389" w14:textId="77777777" w:rsidTr="00953521">
        <w:tc>
          <w:tcPr>
            <w:tcW w:w="2098" w:type="dxa"/>
          </w:tcPr>
          <w:p w14:paraId="55D9681A" w14:textId="77777777" w:rsidR="00921509" w:rsidRPr="00BF210F" w:rsidRDefault="00921509" w:rsidP="00D66A20">
            <w:pPr>
              <w:jc w:val="center"/>
              <w:rPr>
                <w:rFonts w:cs="Arial"/>
                <w:sz w:val="20"/>
                <w:szCs w:val="20"/>
              </w:rPr>
            </w:pPr>
            <w:r w:rsidRPr="00BF210F">
              <w:rPr>
                <w:rFonts w:cs="Arial"/>
                <w:sz w:val="20"/>
                <w:szCs w:val="20"/>
              </w:rPr>
              <w:t>Cubasch 2013</w:t>
            </w:r>
          </w:p>
        </w:tc>
        <w:tc>
          <w:tcPr>
            <w:tcW w:w="1362" w:type="dxa"/>
          </w:tcPr>
          <w:p w14:paraId="107B8723" w14:textId="77777777" w:rsidR="00921509" w:rsidRPr="00BF210F" w:rsidRDefault="00921509" w:rsidP="00D66A20">
            <w:pPr>
              <w:jc w:val="center"/>
              <w:rPr>
                <w:rFonts w:cs="Arial"/>
                <w:sz w:val="20"/>
                <w:szCs w:val="20"/>
              </w:rPr>
            </w:pPr>
            <w:r w:rsidRPr="00BF210F">
              <w:rPr>
                <w:rFonts w:cs="Arial"/>
                <w:sz w:val="20"/>
                <w:szCs w:val="20"/>
              </w:rPr>
              <w:t>0.77</w:t>
            </w:r>
          </w:p>
        </w:tc>
        <w:tc>
          <w:tcPr>
            <w:tcW w:w="1362" w:type="dxa"/>
          </w:tcPr>
          <w:p w14:paraId="6DFC0D73" w14:textId="77777777" w:rsidR="00921509" w:rsidRPr="00BF210F" w:rsidRDefault="00921509" w:rsidP="00D66A20">
            <w:pPr>
              <w:jc w:val="center"/>
              <w:rPr>
                <w:rFonts w:cs="Arial"/>
                <w:sz w:val="20"/>
                <w:szCs w:val="20"/>
              </w:rPr>
            </w:pPr>
            <w:r w:rsidRPr="00BF210F">
              <w:rPr>
                <w:rFonts w:cs="Arial"/>
                <w:sz w:val="20"/>
                <w:szCs w:val="20"/>
              </w:rPr>
              <w:t>0.59-0.99</w:t>
            </w:r>
          </w:p>
        </w:tc>
        <w:tc>
          <w:tcPr>
            <w:tcW w:w="1362" w:type="dxa"/>
          </w:tcPr>
          <w:p w14:paraId="799CD668" w14:textId="77777777" w:rsidR="00921509" w:rsidRPr="00BF210F" w:rsidRDefault="00921509" w:rsidP="00D66A20">
            <w:pPr>
              <w:jc w:val="center"/>
              <w:rPr>
                <w:rFonts w:cs="Arial"/>
                <w:sz w:val="20"/>
                <w:szCs w:val="20"/>
              </w:rPr>
            </w:pPr>
            <w:r w:rsidRPr="00BF210F">
              <w:rPr>
                <w:rFonts w:cs="Arial"/>
                <w:sz w:val="20"/>
                <w:szCs w:val="20"/>
              </w:rPr>
              <w:t>0.043</w:t>
            </w:r>
          </w:p>
        </w:tc>
        <w:tc>
          <w:tcPr>
            <w:tcW w:w="1539" w:type="dxa"/>
          </w:tcPr>
          <w:p w14:paraId="10DA47B3" w14:textId="77777777" w:rsidR="00921509" w:rsidRPr="00BF210F" w:rsidRDefault="00921509" w:rsidP="00D66A20">
            <w:pPr>
              <w:jc w:val="center"/>
              <w:rPr>
                <w:rFonts w:cs="Arial"/>
                <w:sz w:val="20"/>
                <w:szCs w:val="20"/>
              </w:rPr>
            </w:pPr>
            <w:r w:rsidRPr="00BF210F">
              <w:rPr>
                <w:rFonts w:cs="Arial"/>
                <w:sz w:val="20"/>
                <w:szCs w:val="20"/>
              </w:rPr>
              <w:t>16.9</w:t>
            </w:r>
          </w:p>
        </w:tc>
        <w:tc>
          <w:tcPr>
            <w:tcW w:w="1446" w:type="dxa"/>
          </w:tcPr>
          <w:p w14:paraId="20FD5181" w14:textId="77777777" w:rsidR="00921509" w:rsidRPr="00BF210F" w:rsidRDefault="00921509" w:rsidP="00D66A20">
            <w:pPr>
              <w:jc w:val="center"/>
              <w:rPr>
                <w:rFonts w:cs="Arial"/>
                <w:sz w:val="20"/>
                <w:szCs w:val="20"/>
              </w:rPr>
            </w:pPr>
            <w:r w:rsidRPr="00BF210F">
              <w:rPr>
                <w:rFonts w:cs="Arial"/>
                <w:sz w:val="20"/>
                <w:szCs w:val="20"/>
              </w:rPr>
              <w:t>0.297</w:t>
            </w:r>
          </w:p>
        </w:tc>
      </w:tr>
      <w:tr w:rsidR="00921509" w:rsidRPr="00BF210F" w14:paraId="5EF8DE8D" w14:textId="77777777" w:rsidTr="00953521">
        <w:tc>
          <w:tcPr>
            <w:tcW w:w="2098" w:type="dxa"/>
          </w:tcPr>
          <w:p w14:paraId="1624C829" w14:textId="77777777" w:rsidR="00921509" w:rsidRPr="00BF210F" w:rsidRDefault="00921509" w:rsidP="00D66A20">
            <w:pPr>
              <w:jc w:val="center"/>
              <w:rPr>
                <w:rFonts w:cs="Arial"/>
                <w:sz w:val="20"/>
                <w:szCs w:val="20"/>
              </w:rPr>
            </w:pPr>
            <w:r w:rsidRPr="00BF210F">
              <w:rPr>
                <w:rFonts w:cs="Arial"/>
                <w:sz w:val="20"/>
                <w:szCs w:val="20"/>
              </w:rPr>
              <w:t>Langenhoven 2016</w:t>
            </w:r>
          </w:p>
        </w:tc>
        <w:tc>
          <w:tcPr>
            <w:tcW w:w="1362" w:type="dxa"/>
          </w:tcPr>
          <w:p w14:paraId="1C1F9B1F" w14:textId="77777777" w:rsidR="00921509" w:rsidRPr="00BF210F" w:rsidRDefault="00921509" w:rsidP="00D66A20">
            <w:pPr>
              <w:jc w:val="center"/>
              <w:rPr>
                <w:rFonts w:cs="Arial"/>
                <w:sz w:val="20"/>
                <w:szCs w:val="20"/>
              </w:rPr>
            </w:pPr>
            <w:r w:rsidRPr="00BF210F">
              <w:rPr>
                <w:rFonts w:cs="Arial"/>
                <w:sz w:val="20"/>
                <w:szCs w:val="20"/>
              </w:rPr>
              <w:t>0.84</w:t>
            </w:r>
          </w:p>
        </w:tc>
        <w:tc>
          <w:tcPr>
            <w:tcW w:w="1362" w:type="dxa"/>
          </w:tcPr>
          <w:p w14:paraId="038EC005" w14:textId="77777777" w:rsidR="00921509" w:rsidRPr="00BF210F" w:rsidRDefault="00921509" w:rsidP="00D66A20">
            <w:pPr>
              <w:jc w:val="center"/>
              <w:rPr>
                <w:rFonts w:cs="Arial"/>
                <w:sz w:val="20"/>
                <w:szCs w:val="20"/>
              </w:rPr>
            </w:pPr>
            <w:r w:rsidRPr="00BF210F">
              <w:rPr>
                <w:rFonts w:cs="Arial"/>
                <w:sz w:val="20"/>
                <w:szCs w:val="20"/>
              </w:rPr>
              <w:t>0.65-1.09</w:t>
            </w:r>
          </w:p>
        </w:tc>
        <w:tc>
          <w:tcPr>
            <w:tcW w:w="1362" w:type="dxa"/>
          </w:tcPr>
          <w:p w14:paraId="1669256F" w14:textId="77777777" w:rsidR="00921509" w:rsidRPr="00BF210F" w:rsidRDefault="00921509" w:rsidP="00D66A20">
            <w:pPr>
              <w:jc w:val="center"/>
              <w:rPr>
                <w:rFonts w:cs="Arial"/>
                <w:sz w:val="20"/>
                <w:szCs w:val="20"/>
              </w:rPr>
            </w:pPr>
            <w:r w:rsidRPr="00BF210F">
              <w:rPr>
                <w:rFonts w:cs="Arial"/>
                <w:sz w:val="20"/>
                <w:szCs w:val="20"/>
              </w:rPr>
              <w:t>0.197</w:t>
            </w:r>
          </w:p>
        </w:tc>
        <w:tc>
          <w:tcPr>
            <w:tcW w:w="1539" w:type="dxa"/>
          </w:tcPr>
          <w:p w14:paraId="5ACDCDD8" w14:textId="77777777" w:rsidR="00921509" w:rsidRPr="00BF210F" w:rsidRDefault="00921509" w:rsidP="00D66A20">
            <w:pPr>
              <w:jc w:val="center"/>
              <w:rPr>
                <w:rFonts w:cs="Arial"/>
                <w:sz w:val="20"/>
                <w:szCs w:val="20"/>
              </w:rPr>
            </w:pPr>
            <w:r w:rsidRPr="00BF210F">
              <w:rPr>
                <w:rFonts w:cs="Arial"/>
                <w:sz w:val="20"/>
                <w:szCs w:val="20"/>
              </w:rPr>
              <w:t>28.4</w:t>
            </w:r>
          </w:p>
        </w:tc>
        <w:tc>
          <w:tcPr>
            <w:tcW w:w="1446" w:type="dxa"/>
          </w:tcPr>
          <w:p w14:paraId="245EABFD" w14:textId="77777777" w:rsidR="00921509" w:rsidRPr="00BF210F" w:rsidRDefault="00921509" w:rsidP="00D66A20">
            <w:pPr>
              <w:jc w:val="center"/>
              <w:rPr>
                <w:rFonts w:cs="Arial"/>
                <w:sz w:val="20"/>
                <w:szCs w:val="20"/>
              </w:rPr>
            </w:pPr>
            <w:r w:rsidRPr="00BF210F">
              <w:rPr>
                <w:rFonts w:cs="Arial"/>
                <w:sz w:val="20"/>
                <w:szCs w:val="20"/>
              </w:rPr>
              <w:t>0.201</w:t>
            </w:r>
          </w:p>
        </w:tc>
      </w:tr>
      <w:tr w:rsidR="00921509" w:rsidRPr="00BF210F" w14:paraId="26E63377" w14:textId="77777777" w:rsidTr="00953521">
        <w:tc>
          <w:tcPr>
            <w:tcW w:w="2098" w:type="dxa"/>
          </w:tcPr>
          <w:p w14:paraId="0C7EB8AB" w14:textId="77777777" w:rsidR="00921509" w:rsidRPr="00BF210F" w:rsidRDefault="00921509" w:rsidP="00D66A20">
            <w:pPr>
              <w:jc w:val="center"/>
              <w:rPr>
                <w:rFonts w:cs="Arial"/>
                <w:sz w:val="20"/>
                <w:szCs w:val="20"/>
              </w:rPr>
            </w:pPr>
            <w:r w:rsidRPr="00BF210F">
              <w:rPr>
                <w:rFonts w:cs="Arial"/>
                <w:sz w:val="20"/>
                <w:szCs w:val="20"/>
              </w:rPr>
              <w:t>Ngidi 2017</w:t>
            </w:r>
          </w:p>
        </w:tc>
        <w:tc>
          <w:tcPr>
            <w:tcW w:w="1362" w:type="dxa"/>
          </w:tcPr>
          <w:p w14:paraId="747F2BBE" w14:textId="77777777" w:rsidR="00921509" w:rsidRPr="00BF210F" w:rsidRDefault="00921509" w:rsidP="00D66A20">
            <w:pPr>
              <w:jc w:val="center"/>
              <w:rPr>
                <w:rFonts w:cs="Arial"/>
                <w:sz w:val="20"/>
                <w:szCs w:val="20"/>
              </w:rPr>
            </w:pPr>
            <w:r w:rsidRPr="00BF210F">
              <w:rPr>
                <w:rFonts w:cs="Arial"/>
                <w:sz w:val="20"/>
                <w:szCs w:val="20"/>
              </w:rPr>
              <w:t>0.88</w:t>
            </w:r>
          </w:p>
        </w:tc>
        <w:tc>
          <w:tcPr>
            <w:tcW w:w="1362" w:type="dxa"/>
          </w:tcPr>
          <w:p w14:paraId="4DBE1DFF" w14:textId="77777777" w:rsidR="00921509" w:rsidRPr="00BF210F" w:rsidRDefault="00921509" w:rsidP="00D66A20">
            <w:pPr>
              <w:jc w:val="center"/>
              <w:rPr>
                <w:rFonts w:cs="Arial"/>
                <w:sz w:val="20"/>
                <w:szCs w:val="20"/>
              </w:rPr>
            </w:pPr>
            <w:r w:rsidRPr="00BF210F">
              <w:rPr>
                <w:rFonts w:cs="Arial"/>
                <w:sz w:val="20"/>
                <w:szCs w:val="20"/>
              </w:rPr>
              <w:t>0.72-1.08</w:t>
            </w:r>
          </w:p>
        </w:tc>
        <w:tc>
          <w:tcPr>
            <w:tcW w:w="1362" w:type="dxa"/>
          </w:tcPr>
          <w:p w14:paraId="119190CA" w14:textId="77777777" w:rsidR="00921509" w:rsidRPr="00BF210F" w:rsidRDefault="00921509" w:rsidP="00D66A20">
            <w:pPr>
              <w:jc w:val="center"/>
              <w:rPr>
                <w:rFonts w:cs="Arial"/>
                <w:sz w:val="20"/>
                <w:szCs w:val="20"/>
              </w:rPr>
            </w:pPr>
            <w:r w:rsidRPr="00BF210F">
              <w:rPr>
                <w:rFonts w:cs="Arial"/>
                <w:sz w:val="20"/>
                <w:szCs w:val="20"/>
              </w:rPr>
              <w:t>0.227</w:t>
            </w:r>
          </w:p>
        </w:tc>
        <w:tc>
          <w:tcPr>
            <w:tcW w:w="1539" w:type="dxa"/>
          </w:tcPr>
          <w:p w14:paraId="186C3DFF" w14:textId="77777777" w:rsidR="00921509" w:rsidRPr="00BF210F" w:rsidRDefault="00921509" w:rsidP="00D66A20">
            <w:pPr>
              <w:jc w:val="center"/>
              <w:rPr>
                <w:rFonts w:cs="Arial"/>
                <w:sz w:val="20"/>
                <w:szCs w:val="20"/>
              </w:rPr>
            </w:pPr>
            <w:r w:rsidRPr="00BF210F">
              <w:rPr>
                <w:rFonts w:cs="Arial"/>
                <w:sz w:val="20"/>
                <w:szCs w:val="20"/>
              </w:rPr>
              <w:t>5.1</w:t>
            </w:r>
          </w:p>
        </w:tc>
        <w:tc>
          <w:tcPr>
            <w:tcW w:w="1446" w:type="dxa"/>
          </w:tcPr>
          <w:p w14:paraId="0B932459" w14:textId="77777777" w:rsidR="00921509" w:rsidRPr="00BF210F" w:rsidRDefault="00921509" w:rsidP="00D66A20">
            <w:pPr>
              <w:jc w:val="center"/>
              <w:rPr>
                <w:rFonts w:cs="Arial"/>
                <w:sz w:val="20"/>
                <w:szCs w:val="20"/>
              </w:rPr>
            </w:pPr>
            <w:r w:rsidRPr="00BF210F">
              <w:rPr>
                <w:rFonts w:cs="Arial"/>
                <w:sz w:val="20"/>
                <w:szCs w:val="20"/>
              </w:rPr>
              <w:t>0.391</w:t>
            </w:r>
          </w:p>
        </w:tc>
      </w:tr>
      <w:tr w:rsidR="00921509" w:rsidRPr="00BF210F" w14:paraId="5938971C" w14:textId="77777777" w:rsidTr="00953521">
        <w:tc>
          <w:tcPr>
            <w:tcW w:w="2098" w:type="dxa"/>
          </w:tcPr>
          <w:p w14:paraId="68511A7E" w14:textId="77777777" w:rsidR="00921509" w:rsidRPr="00BF210F" w:rsidRDefault="00921509" w:rsidP="00D66A20">
            <w:pPr>
              <w:jc w:val="center"/>
              <w:rPr>
                <w:rFonts w:cs="Arial"/>
                <w:sz w:val="20"/>
                <w:szCs w:val="20"/>
              </w:rPr>
            </w:pPr>
            <w:r w:rsidRPr="00BF210F">
              <w:rPr>
                <w:rFonts w:cs="Arial"/>
                <w:sz w:val="20"/>
                <w:szCs w:val="20"/>
              </w:rPr>
              <w:t>Presti 2017</w:t>
            </w:r>
          </w:p>
        </w:tc>
        <w:tc>
          <w:tcPr>
            <w:tcW w:w="1362" w:type="dxa"/>
          </w:tcPr>
          <w:p w14:paraId="0A7251CE" w14:textId="77777777" w:rsidR="00921509" w:rsidRPr="00BF210F" w:rsidRDefault="00921509" w:rsidP="00D66A20">
            <w:pPr>
              <w:jc w:val="center"/>
              <w:rPr>
                <w:rFonts w:cs="Arial"/>
                <w:sz w:val="20"/>
                <w:szCs w:val="20"/>
              </w:rPr>
            </w:pPr>
            <w:r w:rsidRPr="00BF210F">
              <w:rPr>
                <w:rFonts w:cs="Arial"/>
                <w:sz w:val="20"/>
                <w:szCs w:val="20"/>
              </w:rPr>
              <w:t>0.89</w:t>
            </w:r>
          </w:p>
        </w:tc>
        <w:tc>
          <w:tcPr>
            <w:tcW w:w="1362" w:type="dxa"/>
          </w:tcPr>
          <w:p w14:paraId="5EB9133E" w14:textId="77777777" w:rsidR="00921509" w:rsidRPr="00BF210F" w:rsidRDefault="00921509" w:rsidP="00D66A20">
            <w:pPr>
              <w:jc w:val="center"/>
              <w:rPr>
                <w:rFonts w:cs="Arial"/>
                <w:sz w:val="20"/>
                <w:szCs w:val="20"/>
              </w:rPr>
            </w:pPr>
            <w:r w:rsidRPr="00BF210F">
              <w:rPr>
                <w:rFonts w:cs="Arial"/>
                <w:sz w:val="20"/>
                <w:szCs w:val="20"/>
              </w:rPr>
              <w:t>0.72-1.10</w:t>
            </w:r>
          </w:p>
        </w:tc>
        <w:tc>
          <w:tcPr>
            <w:tcW w:w="1362" w:type="dxa"/>
          </w:tcPr>
          <w:p w14:paraId="7D240F55" w14:textId="77777777" w:rsidR="00921509" w:rsidRPr="00BF210F" w:rsidRDefault="00921509" w:rsidP="00D66A20">
            <w:pPr>
              <w:jc w:val="center"/>
              <w:rPr>
                <w:rFonts w:cs="Arial"/>
                <w:sz w:val="20"/>
                <w:szCs w:val="20"/>
              </w:rPr>
            </w:pPr>
            <w:r w:rsidRPr="00BF210F">
              <w:rPr>
                <w:rFonts w:cs="Arial"/>
                <w:sz w:val="20"/>
                <w:szCs w:val="20"/>
              </w:rPr>
              <w:t>0.301</w:t>
            </w:r>
          </w:p>
        </w:tc>
        <w:tc>
          <w:tcPr>
            <w:tcW w:w="1539" w:type="dxa"/>
          </w:tcPr>
          <w:p w14:paraId="6B6D199A" w14:textId="77777777" w:rsidR="00921509" w:rsidRPr="00BF210F" w:rsidRDefault="00921509" w:rsidP="00D66A20">
            <w:pPr>
              <w:jc w:val="center"/>
              <w:rPr>
                <w:rFonts w:cs="Arial"/>
                <w:sz w:val="20"/>
                <w:szCs w:val="20"/>
              </w:rPr>
            </w:pPr>
            <w:r w:rsidRPr="00BF210F">
              <w:rPr>
                <w:rFonts w:cs="Arial"/>
                <w:sz w:val="20"/>
                <w:szCs w:val="20"/>
              </w:rPr>
              <w:t>6.8</w:t>
            </w:r>
          </w:p>
        </w:tc>
        <w:tc>
          <w:tcPr>
            <w:tcW w:w="1446" w:type="dxa"/>
          </w:tcPr>
          <w:p w14:paraId="537C0E2C" w14:textId="77777777" w:rsidR="00921509" w:rsidRPr="00BF210F" w:rsidRDefault="00921509" w:rsidP="00D66A20">
            <w:pPr>
              <w:jc w:val="center"/>
              <w:rPr>
                <w:rFonts w:cs="Arial"/>
                <w:sz w:val="20"/>
                <w:szCs w:val="20"/>
              </w:rPr>
            </w:pPr>
            <w:r w:rsidRPr="00BF210F">
              <w:rPr>
                <w:rFonts w:cs="Arial"/>
                <w:sz w:val="20"/>
                <w:szCs w:val="20"/>
              </w:rPr>
              <w:t>0.378</w:t>
            </w:r>
          </w:p>
        </w:tc>
      </w:tr>
      <w:tr w:rsidR="00921509" w:rsidRPr="00BF210F" w14:paraId="2C6862AD" w14:textId="77777777" w:rsidTr="00953521">
        <w:tc>
          <w:tcPr>
            <w:tcW w:w="2098" w:type="dxa"/>
          </w:tcPr>
          <w:p w14:paraId="6B09E0F0" w14:textId="77777777" w:rsidR="00921509" w:rsidRPr="00BF210F" w:rsidRDefault="00921509" w:rsidP="00D66A20">
            <w:pPr>
              <w:jc w:val="center"/>
              <w:rPr>
                <w:rFonts w:cs="Arial"/>
                <w:sz w:val="20"/>
                <w:szCs w:val="20"/>
              </w:rPr>
            </w:pPr>
            <w:r w:rsidRPr="00BF210F">
              <w:rPr>
                <w:rFonts w:cs="Arial"/>
                <w:sz w:val="20"/>
                <w:szCs w:val="20"/>
              </w:rPr>
              <w:t>Van Zyl 2018</w:t>
            </w:r>
          </w:p>
        </w:tc>
        <w:tc>
          <w:tcPr>
            <w:tcW w:w="1362" w:type="dxa"/>
          </w:tcPr>
          <w:p w14:paraId="75075A3C" w14:textId="77777777" w:rsidR="00921509" w:rsidRPr="00BF210F" w:rsidRDefault="00921509" w:rsidP="00D66A20">
            <w:pPr>
              <w:jc w:val="center"/>
              <w:rPr>
                <w:rFonts w:cs="Arial"/>
                <w:sz w:val="20"/>
                <w:szCs w:val="20"/>
              </w:rPr>
            </w:pPr>
            <w:r w:rsidRPr="00BF210F">
              <w:rPr>
                <w:rFonts w:cs="Arial"/>
                <w:sz w:val="20"/>
                <w:szCs w:val="20"/>
              </w:rPr>
              <w:t>0.79</w:t>
            </w:r>
          </w:p>
        </w:tc>
        <w:tc>
          <w:tcPr>
            <w:tcW w:w="1362" w:type="dxa"/>
          </w:tcPr>
          <w:p w14:paraId="361DA429" w14:textId="77777777" w:rsidR="00921509" w:rsidRPr="00BF210F" w:rsidRDefault="00921509" w:rsidP="00D66A20">
            <w:pPr>
              <w:jc w:val="center"/>
              <w:rPr>
                <w:rFonts w:cs="Arial"/>
                <w:sz w:val="20"/>
                <w:szCs w:val="20"/>
              </w:rPr>
            </w:pPr>
            <w:r w:rsidRPr="00BF210F">
              <w:rPr>
                <w:rFonts w:cs="Arial"/>
                <w:sz w:val="20"/>
                <w:szCs w:val="20"/>
              </w:rPr>
              <w:t>0.61-1.03</w:t>
            </w:r>
          </w:p>
        </w:tc>
        <w:tc>
          <w:tcPr>
            <w:tcW w:w="1362" w:type="dxa"/>
          </w:tcPr>
          <w:p w14:paraId="2A2F962F" w14:textId="77777777" w:rsidR="00921509" w:rsidRPr="00BF210F" w:rsidRDefault="00921509" w:rsidP="00D66A20">
            <w:pPr>
              <w:jc w:val="center"/>
              <w:rPr>
                <w:rFonts w:cs="Arial"/>
                <w:sz w:val="20"/>
                <w:szCs w:val="20"/>
              </w:rPr>
            </w:pPr>
            <w:r w:rsidRPr="00BF210F">
              <w:rPr>
                <w:rFonts w:cs="Arial"/>
                <w:sz w:val="20"/>
                <w:szCs w:val="20"/>
              </w:rPr>
              <w:t>0.081</w:t>
            </w:r>
          </w:p>
        </w:tc>
        <w:tc>
          <w:tcPr>
            <w:tcW w:w="1539" w:type="dxa"/>
          </w:tcPr>
          <w:p w14:paraId="7EA14204" w14:textId="77777777" w:rsidR="00921509" w:rsidRPr="00BF210F" w:rsidRDefault="00921509" w:rsidP="00D66A20">
            <w:pPr>
              <w:jc w:val="center"/>
              <w:rPr>
                <w:rFonts w:cs="Arial"/>
                <w:sz w:val="20"/>
                <w:szCs w:val="20"/>
              </w:rPr>
            </w:pPr>
            <w:r w:rsidRPr="00BF210F">
              <w:rPr>
                <w:rFonts w:cs="Arial"/>
                <w:sz w:val="20"/>
                <w:szCs w:val="20"/>
              </w:rPr>
              <w:t>31.0</w:t>
            </w:r>
          </w:p>
        </w:tc>
        <w:tc>
          <w:tcPr>
            <w:tcW w:w="1446" w:type="dxa"/>
          </w:tcPr>
          <w:p w14:paraId="0B6E9575" w14:textId="77777777" w:rsidR="00921509" w:rsidRPr="00BF210F" w:rsidRDefault="00921509" w:rsidP="00D66A20">
            <w:pPr>
              <w:jc w:val="center"/>
              <w:rPr>
                <w:rFonts w:cs="Arial"/>
                <w:sz w:val="20"/>
                <w:szCs w:val="20"/>
              </w:rPr>
            </w:pPr>
            <w:r w:rsidRPr="00BF210F">
              <w:rPr>
                <w:rFonts w:cs="Arial"/>
                <w:sz w:val="20"/>
                <w:szCs w:val="20"/>
              </w:rPr>
              <w:t>0.181</w:t>
            </w:r>
          </w:p>
        </w:tc>
      </w:tr>
      <w:tr w:rsidR="00921509" w:rsidRPr="00BF210F" w14:paraId="2C5E58E5" w14:textId="77777777" w:rsidTr="00953521">
        <w:tc>
          <w:tcPr>
            <w:tcW w:w="2098" w:type="dxa"/>
          </w:tcPr>
          <w:p w14:paraId="3B9E5107" w14:textId="77777777" w:rsidR="00921509" w:rsidRPr="00BF210F" w:rsidRDefault="00921509" w:rsidP="00D66A20">
            <w:pPr>
              <w:jc w:val="center"/>
              <w:rPr>
                <w:rFonts w:cs="Arial"/>
                <w:sz w:val="20"/>
                <w:szCs w:val="20"/>
              </w:rPr>
            </w:pPr>
            <w:r w:rsidRPr="00BF210F">
              <w:rPr>
                <w:rFonts w:cs="Arial"/>
                <w:sz w:val="20"/>
                <w:szCs w:val="20"/>
              </w:rPr>
              <w:t>Bhatia 2019</w:t>
            </w:r>
          </w:p>
        </w:tc>
        <w:tc>
          <w:tcPr>
            <w:tcW w:w="1362" w:type="dxa"/>
          </w:tcPr>
          <w:p w14:paraId="43974CA3" w14:textId="77777777" w:rsidR="00921509" w:rsidRPr="00BF210F" w:rsidRDefault="00921509" w:rsidP="00D66A20">
            <w:pPr>
              <w:jc w:val="center"/>
              <w:rPr>
                <w:rFonts w:cs="Arial"/>
                <w:sz w:val="20"/>
                <w:szCs w:val="20"/>
              </w:rPr>
            </w:pPr>
            <w:r w:rsidRPr="00BF210F">
              <w:rPr>
                <w:rFonts w:cs="Arial"/>
                <w:sz w:val="20"/>
                <w:szCs w:val="20"/>
              </w:rPr>
              <w:t>0.84</w:t>
            </w:r>
          </w:p>
        </w:tc>
        <w:tc>
          <w:tcPr>
            <w:tcW w:w="1362" w:type="dxa"/>
          </w:tcPr>
          <w:p w14:paraId="1E63F3EA" w14:textId="77777777" w:rsidR="00921509" w:rsidRPr="00BF210F" w:rsidRDefault="00921509" w:rsidP="00D66A20">
            <w:pPr>
              <w:jc w:val="center"/>
              <w:rPr>
                <w:rFonts w:cs="Arial"/>
                <w:sz w:val="20"/>
                <w:szCs w:val="20"/>
              </w:rPr>
            </w:pPr>
            <w:r w:rsidRPr="00BF210F">
              <w:rPr>
                <w:rFonts w:cs="Arial"/>
                <w:sz w:val="20"/>
                <w:szCs w:val="20"/>
              </w:rPr>
              <w:t>0.66-1.07</w:t>
            </w:r>
          </w:p>
        </w:tc>
        <w:tc>
          <w:tcPr>
            <w:tcW w:w="1362" w:type="dxa"/>
          </w:tcPr>
          <w:p w14:paraId="7B9124A8" w14:textId="77777777" w:rsidR="00921509" w:rsidRPr="00BF210F" w:rsidRDefault="00921509" w:rsidP="00D66A20">
            <w:pPr>
              <w:jc w:val="center"/>
              <w:rPr>
                <w:rFonts w:cs="Arial"/>
                <w:sz w:val="20"/>
                <w:szCs w:val="20"/>
              </w:rPr>
            </w:pPr>
            <w:r w:rsidRPr="00BF210F">
              <w:rPr>
                <w:rFonts w:cs="Arial"/>
                <w:sz w:val="20"/>
                <w:szCs w:val="20"/>
              </w:rPr>
              <w:t>0.165</w:t>
            </w:r>
          </w:p>
        </w:tc>
        <w:tc>
          <w:tcPr>
            <w:tcW w:w="1539" w:type="dxa"/>
          </w:tcPr>
          <w:p w14:paraId="0A383A45" w14:textId="77777777" w:rsidR="00921509" w:rsidRPr="00BF210F" w:rsidRDefault="00921509" w:rsidP="00D66A20">
            <w:pPr>
              <w:jc w:val="center"/>
              <w:rPr>
                <w:rFonts w:cs="Arial"/>
                <w:sz w:val="20"/>
                <w:szCs w:val="20"/>
              </w:rPr>
            </w:pPr>
            <w:r w:rsidRPr="00BF210F">
              <w:rPr>
                <w:rFonts w:cs="Arial"/>
                <w:sz w:val="20"/>
                <w:szCs w:val="20"/>
              </w:rPr>
              <w:t>28.3</w:t>
            </w:r>
          </w:p>
        </w:tc>
        <w:tc>
          <w:tcPr>
            <w:tcW w:w="1446" w:type="dxa"/>
          </w:tcPr>
          <w:p w14:paraId="2A2018A6" w14:textId="77777777" w:rsidR="00921509" w:rsidRPr="00BF210F" w:rsidRDefault="00921509" w:rsidP="00D66A20">
            <w:pPr>
              <w:jc w:val="center"/>
              <w:rPr>
                <w:rFonts w:cs="Arial"/>
                <w:sz w:val="20"/>
                <w:szCs w:val="20"/>
              </w:rPr>
            </w:pPr>
            <w:r w:rsidRPr="00BF210F">
              <w:rPr>
                <w:rFonts w:cs="Arial"/>
                <w:sz w:val="20"/>
                <w:szCs w:val="20"/>
              </w:rPr>
              <w:t>0.203</w:t>
            </w:r>
          </w:p>
        </w:tc>
      </w:tr>
      <w:tr w:rsidR="00921509" w:rsidRPr="00BF210F" w14:paraId="2F560615" w14:textId="77777777" w:rsidTr="00953521">
        <w:tc>
          <w:tcPr>
            <w:tcW w:w="2098" w:type="dxa"/>
          </w:tcPr>
          <w:p w14:paraId="3A8512B2" w14:textId="77777777" w:rsidR="00921509" w:rsidRPr="00BF210F" w:rsidRDefault="00921509" w:rsidP="00D66A20">
            <w:pPr>
              <w:jc w:val="center"/>
              <w:rPr>
                <w:rFonts w:cs="Arial"/>
                <w:sz w:val="20"/>
                <w:szCs w:val="20"/>
              </w:rPr>
            </w:pPr>
            <w:r w:rsidRPr="00BF210F">
              <w:rPr>
                <w:rFonts w:cs="Arial"/>
                <w:sz w:val="20"/>
                <w:szCs w:val="20"/>
              </w:rPr>
              <w:t>Brandao 2019</w:t>
            </w:r>
          </w:p>
        </w:tc>
        <w:tc>
          <w:tcPr>
            <w:tcW w:w="1362" w:type="dxa"/>
          </w:tcPr>
          <w:p w14:paraId="1E2B17C6" w14:textId="77777777" w:rsidR="00921509" w:rsidRPr="00BF210F" w:rsidRDefault="00921509" w:rsidP="00D66A20">
            <w:pPr>
              <w:jc w:val="center"/>
              <w:rPr>
                <w:rFonts w:cs="Arial"/>
                <w:sz w:val="20"/>
                <w:szCs w:val="20"/>
              </w:rPr>
            </w:pPr>
            <w:r w:rsidRPr="00BF210F">
              <w:rPr>
                <w:rFonts w:cs="Arial"/>
                <w:sz w:val="20"/>
                <w:szCs w:val="20"/>
              </w:rPr>
              <w:t>0.80</w:t>
            </w:r>
          </w:p>
        </w:tc>
        <w:tc>
          <w:tcPr>
            <w:tcW w:w="1362" w:type="dxa"/>
          </w:tcPr>
          <w:p w14:paraId="763BC9FD" w14:textId="77777777" w:rsidR="00921509" w:rsidRPr="00BF210F" w:rsidRDefault="00921509" w:rsidP="00D66A20">
            <w:pPr>
              <w:jc w:val="center"/>
              <w:rPr>
                <w:rFonts w:cs="Arial"/>
                <w:sz w:val="20"/>
                <w:szCs w:val="20"/>
              </w:rPr>
            </w:pPr>
            <w:r w:rsidRPr="00BF210F">
              <w:rPr>
                <w:rFonts w:cs="Arial"/>
                <w:sz w:val="20"/>
                <w:szCs w:val="20"/>
              </w:rPr>
              <w:t>0.61-1.06</w:t>
            </w:r>
          </w:p>
        </w:tc>
        <w:tc>
          <w:tcPr>
            <w:tcW w:w="1362" w:type="dxa"/>
          </w:tcPr>
          <w:p w14:paraId="6EC0DE8D" w14:textId="77777777" w:rsidR="00921509" w:rsidRPr="00BF210F" w:rsidRDefault="00921509" w:rsidP="00D66A20">
            <w:pPr>
              <w:jc w:val="center"/>
              <w:rPr>
                <w:rFonts w:cs="Arial"/>
                <w:sz w:val="20"/>
                <w:szCs w:val="20"/>
              </w:rPr>
            </w:pPr>
            <w:r w:rsidRPr="00BF210F">
              <w:rPr>
                <w:rFonts w:cs="Arial"/>
                <w:sz w:val="20"/>
                <w:szCs w:val="20"/>
              </w:rPr>
              <w:t>0.117</w:t>
            </w:r>
          </w:p>
        </w:tc>
        <w:tc>
          <w:tcPr>
            <w:tcW w:w="1539" w:type="dxa"/>
          </w:tcPr>
          <w:p w14:paraId="7826B9EF" w14:textId="77777777" w:rsidR="00921509" w:rsidRPr="00BF210F" w:rsidRDefault="00921509" w:rsidP="00D66A20">
            <w:pPr>
              <w:jc w:val="center"/>
              <w:rPr>
                <w:rFonts w:cs="Arial"/>
                <w:sz w:val="20"/>
                <w:szCs w:val="20"/>
              </w:rPr>
            </w:pPr>
            <w:r w:rsidRPr="00BF210F">
              <w:rPr>
                <w:rFonts w:cs="Arial"/>
                <w:sz w:val="20"/>
                <w:szCs w:val="20"/>
              </w:rPr>
              <w:t>34.7</w:t>
            </w:r>
          </w:p>
        </w:tc>
        <w:tc>
          <w:tcPr>
            <w:tcW w:w="1446" w:type="dxa"/>
          </w:tcPr>
          <w:p w14:paraId="00B809A1" w14:textId="77777777" w:rsidR="00921509" w:rsidRPr="00BF210F" w:rsidRDefault="00921509" w:rsidP="00D66A20">
            <w:pPr>
              <w:jc w:val="center"/>
              <w:rPr>
                <w:rFonts w:cs="Arial"/>
                <w:sz w:val="20"/>
                <w:szCs w:val="20"/>
              </w:rPr>
            </w:pPr>
            <w:r w:rsidRPr="00BF210F">
              <w:rPr>
                <w:rFonts w:cs="Arial"/>
                <w:sz w:val="20"/>
                <w:szCs w:val="20"/>
              </w:rPr>
              <w:t>0.151</w:t>
            </w:r>
          </w:p>
        </w:tc>
      </w:tr>
      <w:tr w:rsidR="00921509" w:rsidRPr="00BF210F" w14:paraId="0E03EA2E" w14:textId="77777777" w:rsidTr="00953521">
        <w:tc>
          <w:tcPr>
            <w:tcW w:w="2098" w:type="dxa"/>
          </w:tcPr>
          <w:p w14:paraId="12342DFF" w14:textId="77777777" w:rsidR="00921509" w:rsidRPr="00BF210F" w:rsidRDefault="00921509" w:rsidP="00D66A20">
            <w:pPr>
              <w:jc w:val="center"/>
              <w:rPr>
                <w:rFonts w:cs="Arial"/>
                <w:sz w:val="20"/>
                <w:szCs w:val="20"/>
              </w:rPr>
            </w:pPr>
            <w:r w:rsidRPr="00BF210F">
              <w:rPr>
                <w:rFonts w:cs="Arial"/>
                <w:sz w:val="20"/>
                <w:szCs w:val="20"/>
              </w:rPr>
              <w:t>Phakathi 2019</w:t>
            </w:r>
          </w:p>
        </w:tc>
        <w:tc>
          <w:tcPr>
            <w:tcW w:w="1362" w:type="dxa"/>
          </w:tcPr>
          <w:p w14:paraId="76D550DC" w14:textId="77777777" w:rsidR="00921509" w:rsidRPr="00BF210F" w:rsidRDefault="00921509" w:rsidP="00D66A20">
            <w:pPr>
              <w:jc w:val="center"/>
              <w:rPr>
                <w:rFonts w:cs="Arial"/>
                <w:sz w:val="20"/>
                <w:szCs w:val="20"/>
              </w:rPr>
            </w:pPr>
            <w:r w:rsidRPr="00BF210F">
              <w:rPr>
                <w:rFonts w:cs="Arial"/>
                <w:sz w:val="20"/>
                <w:szCs w:val="20"/>
              </w:rPr>
              <w:t>0.78</w:t>
            </w:r>
          </w:p>
        </w:tc>
        <w:tc>
          <w:tcPr>
            <w:tcW w:w="1362" w:type="dxa"/>
          </w:tcPr>
          <w:p w14:paraId="708BF979" w14:textId="77777777" w:rsidR="00921509" w:rsidRPr="00BF210F" w:rsidRDefault="00921509" w:rsidP="00D66A20">
            <w:pPr>
              <w:jc w:val="center"/>
              <w:rPr>
                <w:rFonts w:cs="Arial"/>
                <w:sz w:val="20"/>
                <w:szCs w:val="20"/>
              </w:rPr>
            </w:pPr>
            <w:r w:rsidRPr="00BF210F">
              <w:rPr>
                <w:rFonts w:cs="Arial"/>
                <w:sz w:val="20"/>
                <w:szCs w:val="20"/>
              </w:rPr>
              <w:t>0.58-1.06</w:t>
            </w:r>
          </w:p>
        </w:tc>
        <w:tc>
          <w:tcPr>
            <w:tcW w:w="1362" w:type="dxa"/>
          </w:tcPr>
          <w:p w14:paraId="44EE8E9E" w14:textId="77777777" w:rsidR="00921509" w:rsidRPr="00BF210F" w:rsidRDefault="00921509" w:rsidP="00D66A20">
            <w:pPr>
              <w:jc w:val="center"/>
              <w:rPr>
                <w:rFonts w:cs="Arial"/>
                <w:sz w:val="20"/>
                <w:szCs w:val="20"/>
              </w:rPr>
            </w:pPr>
            <w:r w:rsidRPr="00BF210F">
              <w:rPr>
                <w:rFonts w:cs="Arial"/>
                <w:sz w:val="20"/>
                <w:szCs w:val="20"/>
              </w:rPr>
              <w:t>0.112</w:t>
            </w:r>
          </w:p>
        </w:tc>
        <w:tc>
          <w:tcPr>
            <w:tcW w:w="1539" w:type="dxa"/>
          </w:tcPr>
          <w:p w14:paraId="0EE22063" w14:textId="77777777" w:rsidR="00921509" w:rsidRPr="00BF210F" w:rsidRDefault="00921509" w:rsidP="00D66A20">
            <w:pPr>
              <w:jc w:val="center"/>
              <w:rPr>
                <w:rFonts w:cs="Arial"/>
                <w:sz w:val="20"/>
                <w:szCs w:val="20"/>
              </w:rPr>
            </w:pPr>
            <w:r w:rsidRPr="00BF210F">
              <w:rPr>
                <w:rFonts w:cs="Arial"/>
                <w:sz w:val="20"/>
                <w:szCs w:val="20"/>
              </w:rPr>
              <w:t>34.1</w:t>
            </w:r>
          </w:p>
        </w:tc>
        <w:tc>
          <w:tcPr>
            <w:tcW w:w="1446" w:type="dxa"/>
          </w:tcPr>
          <w:p w14:paraId="14013967" w14:textId="77777777" w:rsidR="00921509" w:rsidRPr="00BF210F" w:rsidRDefault="00921509" w:rsidP="00D66A20">
            <w:pPr>
              <w:jc w:val="center"/>
              <w:rPr>
                <w:rFonts w:cs="Arial"/>
                <w:sz w:val="20"/>
                <w:szCs w:val="20"/>
              </w:rPr>
            </w:pPr>
            <w:r w:rsidRPr="00BF210F">
              <w:rPr>
                <w:rFonts w:cs="Arial"/>
                <w:sz w:val="20"/>
                <w:szCs w:val="20"/>
              </w:rPr>
              <w:t>0.156</w:t>
            </w:r>
          </w:p>
        </w:tc>
      </w:tr>
      <w:tr w:rsidR="00921509" w:rsidRPr="00BF210F" w14:paraId="4897C952" w14:textId="77777777" w:rsidTr="00953521">
        <w:tc>
          <w:tcPr>
            <w:tcW w:w="2098" w:type="dxa"/>
          </w:tcPr>
          <w:p w14:paraId="473B9E4F" w14:textId="77777777" w:rsidR="00921509" w:rsidRPr="00BF210F" w:rsidRDefault="00921509" w:rsidP="00D66A20">
            <w:pPr>
              <w:jc w:val="center"/>
              <w:rPr>
                <w:rFonts w:cs="Arial"/>
                <w:sz w:val="20"/>
                <w:szCs w:val="20"/>
              </w:rPr>
            </w:pPr>
            <w:r w:rsidRPr="00BF210F">
              <w:rPr>
                <w:rFonts w:cs="Arial"/>
                <w:sz w:val="20"/>
                <w:szCs w:val="20"/>
              </w:rPr>
              <w:t>Sadigh 2019</w:t>
            </w:r>
          </w:p>
        </w:tc>
        <w:tc>
          <w:tcPr>
            <w:tcW w:w="1362" w:type="dxa"/>
          </w:tcPr>
          <w:p w14:paraId="55350DFF" w14:textId="77777777" w:rsidR="00921509" w:rsidRPr="00BF210F" w:rsidRDefault="00921509" w:rsidP="00D66A20">
            <w:pPr>
              <w:jc w:val="center"/>
              <w:rPr>
                <w:rFonts w:cs="Arial"/>
                <w:sz w:val="20"/>
                <w:szCs w:val="20"/>
              </w:rPr>
            </w:pPr>
            <w:r w:rsidRPr="00BF210F">
              <w:rPr>
                <w:rFonts w:cs="Arial"/>
                <w:sz w:val="20"/>
                <w:szCs w:val="20"/>
              </w:rPr>
              <w:t>0.79</w:t>
            </w:r>
          </w:p>
        </w:tc>
        <w:tc>
          <w:tcPr>
            <w:tcW w:w="1362" w:type="dxa"/>
          </w:tcPr>
          <w:p w14:paraId="6F66CC8C" w14:textId="77777777" w:rsidR="00921509" w:rsidRPr="00BF210F" w:rsidRDefault="00921509" w:rsidP="00D66A20">
            <w:pPr>
              <w:jc w:val="center"/>
              <w:rPr>
                <w:rFonts w:cs="Arial"/>
                <w:sz w:val="20"/>
                <w:szCs w:val="20"/>
              </w:rPr>
            </w:pPr>
            <w:r w:rsidRPr="00BF210F">
              <w:rPr>
                <w:rFonts w:cs="Arial"/>
                <w:sz w:val="20"/>
                <w:szCs w:val="20"/>
              </w:rPr>
              <w:t>0.59-1.04</w:t>
            </w:r>
          </w:p>
        </w:tc>
        <w:tc>
          <w:tcPr>
            <w:tcW w:w="1362" w:type="dxa"/>
          </w:tcPr>
          <w:p w14:paraId="55C1F9B0" w14:textId="77777777" w:rsidR="00921509" w:rsidRPr="00BF210F" w:rsidRDefault="00921509" w:rsidP="00D66A20">
            <w:pPr>
              <w:jc w:val="center"/>
              <w:rPr>
                <w:rFonts w:cs="Arial"/>
                <w:sz w:val="20"/>
                <w:szCs w:val="20"/>
              </w:rPr>
            </w:pPr>
            <w:r w:rsidRPr="00BF210F">
              <w:rPr>
                <w:rFonts w:cs="Arial"/>
                <w:sz w:val="20"/>
                <w:szCs w:val="20"/>
              </w:rPr>
              <w:t>0.091</w:t>
            </w:r>
          </w:p>
        </w:tc>
        <w:tc>
          <w:tcPr>
            <w:tcW w:w="1539" w:type="dxa"/>
          </w:tcPr>
          <w:p w14:paraId="0D94C542" w14:textId="77777777" w:rsidR="00921509" w:rsidRPr="00BF210F" w:rsidRDefault="00921509" w:rsidP="00D66A20">
            <w:pPr>
              <w:jc w:val="center"/>
              <w:rPr>
                <w:rFonts w:cs="Arial"/>
                <w:sz w:val="20"/>
                <w:szCs w:val="20"/>
              </w:rPr>
            </w:pPr>
            <w:r w:rsidRPr="00BF210F">
              <w:rPr>
                <w:rFonts w:cs="Arial"/>
                <w:sz w:val="20"/>
                <w:szCs w:val="20"/>
              </w:rPr>
              <w:t>32.9</w:t>
            </w:r>
          </w:p>
        </w:tc>
        <w:tc>
          <w:tcPr>
            <w:tcW w:w="1446" w:type="dxa"/>
          </w:tcPr>
          <w:p w14:paraId="1F60332B" w14:textId="77777777" w:rsidR="00921509" w:rsidRPr="00BF210F" w:rsidRDefault="00921509" w:rsidP="00D66A20">
            <w:pPr>
              <w:jc w:val="center"/>
              <w:rPr>
                <w:rFonts w:cs="Arial"/>
                <w:sz w:val="20"/>
                <w:szCs w:val="20"/>
              </w:rPr>
            </w:pPr>
            <w:r w:rsidRPr="00BF210F">
              <w:rPr>
                <w:rFonts w:cs="Arial"/>
                <w:sz w:val="20"/>
                <w:szCs w:val="20"/>
              </w:rPr>
              <w:t>0.165</w:t>
            </w:r>
          </w:p>
        </w:tc>
      </w:tr>
    </w:tbl>
    <w:p w14:paraId="229BBB59" w14:textId="77777777" w:rsidR="00ED1505" w:rsidRPr="00BF210F" w:rsidRDefault="00ED1505" w:rsidP="00ED1505">
      <w:pPr>
        <w:rPr>
          <w:rFonts w:cs="Arial"/>
          <w:sz w:val="16"/>
          <w:lang w:val="en-US"/>
        </w:rPr>
      </w:pPr>
      <w:r w:rsidRPr="00BF210F">
        <w:rPr>
          <w:rFonts w:cs="Arial"/>
          <w:sz w:val="16"/>
          <w:lang w:val="en-US"/>
        </w:rPr>
        <w:t>CI: confidence interval; OR: odds ratio.</w:t>
      </w:r>
    </w:p>
    <w:p w14:paraId="02131A52" w14:textId="77777777" w:rsidR="00921509" w:rsidRPr="00BF210F" w:rsidRDefault="00921509" w:rsidP="00D66A20">
      <w:pPr>
        <w:rPr>
          <w:rFonts w:cs="Arial"/>
          <w:lang w:val="en-US"/>
        </w:rPr>
      </w:pPr>
    </w:p>
    <w:p w14:paraId="31E572DD" w14:textId="77777777" w:rsidR="00EA1A3C" w:rsidRPr="00BF210F" w:rsidRDefault="00EA1A3C" w:rsidP="00D66A20">
      <w:pPr>
        <w:rPr>
          <w:rFonts w:cs="Arial"/>
          <w:b/>
          <w:lang w:val="en-US"/>
        </w:rPr>
      </w:pPr>
      <w:r w:rsidRPr="00BF210F">
        <w:rPr>
          <w:rFonts w:cs="Arial"/>
          <w:b/>
          <w:lang w:val="en-US"/>
        </w:rPr>
        <w:br w:type="page"/>
      </w:r>
    </w:p>
    <w:p w14:paraId="5E8BB07E" w14:textId="31F874CD" w:rsidR="005432BA" w:rsidRPr="00BF210F" w:rsidRDefault="00BF210F" w:rsidP="005432BA">
      <w:pPr>
        <w:rPr>
          <w:rFonts w:cs="Arial"/>
          <w:b/>
          <w:sz w:val="24"/>
          <w:lang w:val="en-US"/>
        </w:rPr>
      </w:pPr>
      <w:r>
        <w:rPr>
          <w:rFonts w:cs="Arial"/>
          <w:b/>
          <w:sz w:val="24"/>
          <w:szCs w:val="24"/>
          <w:lang w:val="en-US"/>
        </w:rPr>
        <w:lastRenderedPageBreak/>
        <w:t xml:space="preserve">Supplementary </w:t>
      </w:r>
      <w:r w:rsidR="005432BA" w:rsidRPr="00BF210F">
        <w:rPr>
          <w:rFonts w:cs="Arial"/>
          <w:b/>
          <w:sz w:val="24"/>
          <w:lang w:val="en-US"/>
        </w:rPr>
        <w:t>Table 1</w:t>
      </w:r>
      <w:r w:rsidR="00AE51C6">
        <w:rPr>
          <w:rFonts w:cs="Arial"/>
          <w:b/>
          <w:sz w:val="24"/>
          <w:lang w:val="en-US"/>
        </w:rPr>
        <w:t>6</w:t>
      </w:r>
      <w:r w:rsidR="005432BA" w:rsidRPr="00BF210F">
        <w:rPr>
          <w:rFonts w:cs="Arial"/>
          <w:b/>
          <w:sz w:val="24"/>
          <w:lang w:val="en-US"/>
        </w:rPr>
        <w:t xml:space="preserve"> – Sensitivity analysis of adjusted Overall Survival </w:t>
      </w:r>
      <w:r w:rsidR="00267E4A" w:rsidRPr="00BF210F">
        <w:rPr>
          <w:rFonts w:cs="Arial"/>
          <w:b/>
          <w:sz w:val="24"/>
          <w:szCs w:val="24"/>
          <w:lang w:val="en-US"/>
        </w:rPr>
        <w:t xml:space="preserve">among </w:t>
      </w:r>
      <w:r w:rsidR="00267E4A">
        <w:rPr>
          <w:rFonts w:cs="Arial"/>
          <w:b/>
          <w:sz w:val="24"/>
          <w:szCs w:val="24"/>
          <w:lang w:val="en-US"/>
        </w:rPr>
        <w:t>WLWH</w:t>
      </w:r>
      <w:r w:rsidR="00267E4A" w:rsidRPr="00BF210F">
        <w:rPr>
          <w:rFonts w:cs="Arial"/>
          <w:b/>
          <w:sz w:val="24"/>
          <w:szCs w:val="24"/>
          <w:lang w:val="en-US"/>
        </w:rPr>
        <w:t xml:space="preserve"> compared with HIV-negative </w:t>
      </w:r>
      <w:r w:rsidR="00267E4A">
        <w:rPr>
          <w:rFonts w:cs="Arial"/>
          <w:b/>
          <w:sz w:val="24"/>
          <w:szCs w:val="24"/>
          <w:lang w:val="en-US"/>
        </w:rPr>
        <w:t xml:space="preserve">women with </w:t>
      </w:r>
      <w:r w:rsidR="00267E4A" w:rsidRPr="00BF210F">
        <w:rPr>
          <w:rFonts w:cs="Arial"/>
          <w:b/>
          <w:sz w:val="24"/>
          <w:szCs w:val="24"/>
          <w:lang w:val="en-US"/>
        </w:rPr>
        <w:t>breast cancer</w:t>
      </w:r>
      <w:r w:rsidR="005432BA" w:rsidRPr="00BF210F">
        <w:rPr>
          <w:rFonts w:cs="Arial"/>
          <w:b/>
          <w:sz w:val="24"/>
          <w:lang w:val="en-US"/>
        </w:rPr>
        <w:t xml:space="preserve"> (North American studies).</w:t>
      </w:r>
    </w:p>
    <w:p w14:paraId="2FFEC6D0" w14:textId="77777777" w:rsidR="005432BA" w:rsidRPr="00BF210F" w:rsidRDefault="005432BA" w:rsidP="005432BA">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5432BA" w:rsidRPr="00BF210F" w14:paraId="7CDF1764" w14:textId="77777777" w:rsidTr="003B65D9">
        <w:tc>
          <w:tcPr>
            <w:tcW w:w="2098" w:type="dxa"/>
            <w:vMerge w:val="restart"/>
          </w:tcPr>
          <w:p w14:paraId="5C1DE8C3" w14:textId="77777777" w:rsidR="005432BA" w:rsidRPr="00BF210F" w:rsidRDefault="005432BA" w:rsidP="003B65D9">
            <w:pPr>
              <w:jc w:val="center"/>
              <w:rPr>
                <w:rFonts w:cs="Arial"/>
                <w:b/>
                <w:sz w:val="20"/>
                <w:szCs w:val="16"/>
              </w:rPr>
            </w:pPr>
            <w:r w:rsidRPr="00BF210F">
              <w:rPr>
                <w:rFonts w:cs="Arial"/>
                <w:b/>
                <w:sz w:val="20"/>
                <w:szCs w:val="16"/>
              </w:rPr>
              <w:t>Study excluded</w:t>
            </w:r>
          </w:p>
        </w:tc>
        <w:tc>
          <w:tcPr>
            <w:tcW w:w="4086" w:type="dxa"/>
            <w:gridSpan w:val="3"/>
          </w:tcPr>
          <w:p w14:paraId="02775A75" w14:textId="77777777" w:rsidR="005432BA" w:rsidRPr="00BF210F" w:rsidRDefault="005432BA" w:rsidP="003B65D9">
            <w:pPr>
              <w:jc w:val="center"/>
              <w:rPr>
                <w:rFonts w:cs="Arial"/>
                <w:b/>
                <w:sz w:val="20"/>
                <w:szCs w:val="16"/>
              </w:rPr>
            </w:pPr>
            <w:r w:rsidRPr="00BF210F">
              <w:rPr>
                <w:rFonts w:cs="Arial"/>
                <w:b/>
                <w:sz w:val="20"/>
                <w:szCs w:val="16"/>
              </w:rPr>
              <w:t>Random effect</w:t>
            </w:r>
          </w:p>
        </w:tc>
        <w:tc>
          <w:tcPr>
            <w:tcW w:w="1539" w:type="dxa"/>
            <w:vMerge w:val="restart"/>
          </w:tcPr>
          <w:p w14:paraId="37D5F746" w14:textId="77777777" w:rsidR="005432BA" w:rsidRPr="00BF210F" w:rsidRDefault="005432BA" w:rsidP="003B65D9">
            <w:pPr>
              <w:jc w:val="center"/>
              <w:rPr>
                <w:rFonts w:cs="Arial"/>
                <w:b/>
                <w:sz w:val="20"/>
                <w:szCs w:val="16"/>
              </w:rPr>
            </w:pPr>
            <w:r w:rsidRPr="00BF210F">
              <w:rPr>
                <w:rFonts w:cs="Arial"/>
                <w:b/>
                <w:sz w:val="20"/>
                <w:szCs w:val="16"/>
              </w:rPr>
              <w:t>I</w:t>
            </w:r>
            <w:r w:rsidRPr="00BF210F">
              <w:rPr>
                <w:rFonts w:cs="Arial"/>
                <w:b/>
                <w:sz w:val="20"/>
                <w:szCs w:val="16"/>
                <w:vertAlign w:val="superscript"/>
              </w:rPr>
              <w:t>2</w:t>
            </w:r>
            <w:r w:rsidRPr="00BF210F">
              <w:rPr>
                <w:rFonts w:cs="Arial"/>
                <w:b/>
                <w:sz w:val="20"/>
                <w:szCs w:val="16"/>
              </w:rPr>
              <w:t xml:space="preserve"> (%)</w:t>
            </w:r>
          </w:p>
        </w:tc>
        <w:tc>
          <w:tcPr>
            <w:tcW w:w="1446" w:type="dxa"/>
            <w:vMerge w:val="restart"/>
          </w:tcPr>
          <w:p w14:paraId="267BF7D3" w14:textId="77777777" w:rsidR="005432BA" w:rsidRPr="00BF210F" w:rsidRDefault="005432BA" w:rsidP="003B65D9">
            <w:pPr>
              <w:jc w:val="center"/>
              <w:rPr>
                <w:rFonts w:cs="Arial"/>
                <w:b/>
                <w:sz w:val="20"/>
                <w:szCs w:val="16"/>
              </w:rPr>
            </w:pPr>
            <w:r w:rsidRPr="00BF210F">
              <w:rPr>
                <w:rFonts w:cs="Arial"/>
                <w:b/>
                <w:sz w:val="20"/>
                <w:szCs w:val="16"/>
              </w:rPr>
              <w:t>I</w:t>
            </w:r>
            <w:r w:rsidRPr="00BF210F">
              <w:rPr>
                <w:rFonts w:cs="Arial"/>
                <w:b/>
                <w:sz w:val="20"/>
                <w:szCs w:val="16"/>
                <w:vertAlign w:val="superscript"/>
              </w:rPr>
              <w:t>2</w:t>
            </w:r>
            <w:r w:rsidRPr="00BF210F">
              <w:rPr>
                <w:rFonts w:cs="Arial"/>
                <w:b/>
                <w:sz w:val="20"/>
                <w:szCs w:val="16"/>
              </w:rPr>
              <w:t xml:space="preserve"> P-value</w:t>
            </w:r>
          </w:p>
        </w:tc>
      </w:tr>
      <w:tr w:rsidR="005432BA" w:rsidRPr="00BF210F" w14:paraId="790439EA" w14:textId="77777777" w:rsidTr="003B65D9">
        <w:tc>
          <w:tcPr>
            <w:tcW w:w="2098" w:type="dxa"/>
            <w:vMerge/>
          </w:tcPr>
          <w:p w14:paraId="15914AF2" w14:textId="77777777" w:rsidR="005432BA" w:rsidRPr="00BF210F" w:rsidRDefault="005432BA" w:rsidP="003B65D9">
            <w:pPr>
              <w:jc w:val="center"/>
              <w:rPr>
                <w:rFonts w:cs="Arial"/>
                <w:b/>
                <w:sz w:val="20"/>
                <w:szCs w:val="16"/>
              </w:rPr>
            </w:pPr>
          </w:p>
        </w:tc>
        <w:tc>
          <w:tcPr>
            <w:tcW w:w="1362" w:type="dxa"/>
          </w:tcPr>
          <w:p w14:paraId="01F4E3E2" w14:textId="77777777" w:rsidR="005432BA" w:rsidRPr="00BF210F" w:rsidRDefault="005432BA" w:rsidP="003B65D9">
            <w:pPr>
              <w:jc w:val="center"/>
              <w:rPr>
                <w:rFonts w:cs="Arial"/>
                <w:b/>
                <w:sz w:val="20"/>
                <w:szCs w:val="16"/>
              </w:rPr>
            </w:pPr>
            <w:r w:rsidRPr="00BF210F">
              <w:rPr>
                <w:rFonts w:cs="Arial"/>
                <w:b/>
                <w:sz w:val="20"/>
                <w:szCs w:val="16"/>
              </w:rPr>
              <w:t>Pooled HR</w:t>
            </w:r>
          </w:p>
        </w:tc>
        <w:tc>
          <w:tcPr>
            <w:tcW w:w="1362" w:type="dxa"/>
          </w:tcPr>
          <w:p w14:paraId="2AD710E5" w14:textId="77777777" w:rsidR="005432BA" w:rsidRPr="00BF210F" w:rsidRDefault="005432BA" w:rsidP="003B65D9">
            <w:pPr>
              <w:jc w:val="center"/>
              <w:rPr>
                <w:rFonts w:cs="Arial"/>
                <w:b/>
                <w:sz w:val="20"/>
                <w:szCs w:val="16"/>
              </w:rPr>
            </w:pPr>
            <w:r w:rsidRPr="00BF210F">
              <w:rPr>
                <w:rFonts w:cs="Arial"/>
                <w:b/>
                <w:sz w:val="20"/>
                <w:szCs w:val="16"/>
              </w:rPr>
              <w:t>95% CI</w:t>
            </w:r>
          </w:p>
        </w:tc>
        <w:tc>
          <w:tcPr>
            <w:tcW w:w="1362" w:type="dxa"/>
          </w:tcPr>
          <w:p w14:paraId="17AFF916" w14:textId="77777777" w:rsidR="005432BA" w:rsidRPr="00BF210F" w:rsidRDefault="005432BA" w:rsidP="003B65D9">
            <w:pPr>
              <w:jc w:val="center"/>
              <w:rPr>
                <w:rFonts w:cs="Arial"/>
                <w:b/>
                <w:sz w:val="20"/>
                <w:szCs w:val="16"/>
              </w:rPr>
            </w:pPr>
            <w:r w:rsidRPr="00BF210F">
              <w:rPr>
                <w:rFonts w:cs="Arial"/>
                <w:b/>
                <w:sz w:val="20"/>
                <w:szCs w:val="16"/>
              </w:rPr>
              <w:t>P-value</w:t>
            </w:r>
          </w:p>
        </w:tc>
        <w:tc>
          <w:tcPr>
            <w:tcW w:w="1539" w:type="dxa"/>
            <w:vMerge/>
          </w:tcPr>
          <w:p w14:paraId="54F38DF1" w14:textId="77777777" w:rsidR="005432BA" w:rsidRPr="00BF210F" w:rsidRDefault="005432BA" w:rsidP="003B65D9">
            <w:pPr>
              <w:jc w:val="center"/>
              <w:rPr>
                <w:rFonts w:cs="Arial"/>
                <w:b/>
                <w:sz w:val="20"/>
                <w:szCs w:val="16"/>
              </w:rPr>
            </w:pPr>
          </w:p>
        </w:tc>
        <w:tc>
          <w:tcPr>
            <w:tcW w:w="1446" w:type="dxa"/>
            <w:vMerge/>
          </w:tcPr>
          <w:p w14:paraId="1E99454C" w14:textId="77777777" w:rsidR="005432BA" w:rsidRPr="00BF210F" w:rsidRDefault="005432BA" w:rsidP="003B65D9">
            <w:pPr>
              <w:jc w:val="center"/>
              <w:rPr>
                <w:rFonts w:cs="Arial"/>
                <w:b/>
                <w:sz w:val="20"/>
                <w:szCs w:val="16"/>
              </w:rPr>
            </w:pPr>
          </w:p>
        </w:tc>
      </w:tr>
      <w:tr w:rsidR="005432BA" w:rsidRPr="00BF210F" w14:paraId="693904E8" w14:textId="77777777" w:rsidTr="003B65D9">
        <w:tc>
          <w:tcPr>
            <w:tcW w:w="2098" w:type="dxa"/>
          </w:tcPr>
          <w:p w14:paraId="322EC6E3" w14:textId="77777777" w:rsidR="005432BA" w:rsidRPr="00BF210F" w:rsidRDefault="005432BA" w:rsidP="003B65D9">
            <w:pPr>
              <w:jc w:val="center"/>
              <w:rPr>
                <w:rFonts w:cs="Arial"/>
                <w:sz w:val="20"/>
                <w:szCs w:val="16"/>
              </w:rPr>
            </w:pPr>
            <w:r w:rsidRPr="00BF210F">
              <w:rPr>
                <w:rFonts w:cs="Arial"/>
                <w:sz w:val="20"/>
                <w:szCs w:val="16"/>
              </w:rPr>
              <w:t>Biggar 2005</w:t>
            </w:r>
          </w:p>
        </w:tc>
        <w:tc>
          <w:tcPr>
            <w:tcW w:w="1362" w:type="dxa"/>
          </w:tcPr>
          <w:p w14:paraId="4790B620" w14:textId="77777777" w:rsidR="005432BA" w:rsidRPr="00BF210F" w:rsidRDefault="005432BA" w:rsidP="003B65D9">
            <w:pPr>
              <w:jc w:val="center"/>
              <w:rPr>
                <w:rFonts w:cs="Arial"/>
                <w:sz w:val="20"/>
                <w:szCs w:val="16"/>
              </w:rPr>
            </w:pPr>
            <w:r w:rsidRPr="00BF210F">
              <w:rPr>
                <w:rFonts w:cs="Arial"/>
                <w:sz w:val="20"/>
                <w:szCs w:val="16"/>
              </w:rPr>
              <w:t>2.85</w:t>
            </w:r>
          </w:p>
        </w:tc>
        <w:tc>
          <w:tcPr>
            <w:tcW w:w="1362" w:type="dxa"/>
          </w:tcPr>
          <w:p w14:paraId="15A7C44B" w14:textId="77777777" w:rsidR="005432BA" w:rsidRPr="00BF210F" w:rsidRDefault="005432BA" w:rsidP="003B65D9">
            <w:pPr>
              <w:jc w:val="center"/>
              <w:rPr>
                <w:rFonts w:cs="Arial"/>
                <w:sz w:val="20"/>
                <w:szCs w:val="16"/>
              </w:rPr>
            </w:pPr>
            <w:r w:rsidRPr="00BF210F">
              <w:rPr>
                <w:rFonts w:cs="Arial"/>
                <w:sz w:val="20"/>
                <w:szCs w:val="16"/>
              </w:rPr>
              <w:t>1.11-7.30</w:t>
            </w:r>
          </w:p>
        </w:tc>
        <w:tc>
          <w:tcPr>
            <w:tcW w:w="1362" w:type="dxa"/>
          </w:tcPr>
          <w:p w14:paraId="60221C7A" w14:textId="77777777" w:rsidR="005432BA" w:rsidRPr="00BF210F" w:rsidRDefault="005432BA" w:rsidP="003B65D9">
            <w:pPr>
              <w:jc w:val="center"/>
              <w:rPr>
                <w:rFonts w:cs="Arial"/>
                <w:sz w:val="20"/>
                <w:szCs w:val="16"/>
              </w:rPr>
            </w:pPr>
            <w:r w:rsidRPr="00BF210F">
              <w:rPr>
                <w:rFonts w:cs="Arial"/>
                <w:sz w:val="20"/>
                <w:szCs w:val="16"/>
              </w:rPr>
              <w:t>0.029</w:t>
            </w:r>
          </w:p>
        </w:tc>
        <w:tc>
          <w:tcPr>
            <w:tcW w:w="1539" w:type="dxa"/>
          </w:tcPr>
          <w:p w14:paraId="17AB6D1C" w14:textId="77777777" w:rsidR="005432BA" w:rsidRPr="00BF210F" w:rsidRDefault="005432BA" w:rsidP="003B65D9">
            <w:pPr>
              <w:jc w:val="center"/>
              <w:rPr>
                <w:rFonts w:cs="Arial"/>
                <w:sz w:val="20"/>
                <w:szCs w:val="16"/>
              </w:rPr>
            </w:pPr>
            <w:r w:rsidRPr="00BF210F">
              <w:rPr>
                <w:rFonts w:cs="Arial"/>
                <w:sz w:val="20"/>
                <w:szCs w:val="16"/>
              </w:rPr>
              <w:t>99.0</w:t>
            </w:r>
          </w:p>
        </w:tc>
        <w:tc>
          <w:tcPr>
            <w:tcW w:w="1446" w:type="dxa"/>
          </w:tcPr>
          <w:p w14:paraId="26857728" w14:textId="77777777" w:rsidR="005432BA" w:rsidRPr="00BF210F" w:rsidRDefault="005432BA" w:rsidP="003B65D9">
            <w:pPr>
              <w:jc w:val="center"/>
              <w:rPr>
                <w:rFonts w:cs="Arial"/>
                <w:sz w:val="20"/>
                <w:szCs w:val="16"/>
              </w:rPr>
            </w:pPr>
            <w:r w:rsidRPr="00BF210F">
              <w:rPr>
                <w:rFonts w:cs="Arial"/>
                <w:sz w:val="20"/>
                <w:szCs w:val="16"/>
              </w:rPr>
              <w:t>&lt;0.001</w:t>
            </w:r>
          </w:p>
        </w:tc>
      </w:tr>
      <w:tr w:rsidR="005432BA" w:rsidRPr="00BF210F" w14:paraId="6847CE0A" w14:textId="77777777" w:rsidTr="003B65D9">
        <w:tc>
          <w:tcPr>
            <w:tcW w:w="2098" w:type="dxa"/>
          </w:tcPr>
          <w:p w14:paraId="4B7E2E25" w14:textId="77777777" w:rsidR="005432BA" w:rsidRPr="00BF210F" w:rsidRDefault="005432BA" w:rsidP="003B65D9">
            <w:pPr>
              <w:jc w:val="center"/>
              <w:rPr>
                <w:rFonts w:cs="Arial"/>
                <w:sz w:val="20"/>
                <w:szCs w:val="16"/>
              </w:rPr>
            </w:pPr>
            <w:r w:rsidRPr="00BF210F">
              <w:rPr>
                <w:rFonts w:cs="Arial"/>
                <w:sz w:val="20"/>
                <w:szCs w:val="16"/>
              </w:rPr>
              <w:t>Coghill 2015</w:t>
            </w:r>
          </w:p>
        </w:tc>
        <w:tc>
          <w:tcPr>
            <w:tcW w:w="1362" w:type="dxa"/>
          </w:tcPr>
          <w:p w14:paraId="42BD1091" w14:textId="77777777" w:rsidR="005432BA" w:rsidRPr="00BF210F" w:rsidRDefault="005432BA" w:rsidP="003B65D9">
            <w:pPr>
              <w:jc w:val="center"/>
              <w:rPr>
                <w:rFonts w:cs="Arial"/>
                <w:sz w:val="20"/>
                <w:szCs w:val="16"/>
              </w:rPr>
            </w:pPr>
            <w:r w:rsidRPr="00BF210F">
              <w:rPr>
                <w:rFonts w:cs="Arial"/>
                <w:sz w:val="20"/>
                <w:szCs w:val="16"/>
              </w:rPr>
              <w:t>1.77</w:t>
            </w:r>
          </w:p>
        </w:tc>
        <w:tc>
          <w:tcPr>
            <w:tcW w:w="1362" w:type="dxa"/>
          </w:tcPr>
          <w:p w14:paraId="6A315D52" w14:textId="77777777" w:rsidR="005432BA" w:rsidRPr="00BF210F" w:rsidRDefault="005432BA" w:rsidP="003B65D9">
            <w:pPr>
              <w:jc w:val="center"/>
              <w:rPr>
                <w:rFonts w:cs="Arial"/>
                <w:sz w:val="20"/>
                <w:szCs w:val="16"/>
              </w:rPr>
            </w:pPr>
            <w:r w:rsidRPr="00BF210F">
              <w:rPr>
                <w:rFonts w:cs="Arial"/>
                <w:sz w:val="20"/>
                <w:szCs w:val="16"/>
              </w:rPr>
              <w:t>1.62-1.93</w:t>
            </w:r>
          </w:p>
        </w:tc>
        <w:tc>
          <w:tcPr>
            <w:tcW w:w="1362" w:type="dxa"/>
          </w:tcPr>
          <w:p w14:paraId="02D5FA0B" w14:textId="77777777" w:rsidR="005432BA" w:rsidRPr="00BF210F" w:rsidRDefault="005432BA" w:rsidP="003B65D9">
            <w:pPr>
              <w:jc w:val="center"/>
              <w:rPr>
                <w:rFonts w:cs="Arial"/>
                <w:sz w:val="20"/>
                <w:szCs w:val="16"/>
              </w:rPr>
            </w:pPr>
            <w:r w:rsidRPr="00BF210F">
              <w:rPr>
                <w:rFonts w:cs="Arial"/>
                <w:sz w:val="20"/>
                <w:szCs w:val="16"/>
              </w:rPr>
              <w:t>&lt;0.001</w:t>
            </w:r>
          </w:p>
        </w:tc>
        <w:tc>
          <w:tcPr>
            <w:tcW w:w="1539" w:type="dxa"/>
          </w:tcPr>
          <w:p w14:paraId="65E63702" w14:textId="77777777" w:rsidR="005432BA" w:rsidRPr="00BF210F" w:rsidRDefault="005432BA" w:rsidP="003B65D9">
            <w:pPr>
              <w:jc w:val="center"/>
              <w:rPr>
                <w:rFonts w:cs="Arial"/>
                <w:sz w:val="20"/>
                <w:szCs w:val="16"/>
              </w:rPr>
            </w:pPr>
            <w:r w:rsidRPr="00BF210F">
              <w:rPr>
                <w:rFonts w:cs="Arial"/>
                <w:sz w:val="20"/>
                <w:szCs w:val="16"/>
              </w:rPr>
              <w:t>0.0</w:t>
            </w:r>
          </w:p>
        </w:tc>
        <w:tc>
          <w:tcPr>
            <w:tcW w:w="1446" w:type="dxa"/>
          </w:tcPr>
          <w:p w14:paraId="4BD93EB7" w14:textId="77777777" w:rsidR="005432BA" w:rsidRPr="00BF210F" w:rsidRDefault="005432BA" w:rsidP="003B65D9">
            <w:pPr>
              <w:jc w:val="center"/>
              <w:rPr>
                <w:rFonts w:cs="Arial"/>
                <w:sz w:val="20"/>
                <w:szCs w:val="16"/>
              </w:rPr>
            </w:pPr>
            <w:r w:rsidRPr="00BF210F">
              <w:rPr>
                <w:rFonts w:cs="Arial"/>
                <w:sz w:val="20"/>
                <w:szCs w:val="16"/>
              </w:rPr>
              <w:t>0.816</w:t>
            </w:r>
          </w:p>
        </w:tc>
      </w:tr>
      <w:tr w:rsidR="005432BA" w:rsidRPr="00BF210F" w14:paraId="1CBC3FAA" w14:textId="77777777" w:rsidTr="003B65D9">
        <w:tc>
          <w:tcPr>
            <w:tcW w:w="2098" w:type="dxa"/>
          </w:tcPr>
          <w:p w14:paraId="25B8547D" w14:textId="77777777" w:rsidR="005432BA" w:rsidRPr="00BF210F" w:rsidRDefault="005432BA" w:rsidP="003B65D9">
            <w:pPr>
              <w:jc w:val="center"/>
              <w:rPr>
                <w:rFonts w:cs="Arial"/>
                <w:sz w:val="20"/>
                <w:szCs w:val="16"/>
              </w:rPr>
            </w:pPr>
            <w:r w:rsidRPr="00BF210F">
              <w:rPr>
                <w:rFonts w:cs="Arial"/>
                <w:sz w:val="20"/>
                <w:szCs w:val="16"/>
              </w:rPr>
              <w:t>Coghill 2019</w:t>
            </w:r>
          </w:p>
        </w:tc>
        <w:tc>
          <w:tcPr>
            <w:tcW w:w="1362" w:type="dxa"/>
          </w:tcPr>
          <w:p w14:paraId="2B8E06BE" w14:textId="77777777" w:rsidR="005432BA" w:rsidRPr="00BF210F" w:rsidRDefault="005432BA" w:rsidP="003B65D9">
            <w:pPr>
              <w:jc w:val="center"/>
              <w:rPr>
                <w:rFonts w:cs="Arial"/>
                <w:sz w:val="20"/>
                <w:szCs w:val="16"/>
              </w:rPr>
            </w:pPr>
            <w:r w:rsidRPr="00BF210F">
              <w:rPr>
                <w:rFonts w:cs="Arial"/>
                <w:sz w:val="20"/>
                <w:szCs w:val="16"/>
              </w:rPr>
              <w:t>2.96</w:t>
            </w:r>
          </w:p>
        </w:tc>
        <w:tc>
          <w:tcPr>
            <w:tcW w:w="1362" w:type="dxa"/>
          </w:tcPr>
          <w:p w14:paraId="02A57DDF" w14:textId="77777777" w:rsidR="005432BA" w:rsidRPr="00BF210F" w:rsidRDefault="005432BA" w:rsidP="003B65D9">
            <w:pPr>
              <w:jc w:val="center"/>
              <w:rPr>
                <w:rFonts w:cs="Arial"/>
                <w:sz w:val="20"/>
                <w:szCs w:val="16"/>
              </w:rPr>
            </w:pPr>
            <w:r w:rsidRPr="00BF210F">
              <w:rPr>
                <w:rFonts w:cs="Arial"/>
                <w:sz w:val="20"/>
                <w:szCs w:val="16"/>
              </w:rPr>
              <w:t>1.06-8.25</w:t>
            </w:r>
          </w:p>
        </w:tc>
        <w:tc>
          <w:tcPr>
            <w:tcW w:w="1362" w:type="dxa"/>
          </w:tcPr>
          <w:p w14:paraId="21DA7522" w14:textId="77777777" w:rsidR="005432BA" w:rsidRPr="00BF210F" w:rsidRDefault="005432BA" w:rsidP="003B65D9">
            <w:pPr>
              <w:jc w:val="center"/>
              <w:rPr>
                <w:rFonts w:cs="Arial"/>
                <w:sz w:val="20"/>
                <w:szCs w:val="16"/>
              </w:rPr>
            </w:pPr>
            <w:r w:rsidRPr="00BF210F">
              <w:rPr>
                <w:rFonts w:cs="Arial"/>
                <w:sz w:val="20"/>
                <w:szCs w:val="16"/>
              </w:rPr>
              <w:t>0.038</w:t>
            </w:r>
          </w:p>
        </w:tc>
        <w:tc>
          <w:tcPr>
            <w:tcW w:w="1539" w:type="dxa"/>
          </w:tcPr>
          <w:p w14:paraId="54CC57C5" w14:textId="77777777" w:rsidR="005432BA" w:rsidRPr="00BF210F" w:rsidRDefault="005432BA" w:rsidP="003B65D9">
            <w:pPr>
              <w:jc w:val="center"/>
              <w:rPr>
                <w:rFonts w:cs="Arial"/>
                <w:sz w:val="20"/>
                <w:szCs w:val="16"/>
              </w:rPr>
            </w:pPr>
            <w:r w:rsidRPr="00BF210F">
              <w:rPr>
                <w:rFonts w:cs="Arial"/>
                <w:sz w:val="20"/>
                <w:szCs w:val="16"/>
              </w:rPr>
              <w:t>82.8</w:t>
            </w:r>
          </w:p>
        </w:tc>
        <w:tc>
          <w:tcPr>
            <w:tcW w:w="1446" w:type="dxa"/>
          </w:tcPr>
          <w:p w14:paraId="3E4FF6CF" w14:textId="77777777" w:rsidR="005432BA" w:rsidRPr="00BF210F" w:rsidRDefault="005432BA" w:rsidP="003B65D9">
            <w:pPr>
              <w:jc w:val="center"/>
              <w:rPr>
                <w:rFonts w:cs="Arial"/>
                <w:sz w:val="20"/>
                <w:szCs w:val="16"/>
              </w:rPr>
            </w:pPr>
            <w:r w:rsidRPr="00BF210F">
              <w:rPr>
                <w:rFonts w:cs="Arial"/>
                <w:sz w:val="20"/>
                <w:szCs w:val="16"/>
              </w:rPr>
              <w:t>0.016</w:t>
            </w:r>
          </w:p>
        </w:tc>
      </w:tr>
    </w:tbl>
    <w:p w14:paraId="7CE315C6" w14:textId="77777777" w:rsidR="005432BA" w:rsidRPr="00BF210F" w:rsidRDefault="005432BA" w:rsidP="005432BA">
      <w:pPr>
        <w:rPr>
          <w:rFonts w:cs="Arial"/>
          <w:sz w:val="20"/>
          <w:lang w:val="en-US"/>
        </w:rPr>
      </w:pPr>
      <w:r w:rsidRPr="00BF210F">
        <w:rPr>
          <w:rFonts w:cs="Arial"/>
          <w:sz w:val="16"/>
          <w:lang w:val="en-US"/>
        </w:rPr>
        <w:t>CI: confidence interval; HR: hazard ratio.</w:t>
      </w:r>
    </w:p>
    <w:p w14:paraId="2E8EF1DF" w14:textId="77777777" w:rsidR="005432BA" w:rsidRPr="00BF210F" w:rsidRDefault="005432BA" w:rsidP="005432BA">
      <w:pPr>
        <w:rPr>
          <w:rFonts w:cs="Arial"/>
          <w:lang w:val="en-US"/>
        </w:rPr>
      </w:pPr>
    </w:p>
    <w:p w14:paraId="5071563F" w14:textId="63895FC0" w:rsidR="005432BA" w:rsidRPr="00BF210F" w:rsidRDefault="00BF210F" w:rsidP="005432BA">
      <w:pPr>
        <w:rPr>
          <w:rFonts w:cs="Arial"/>
          <w:sz w:val="24"/>
          <w:lang w:val="en-US"/>
        </w:rPr>
      </w:pPr>
      <w:r>
        <w:rPr>
          <w:rFonts w:cs="Arial"/>
          <w:b/>
          <w:sz w:val="24"/>
          <w:szCs w:val="24"/>
          <w:lang w:val="en-US"/>
        </w:rPr>
        <w:t xml:space="preserve">Supplementary </w:t>
      </w:r>
      <w:r w:rsidR="005432BA" w:rsidRPr="00BF210F">
        <w:rPr>
          <w:rFonts w:cs="Arial"/>
          <w:b/>
          <w:sz w:val="24"/>
          <w:lang w:val="en-US"/>
        </w:rPr>
        <w:t>Table 1</w:t>
      </w:r>
      <w:r w:rsidR="00AE51C6">
        <w:rPr>
          <w:rFonts w:cs="Arial"/>
          <w:b/>
          <w:sz w:val="24"/>
          <w:lang w:val="en-US"/>
        </w:rPr>
        <w:t>7</w:t>
      </w:r>
      <w:r w:rsidR="005432BA" w:rsidRPr="00BF210F">
        <w:rPr>
          <w:rFonts w:cs="Arial"/>
          <w:sz w:val="24"/>
          <w:lang w:val="en-US"/>
        </w:rPr>
        <w:t xml:space="preserve"> </w:t>
      </w:r>
      <w:r w:rsidR="005432BA" w:rsidRPr="00BF210F">
        <w:rPr>
          <w:rFonts w:cs="Arial"/>
          <w:b/>
          <w:sz w:val="24"/>
          <w:lang w:val="en-US"/>
        </w:rPr>
        <w:t xml:space="preserve">– Sensitivity analysis of adjusted Overall Survival </w:t>
      </w:r>
      <w:r w:rsidR="00267E4A" w:rsidRPr="00BF210F">
        <w:rPr>
          <w:rFonts w:cs="Arial"/>
          <w:b/>
          <w:sz w:val="24"/>
          <w:szCs w:val="24"/>
          <w:lang w:val="en-US"/>
        </w:rPr>
        <w:t xml:space="preserve">among </w:t>
      </w:r>
      <w:r w:rsidR="00267E4A">
        <w:rPr>
          <w:rFonts w:cs="Arial"/>
          <w:b/>
          <w:sz w:val="24"/>
          <w:szCs w:val="24"/>
          <w:lang w:val="en-US"/>
        </w:rPr>
        <w:t>WLWH</w:t>
      </w:r>
      <w:r w:rsidR="00267E4A" w:rsidRPr="00BF210F">
        <w:rPr>
          <w:rFonts w:cs="Arial"/>
          <w:b/>
          <w:sz w:val="24"/>
          <w:szCs w:val="24"/>
          <w:lang w:val="en-US"/>
        </w:rPr>
        <w:t xml:space="preserve"> compared with HIV-negative </w:t>
      </w:r>
      <w:r w:rsidR="00267E4A">
        <w:rPr>
          <w:rFonts w:cs="Arial"/>
          <w:b/>
          <w:sz w:val="24"/>
          <w:szCs w:val="24"/>
          <w:lang w:val="en-US"/>
        </w:rPr>
        <w:t xml:space="preserve">women with </w:t>
      </w:r>
      <w:r w:rsidR="00267E4A" w:rsidRPr="00BF210F">
        <w:rPr>
          <w:rFonts w:cs="Arial"/>
          <w:b/>
          <w:sz w:val="24"/>
          <w:szCs w:val="24"/>
          <w:lang w:val="en-US"/>
        </w:rPr>
        <w:t>breast cancer</w:t>
      </w:r>
      <w:r w:rsidR="005432BA" w:rsidRPr="00BF210F">
        <w:rPr>
          <w:rFonts w:cs="Arial"/>
          <w:b/>
          <w:sz w:val="24"/>
          <w:lang w:val="en-US"/>
        </w:rPr>
        <w:t xml:space="preserve"> (Sub-Saharan African studies).</w:t>
      </w:r>
    </w:p>
    <w:p w14:paraId="27069697" w14:textId="77777777" w:rsidR="005432BA" w:rsidRPr="00BF210F" w:rsidRDefault="005432BA" w:rsidP="005432BA">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5432BA" w:rsidRPr="00BF210F" w14:paraId="45237AE4" w14:textId="77777777" w:rsidTr="003B65D9">
        <w:tc>
          <w:tcPr>
            <w:tcW w:w="2098" w:type="dxa"/>
            <w:vMerge w:val="restart"/>
          </w:tcPr>
          <w:p w14:paraId="42CBE151" w14:textId="77777777" w:rsidR="005432BA" w:rsidRPr="00BF210F" w:rsidRDefault="005432BA" w:rsidP="003B65D9">
            <w:pPr>
              <w:jc w:val="center"/>
              <w:rPr>
                <w:rFonts w:cs="Arial"/>
                <w:b/>
                <w:sz w:val="20"/>
                <w:szCs w:val="20"/>
              </w:rPr>
            </w:pPr>
            <w:r w:rsidRPr="00BF210F">
              <w:rPr>
                <w:rFonts w:cs="Arial"/>
                <w:b/>
                <w:sz w:val="20"/>
                <w:szCs w:val="20"/>
              </w:rPr>
              <w:t>Study excluded</w:t>
            </w:r>
          </w:p>
        </w:tc>
        <w:tc>
          <w:tcPr>
            <w:tcW w:w="4086" w:type="dxa"/>
            <w:gridSpan w:val="3"/>
          </w:tcPr>
          <w:p w14:paraId="228FBEB0" w14:textId="77777777" w:rsidR="005432BA" w:rsidRPr="00BF210F" w:rsidRDefault="005432BA" w:rsidP="003B65D9">
            <w:pPr>
              <w:jc w:val="center"/>
              <w:rPr>
                <w:rFonts w:cs="Arial"/>
                <w:b/>
                <w:sz w:val="20"/>
                <w:szCs w:val="20"/>
              </w:rPr>
            </w:pPr>
            <w:r w:rsidRPr="00BF210F">
              <w:rPr>
                <w:rFonts w:cs="Arial"/>
                <w:b/>
                <w:sz w:val="20"/>
                <w:szCs w:val="20"/>
              </w:rPr>
              <w:t>Random effect</w:t>
            </w:r>
          </w:p>
        </w:tc>
        <w:tc>
          <w:tcPr>
            <w:tcW w:w="1539" w:type="dxa"/>
            <w:vMerge w:val="restart"/>
          </w:tcPr>
          <w:p w14:paraId="7F932CBE" w14:textId="77777777" w:rsidR="005432BA" w:rsidRPr="00BF210F" w:rsidRDefault="005432BA" w:rsidP="003B65D9">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w:t>
            </w:r>
          </w:p>
        </w:tc>
        <w:tc>
          <w:tcPr>
            <w:tcW w:w="1446" w:type="dxa"/>
            <w:vMerge w:val="restart"/>
          </w:tcPr>
          <w:p w14:paraId="4C2867D0" w14:textId="77777777" w:rsidR="005432BA" w:rsidRPr="00BF210F" w:rsidRDefault="005432BA" w:rsidP="003B65D9">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P-value</w:t>
            </w:r>
          </w:p>
        </w:tc>
      </w:tr>
      <w:tr w:rsidR="005432BA" w:rsidRPr="00BF210F" w14:paraId="3E87E7BD" w14:textId="77777777" w:rsidTr="003B65D9">
        <w:tc>
          <w:tcPr>
            <w:tcW w:w="2098" w:type="dxa"/>
            <w:vMerge/>
          </w:tcPr>
          <w:p w14:paraId="7D2E5EFB" w14:textId="77777777" w:rsidR="005432BA" w:rsidRPr="00BF210F" w:rsidRDefault="005432BA" w:rsidP="003B65D9">
            <w:pPr>
              <w:jc w:val="center"/>
              <w:rPr>
                <w:rFonts w:cs="Arial"/>
                <w:b/>
                <w:sz w:val="20"/>
                <w:szCs w:val="20"/>
              </w:rPr>
            </w:pPr>
          </w:p>
        </w:tc>
        <w:tc>
          <w:tcPr>
            <w:tcW w:w="1362" w:type="dxa"/>
          </w:tcPr>
          <w:p w14:paraId="76FEC16F" w14:textId="77777777" w:rsidR="005432BA" w:rsidRPr="00BF210F" w:rsidRDefault="005432BA" w:rsidP="003B65D9">
            <w:pPr>
              <w:jc w:val="center"/>
              <w:rPr>
                <w:rFonts w:cs="Arial"/>
                <w:b/>
                <w:sz w:val="20"/>
                <w:szCs w:val="20"/>
              </w:rPr>
            </w:pPr>
            <w:r w:rsidRPr="00BF210F">
              <w:rPr>
                <w:rFonts w:cs="Arial"/>
                <w:b/>
                <w:sz w:val="20"/>
                <w:szCs w:val="20"/>
              </w:rPr>
              <w:t>Pooled HR</w:t>
            </w:r>
          </w:p>
        </w:tc>
        <w:tc>
          <w:tcPr>
            <w:tcW w:w="1362" w:type="dxa"/>
          </w:tcPr>
          <w:p w14:paraId="264FC213" w14:textId="77777777" w:rsidR="005432BA" w:rsidRPr="00BF210F" w:rsidRDefault="005432BA" w:rsidP="003B65D9">
            <w:pPr>
              <w:jc w:val="center"/>
              <w:rPr>
                <w:rFonts w:cs="Arial"/>
                <w:b/>
                <w:sz w:val="20"/>
                <w:szCs w:val="20"/>
              </w:rPr>
            </w:pPr>
            <w:r w:rsidRPr="00BF210F">
              <w:rPr>
                <w:rFonts w:cs="Arial"/>
                <w:b/>
                <w:sz w:val="20"/>
                <w:szCs w:val="20"/>
              </w:rPr>
              <w:t>95% CI</w:t>
            </w:r>
          </w:p>
        </w:tc>
        <w:tc>
          <w:tcPr>
            <w:tcW w:w="1362" w:type="dxa"/>
          </w:tcPr>
          <w:p w14:paraId="5CD52B64" w14:textId="77777777" w:rsidR="005432BA" w:rsidRPr="00BF210F" w:rsidRDefault="005432BA" w:rsidP="003B65D9">
            <w:pPr>
              <w:jc w:val="center"/>
              <w:rPr>
                <w:rFonts w:cs="Arial"/>
                <w:b/>
                <w:sz w:val="20"/>
                <w:szCs w:val="20"/>
              </w:rPr>
            </w:pPr>
            <w:r w:rsidRPr="00BF210F">
              <w:rPr>
                <w:rFonts w:cs="Arial"/>
                <w:b/>
                <w:sz w:val="20"/>
                <w:szCs w:val="20"/>
              </w:rPr>
              <w:t>P-value</w:t>
            </w:r>
          </w:p>
        </w:tc>
        <w:tc>
          <w:tcPr>
            <w:tcW w:w="1539" w:type="dxa"/>
            <w:vMerge/>
          </w:tcPr>
          <w:p w14:paraId="78EE8905" w14:textId="77777777" w:rsidR="005432BA" w:rsidRPr="00BF210F" w:rsidRDefault="005432BA" w:rsidP="003B65D9">
            <w:pPr>
              <w:jc w:val="center"/>
              <w:rPr>
                <w:rFonts w:cs="Arial"/>
                <w:b/>
                <w:sz w:val="20"/>
                <w:szCs w:val="20"/>
              </w:rPr>
            </w:pPr>
          </w:p>
        </w:tc>
        <w:tc>
          <w:tcPr>
            <w:tcW w:w="1446" w:type="dxa"/>
            <w:vMerge/>
          </w:tcPr>
          <w:p w14:paraId="720B8205" w14:textId="77777777" w:rsidR="005432BA" w:rsidRPr="00BF210F" w:rsidRDefault="005432BA" w:rsidP="003B65D9">
            <w:pPr>
              <w:jc w:val="center"/>
              <w:rPr>
                <w:rFonts w:cs="Arial"/>
                <w:b/>
                <w:sz w:val="20"/>
                <w:szCs w:val="20"/>
              </w:rPr>
            </w:pPr>
          </w:p>
        </w:tc>
      </w:tr>
      <w:tr w:rsidR="005432BA" w:rsidRPr="00BF210F" w14:paraId="3E24D879" w14:textId="77777777" w:rsidTr="003B65D9">
        <w:tc>
          <w:tcPr>
            <w:tcW w:w="2098" w:type="dxa"/>
          </w:tcPr>
          <w:p w14:paraId="7ED2031D" w14:textId="77777777" w:rsidR="005432BA" w:rsidRPr="00BF210F" w:rsidRDefault="005432BA" w:rsidP="003B65D9">
            <w:pPr>
              <w:jc w:val="center"/>
              <w:rPr>
                <w:rFonts w:cs="Arial"/>
                <w:sz w:val="20"/>
                <w:szCs w:val="20"/>
              </w:rPr>
            </w:pPr>
            <w:r w:rsidRPr="00BF210F">
              <w:rPr>
                <w:rFonts w:cs="Arial"/>
                <w:sz w:val="20"/>
                <w:szCs w:val="20"/>
              </w:rPr>
              <w:t>Coghill 2013</w:t>
            </w:r>
          </w:p>
        </w:tc>
        <w:tc>
          <w:tcPr>
            <w:tcW w:w="1362" w:type="dxa"/>
          </w:tcPr>
          <w:p w14:paraId="59CE7E59" w14:textId="77777777" w:rsidR="005432BA" w:rsidRPr="00BF210F" w:rsidRDefault="005432BA" w:rsidP="003B65D9">
            <w:pPr>
              <w:jc w:val="center"/>
              <w:rPr>
                <w:rFonts w:cs="Arial"/>
                <w:sz w:val="20"/>
                <w:szCs w:val="20"/>
              </w:rPr>
            </w:pPr>
            <w:r w:rsidRPr="00BF210F">
              <w:rPr>
                <w:rFonts w:cs="Arial"/>
                <w:sz w:val="20"/>
                <w:szCs w:val="20"/>
              </w:rPr>
              <w:t>1.51</w:t>
            </w:r>
          </w:p>
        </w:tc>
        <w:tc>
          <w:tcPr>
            <w:tcW w:w="1362" w:type="dxa"/>
          </w:tcPr>
          <w:p w14:paraId="61D1FE43" w14:textId="77777777" w:rsidR="005432BA" w:rsidRPr="00BF210F" w:rsidRDefault="005432BA" w:rsidP="003B65D9">
            <w:pPr>
              <w:jc w:val="center"/>
              <w:rPr>
                <w:rFonts w:cs="Arial"/>
                <w:sz w:val="20"/>
                <w:szCs w:val="20"/>
              </w:rPr>
            </w:pPr>
            <w:r w:rsidRPr="00BF210F">
              <w:rPr>
                <w:rFonts w:cs="Arial"/>
                <w:sz w:val="20"/>
                <w:szCs w:val="20"/>
              </w:rPr>
              <w:t>1.14-2.00</w:t>
            </w:r>
          </w:p>
        </w:tc>
        <w:tc>
          <w:tcPr>
            <w:tcW w:w="1362" w:type="dxa"/>
          </w:tcPr>
          <w:p w14:paraId="501439B0" w14:textId="77777777" w:rsidR="005432BA" w:rsidRPr="00BF210F" w:rsidRDefault="005432BA" w:rsidP="003B65D9">
            <w:pPr>
              <w:jc w:val="center"/>
              <w:rPr>
                <w:rFonts w:cs="Arial"/>
                <w:sz w:val="20"/>
                <w:szCs w:val="20"/>
              </w:rPr>
            </w:pPr>
            <w:r w:rsidRPr="00BF210F">
              <w:rPr>
                <w:rFonts w:cs="Arial"/>
                <w:sz w:val="20"/>
                <w:szCs w:val="20"/>
              </w:rPr>
              <w:t>0.004</w:t>
            </w:r>
          </w:p>
        </w:tc>
        <w:tc>
          <w:tcPr>
            <w:tcW w:w="1539" w:type="dxa"/>
          </w:tcPr>
          <w:p w14:paraId="32F5FD9D" w14:textId="77777777" w:rsidR="005432BA" w:rsidRPr="00BF210F" w:rsidRDefault="005432BA" w:rsidP="003B65D9">
            <w:pPr>
              <w:jc w:val="center"/>
              <w:rPr>
                <w:rFonts w:cs="Arial"/>
                <w:sz w:val="20"/>
                <w:szCs w:val="20"/>
              </w:rPr>
            </w:pPr>
            <w:r w:rsidRPr="00BF210F">
              <w:rPr>
                <w:rFonts w:cs="Arial"/>
                <w:sz w:val="20"/>
                <w:szCs w:val="20"/>
              </w:rPr>
              <w:t>23.0</w:t>
            </w:r>
          </w:p>
        </w:tc>
        <w:tc>
          <w:tcPr>
            <w:tcW w:w="1446" w:type="dxa"/>
          </w:tcPr>
          <w:p w14:paraId="220F405C" w14:textId="77777777" w:rsidR="005432BA" w:rsidRPr="00BF210F" w:rsidRDefault="005432BA" w:rsidP="003B65D9">
            <w:pPr>
              <w:jc w:val="center"/>
              <w:rPr>
                <w:rFonts w:cs="Arial"/>
                <w:sz w:val="20"/>
                <w:szCs w:val="20"/>
              </w:rPr>
            </w:pPr>
            <w:r w:rsidRPr="00BF210F">
              <w:rPr>
                <w:rFonts w:cs="Arial"/>
                <w:sz w:val="20"/>
                <w:szCs w:val="20"/>
              </w:rPr>
              <w:t>0.273</w:t>
            </w:r>
          </w:p>
        </w:tc>
      </w:tr>
      <w:tr w:rsidR="005432BA" w:rsidRPr="00BF210F" w14:paraId="670DA3DD" w14:textId="77777777" w:rsidTr="003B65D9">
        <w:tc>
          <w:tcPr>
            <w:tcW w:w="2098" w:type="dxa"/>
          </w:tcPr>
          <w:p w14:paraId="269165A3" w14:textId="77777777" w:rsidR="005432BA" w:rsidRPr="00BF210F" w:rsidRDefault="005432BA" w:rsidP="003B65D9">
            <w:pPr>
              <w:jc w:val="center"/>
              <w:rPr>
                <w:rFonts w:cs="Arial"/>
                <w:sz w:val="20"/>
                <w:szCs w:val="20"/>
              </w:rPr>
            </w:pPr>
            <w:r w:rsidRPr="00BF210F">
              <w:rPr>
                <w:rFonts w:cs="Arial"/>
                <w:sz w:val="20"/>
                <w:szCs w:val="20"/>
              </w:rPr>
              <w:t>Cubasch 2018</w:t>
            </w:r>
          </w:p>
        </w:tc>
        <w:tc>
          <w:tcPr>
            <w:tcW w:w="1362" w:type="dxa"/>
          </w:tcPr>
          <w:p w14:paraId="32F4E33A" w14:textId="77777777" w:rsidR="005432BA" w:rsidRPr="00BF210F" w:rsidRDefault="005432BA" w:rsidP="003B65D9">
            <w:pPr>
              <w:jc w:val="center"/>
              <w:rPr>
                <w:rFonts w:cs="Arial"/>
                <w:sz w:val="20"/>
                <w:szCs w:val="20"/>
              </w:rPr>
            </w:pPr>
            <w:r w:rsidRPr="00BF210F">
              <w:rPr>
                <w:rFonts w:cs="Arial"/>
                <w:sz w:val="20"/>
                <w:szCs w:val="20"/>
              </w:rPr>
              <w:t>1.59</w:t>
            </w:r>
          </w:p>
        </w:tc>
        <w:tc>
          <w:tcPr>
            <w:tcW w:w="1362" w:type="dxa"/>
          </w:tcPr>
          <w:p w14:paraId="77BDE6B5" w14:textId="77777777" w:rsidR="005432BA" w:rsidRPr="00BF210F" w:rsidRDefault="005432BA" w:rsidP="003B65D9">
            <w:pPr>
              <w:jc w:val="center"/>
              <w:rPr>
                <w:rFonts w:cs="Arial"/>
                <w:sz w:val="20"/>
                <w:szCs w:val="20"/>
              </w:rPr>
            </w:pPr>
            <w:r w:rsidRPr="00BF210F">
              <w:rPr>
                <w:rFonts w:cs="Arial"/>
                <w:sz w:val="20"/>
                <w:szCs w:val="20"/>
              </w:rPr>
              <w:t>1.16-2.19</w:t>
            </w:r>
          </w:p>
        </w:tc>
        <w:tc>
          <w:tcPr>
            <w:tcW w:w="1362" w:type="dxa"/>
          </w:tcPr>
          <w:p w14:paraId="4B48A843" w14:textId="77777777" w:rsidR="005432BA" w:rsidRPr="00BF210F" w:rsidRDefault="005432BA" w:rsidP="003B65D9">
            <w:pPr>
              <w:jc w:val="center"/>
              <w:rPr>
                <w:rFonts w:cs="Arial"/>
                <w:sz w:val="20"/>
                <w:szCs w:val="20"/>
              </w:rPr>
            </w:pPr>
            <w:r w:rsidRPr="00BF210F">
              <w:rPr>
                <w:rFonts w:cs="Arial"/>
                <w:sz w:val="20"/>
                <w:szCs w:val="20"/>
              </w:rPr>
              <w:t>0.004</w:t>
            </w:r>
          </w:p>
        </w:tc>
        <w:tc>
          <w:tcPr>
            <w:tcW w:w="1539" w:type="dxa"/>
          </w:tcPr>
          <w:p w14:paraId="3D6BEB94" w14:textId="77777777" w:rsidR="005432BA" w:rsidRPr="00BF210F" w:rsidRDefault="005432BA" w:rsidP="003B65D9">
            <w:pPr>
              <w:jc w:val="center"/>
              <w:rPr>
                <w:rFonts w:cs="Arial"/>
                <w:sz w:val="20"/>
                <w:szCs w:val="20"/>
              </w:rPr>
            </w:pPr>
            <w:r w:rsidRPr="00BF210F">
              <w:rPr>
                <w:rFonts w:cs="Arial"/>
                <w:sz w:val="20"/>
                <w:szCs w:val="20"/>
              </w:rPr>
              <w:t>24.1</w:t>
            </w:r>
          </w:p>
        </w:tc>
        <w:tc>
          <w:tcPr>
            <w:tcW w:w="1446" w:type="dxa"/>
          </w:tcPr>
          <w:p w14:paraId="7039736A" w14:textId="77777777" w:rsidR="005432BA" w:rsidRPr="00BF210F" w:rsidRDefault="005432BA" w:rsidP="003B65D9">
            <w:pPr>
              <w:jc w:val="center"/>
              <w:rPr>
                <w:rFonts w:cs="Arial"/>
                <w:sz w:val="20"/>
                <w:szCs w:val="20"/>
              </w:rPr>
            </w:pPr>
            <w:r w:rsidRPr="00BF210F">
              <w:rPr>
                <w:rFonts w:cs="Arial"/>
                <w:sz w:val="20"/>
                <w:szCs w:val="20"/>
              </w:rPr>
              <w:t>0.268</w:t>
            </w:r>
          </w:p>
        </w:tc>
      </w:tr>
      <w:tr w:rsidR="005432BA" w:rsidRPr="00BF210F" w14:paraId="22BC537D" w14:textId="77777777" w:rsidTr="003B65D9">
        <w:tc>
          <w:tcPr>
            <w:tcW w:w="2098" w:type="dxa"/>
          </w:tcPr>
          <w:p w14:paraId="115446F4" w14:textId="77777777" w:rsidR="005432BA" w:rsidRPr="00BF210F" w:rsidRDefault="005432BA" w:rsidP="003B65D9">
            <w:pPr>
              <w:jc w:val="center"/>
              <w:rPr>
                <w:rFonts w:cs="Arial"/>
                <w:sz w:val="20"/>
                <w:szCs w:val="20"/>
              </w:rPr>
            </w:pPr>
            <w:r w:rsidRPr="00BF210F">
              <w:rPr>
                <w:rFonts w:cs="Arial"/>
                <w:sz w:val="20"/>
                <w:szCs w:val="20"/>
              </w:rPr>
              <w:t>Brandao 2019</w:t>
            </w:r>
          </w:p>
        </w:tc>
        <w:tc>
          <w:tcPr>
            <w:tcW w:w="1362" w:type="dxa"/>
          </w:tcPr>
          <w:p w14:paraId="6932C72B" w14:textId="77777777" w:rsidR="005432BA" w:rsidRPr="00BF210F" w:rsidRDefault="005432BA" w:rsidP="003B65D9">
            <w:pPr>
              <w:jc w:val="center"/>
              <w:rPr>
                <w:rFonts w:cs="Arial"/>
                <w:sz w:val="20"/>
                <w:szCs w:val="20"/>
              </w:rPr>
            </w:pPr>
            <w:r w:rsidRPr="00BF210F">
              <w:rPr>
                <w:rFonts w:cs="Arial"/>
                <w:sz w:val="20"/>
                <w:szCs w:val="20"/>
              </w:rPr>
              <w:t>1.72</w:t>
            </w:r>
          </w:p>
        </w:tc>
        <w:tc>
          <w:tcPr>
            <w:tcW w:w="1362" w:type="dxa"/>
          </w:tcPr>
          <w:p w14:paraId="5C0FB63A" w14:textId="77777777" w:rsidR="005432BA" w:rsidRPr="00BF210F" w:rsidRDefault="005432BA" w:rsidP="003B65D9">
            <w:pPr>
              <w:jc w:val="center"/>
              <w:rPr>
                <w:rFonts w:cs="Arial"/>
                <w:sz w:val="20"/>
                <w:szCs w:val="20"/>
              </w:rPr>
            </w:pPr>
            <w:r w:rsidRPr="00BF210F">
              <w:rPr>
                <w:rFonts w:cs="Arial"/>
                <w:sz w:val="20"/>
                <w:szCs w:val="20"/>
              </w:rPr>
              <w:t>1.33-2.22</w:t>
            </w:r>
          </w:p>
        </w:tc>
        <w:tc>
          <w:tcPr>
            <w:tcW w:w="1362" w:type="dxa"/>
          </w:tcPr>
          <w:p w14:paraId="61CEC7B4" w14:textId="77777777" w:rsidR="005432BA" w:rsidRPr="00BF210F" w:rsidRDefault="005432BA" w:rsidP="003B65D9">
            <w:pPr>
              <w:jc w:val="center"/>
              <w:rPr>
                <w:rFonts w:cs="Arial"/>
                <w:sz w:val="20"/>
                <w:szCs w:val="20"/>
              </w:rPr>
            </w:pPr>
            <w:r w:rsidRPr="00BF210F">
              <w:rPr>
                <w:rFonts w:cs="Arial"/>
                <w:sz w:val="20"/>
                <w:szCs w:val="20"/>
              </w:rPr>
              <w:t>&lt;0.001</w:t>
            </w:r>
          </w:p>
        </w:tc>
        <w:tc>
          <w:tcPr>
            <w:tcW w:w="1539" w:type="dxa"/>
          </w:tcPr>
          <w:p w14:paraId="54D02F2A" w14:textId="77777777" w:rsidR="005432BA" w:rsidRPr="00BF210F" w:rsidRDefault="005432BA" w:rsidP="003B65D9">
            <w:pPr>
              <w:jc w:val="center"/>
              <w:rPr>
                <w:rFonts w:cs="Arial"/>
                <w:sz w:val="20"/>
                <w:szCs w:val="20"/>
              </w:rPr>
            </w:pPr>
            <w:r w:rsidRPr="00BF210F">
              <w:rPr>
                <w:rFonts w:cs="Arial"/>
                <w:sz w:val="20"/>
                <w:szCs w:val="20"/>
              </w:rPr>
              <w:t>0.0</w:t>
            </w:r>
          </w:p>
        </w:tc>
        <w:tc>
          <w:tcPr>
            <w:tcW w:w="1446" w:type="dxa"/>
          </w:tcPr>
          <w:p w14:paraId="51AE31E1" w14:textId="77777777" w:rsidR="005432BA" w:rsidRPr="00BF210F" w:rsidRDefault="005432BA" w:rsidP="003B65D9">
            <w:pPr>
              <w:jc w:val="center"/>
              <w:rPr>
                <w:rFonts w:cs="Arial"/>
                <w:sz w:val="20"/>
                <w:szCs w:val="20"/>
              </w:rPr>
            </w:pPr>
            <w:r w:rsidRPr="00BF210F">
              <w:rPr>
                <w:rFonts w:cs="Arial"/>
                <w:sz w:val="20"/>
                <w:szCs w:val="20"/>
              </w:rPr>
              <w:t>0.641</w:t>
            </w:r>
          </w:p>
        </w:tc>
      </w:tr>
      <w:tr w:rsidR="005432BA" w:rsidRPr="00BF210F" w14:paraId="6D8962AB" w14:textId="77777777" w:rsidTr="003B65D9">
        <w:tc>
          <w:tcPr>
            <w:tcW w:w="2098" w:type="dxa"/>
          </w:tcPr>
          <w:p w14:paraId="2DDBB894" w14:textId="77777777" w:rsidR="005432BA" w:rsidRPr="00BF210F" w:rsidRDefault="005432BA" w:rsidP="003B65D9">
            <w:pPr>
              <w:jc w:val="center"/>
              <w:rPr>
                <w:rFonts w:cs="Arial"/>
                <w:sz w:val="20"/>
                <w:szCs w:val="20"/>
              </w:rPr>
            </w:pPr>
            <w:r w:rsidRPr="00BF210F">
              <w:rPr>
                <w:rFonts w:cs="Arial"/>
                <w:sz w:val="20"/>
                <w:szCs w:val="20"/>
              </w:rPr>
              <w:t>Sadigh 2019</w:t>
            </w:r>
          </w:p>
        </w:tc>
        <w:tc>
          <w:tcPr>
            <w:tcW w:w="1362" w:type="dxa"/>
          </w:tcPr>
          <w:p w14:paraId="6144DB42" w14:textId="77777777" w:rsidR="005432BA" w:rsidRPr="00BF210F" w:rsidRDefault="005432BA" w:rsidP="003B65D9">
            <w:pPr>
              <w:jc w:val="center"/>
              <w:rPr>
                <w:rFonts w:cs="Arial"/>
                <w:sz w:val="20"/>
                <w:szCs w:val="20"/>
              </w:rPr>
            </w:pPr>
            <w:r w:rsidRPr="00BF210F">
              <w:rPr>
                <w:rFonts w:cs="Arial"/>
                <w:sz w:val="20"/>
                <w:szCs w:val="20"/>
              </w:rPr>
              <w:t>1.35</w:t>
            </w:r>
          </w:p>
        </w:tc>
        <w:tc>
          <w:tcPr>
            <w:tcW w:w="1362" w:type="dxa"/>
          </w:tcPr>
          <w:p w14:paraId="299C567C" w14:textId="77777777" w:rsidR="005432BA" w:rsidRPr="00BF210F" w:rsidRDefault="005432BA" w:rsidP="003B65D9">
            <w:pPr>
              <w:jc w:val="center"/>
              <w:rPr>
                <w:rFonts w:cs="Arial"/>
                <w:sz w:val="20"/>
                <w:szCs w:val="20"/>
              </w:rPr>
            </w:pPr>
            <w:r w:rsidRPr="00BF210F">
              <w:rPr>
                <w:rFonts w:cs="Arial"/>
                <w:sz w:val="20"/>
                <w:szCs w:val="20"/>
              </w:rPr>
              <w:t>0.97-1.88</w:t>
            </w:r>
          </w:p>
        </w:tc>
        <w:tc>
          <w:tcPr>
            <w:tcW w:w="1362" w:type="dxa"/>
          </w:tcPr>
          <w:p w14:paraId="6DAE8EEA" w14:textId="77777777" w:rsidR="005432BA" w:rsidRPr="00BF210F" w:rsidRDefault="005432BA" w:rsidP="003B65D9">
            <w:pPr>
              <w:jc w:val="center"/>
              <w:rPr>
                <w:rFonts w:cs="Arial"/>
                <w:sz w:val="20"/>
                <w:szCs w:val="20"/>
              </w:rPr>
            </w:pPr>
            <w:r w:rsidRPr="00BF210F">
              <w:rPr>
                <w:rFonts w:cs="Arial"/>
                <w:sz w:val="20"/>
                <w:szCs w:val="20"/>
              </w:rPr>
              <w:t>0.074</w:t>
            </w:r>
          </w:p>
        </w:tc>
        <w:tc>
          <w:tcPr>
            <w:tcW w:w="1539" w:type="dxa"/>
          </w:tcPr>
          <w:p w14:paraId="5CAD85DE" w14:textId="77777777" w:rsidR="005432BA" w:rsidRPr="00BF210F" w:rsidRDefault="005432BA" w:rsidP="003B65D9">
            <w:pPr>
              <w:jc w:val="center"/>
              <w:rPr>
                <w:rFonts w:cs="Arial"/>
                <w:sz w:val="20"/>
                <w:szCs w:val="20"/>
              </w:rPr>
            </w:pPr>
            <w:r w:rsidRPr="00BF210F">
              <w:rPr>
                <w:rFonts w:cs="Arial"/>
                <w:sz w:val="20"/>
                <w:szCs w:val="20"/>
              </w:rPr>
              <w:t>0.0</w:t>
            </w:r>
          </w:p>
        </w:tc>
        <w:tc>
          <w:tcPr>
            <w:tcW w:w="1446" w:type="dxa"/>
          </w:tcPr>
          <w:p w14:paraId="07F56DFE" w14:textId="77777777" w:rsidR="005432BA" w:rsidRPr="00BF210F" w:rsidRDefault="005432BA" w:rsidP="003B65D9">
            <w:pPr>
              <w:jc w:val="center"/>
              <w:rPr>
                <w:rFonts w:cs="Arial"/>
                <w:sz w:val="20"/>
                <w:szCs w:val="20"/>
              </w:rPr>
            </w:pPr>
            <w:r w:rsidRPr="00BF210F">
              <w:rPr>
                <w:rFonts w:cs="Arial"/>
                <w:sz w:val="20"/>
                <w:szCs w:val="20"/>
              </w:rPr>
              <w:t>0.527</w:t>
            </w:r>
          </w:p>
        </w:tc>
      </w:tr>
    </w:tbl>
    <w:p w14:paraId="4A9B1934" w14:textId="77777777" w:rsidR="005432BA" w:rsidRPr="00BF210F" w:rsidRDefault="005432BA" w:rsidP="005432BA">
      <w:pPr>
        <w:rPr>
          <w:rFonts w:cs="Arial"/>
          <w:sz w:val="16"/>
          <w:lang w:val="en-US"/>
        </w:rPr>
      </w:pPr>
      <w:r w:rsidRPr="00BF210F">
        <w:rPr>
          <w:rFonts w:cs="Arial"/>
          <w:sz w:val="16"/>
          <w:lang w:val="en-US"/>
        </w:rPr>
        <w:t>CI: confidence interval; HR: hazard ratio.</w:t>
      </w:r>
    </w:p>
    <w:p w14:paraId="44FDA6A2" w14:textId="77777777" w:rsidR="005432BA" w:rsidRPr="00BF210F" w:rsidRDefault="005432BA">
      <w:pPr>
        <w:spacing w:after="120"/>
        <w:rPr>
          <w:rFonts w:cs="Arial"/>
          <w:b/>
          <w:sz w:val="24"/>
          <w:lang w:val="en-US"/>
        </w:rPr>
      </w:pPr>
    </w:p>
    <w:p w14:paraId="15863E44" w14:textId="507F76CE" w:rsidR="005432BA" w:rsidRPr="00BF210F" w:rsidRDefault="005432BA">
      <w:pPr>
        <w:spacing w:after="120"/>
        <w:rPr>
          <w:rFonts w:cs="Arial"/>
          <w:b/>
          <w:sz w:val="24"/>
          <w:lang w:val="en-US"/>
        </w:rPr>
      </w:pPr>
      <w:r w:rsidRPr="00BF210F">
        <w:rPr>
          <w:rFonts w:cs="Arial"/>
          <w:b/>
          <w:sz w:val="24"/>
          <w:lang w:val="en-US"/>
        </w:rPr>
        <w:br w:type="page"/>
      </w:r>
    </w:p>
    <w:p w14:paraId="5408678D" w14:textId="14C2DFE4" w:rsidR="00D4510D" w:rsidRPr="00BF210F" w:rsidRDefault="00BF210F" w:rsidP="00D4510D">
      <w:pPr>
        <w:rPr>
          <w:rFonts w:cs="Arial"/>
          <w:b/>
          <w:sz w:val="24"/>
          <w:lang w:val="en-US"/>
        </w:rPr>
      </w:pPr>
      <w:r>
        <w:rPr>
          <w:rFonts w:cs="Arial"/>
          <w:b/>
          <w:sz w:val="24"/>
          <w:szCs w:val="24"/>
          <w:lang w:val="en-US"/>
        </w:rPr>
        <w:lastRenderedPageBreak/>
        <w:t xml:space="preserve">Supplementary </w:t>
      </w:r>
      <w:r w:rsidR="00D4510D" w:rsidRPr="00BF210F">
        <w:rPr>
          <w:rFonts w:cs="Arial"/>
          <w:b/>
          <w:sz w:val="24"/>
          <w:lang w:val="en-US"/>
        </w:rPr>
        <w:t>Figure 2</w:t>
      </w:r>
      <w:r w:rsidR="00C725D0" w:rsidRPr="00BF210F">
        <w:rPr>
          <w:rFonts w:cs="Arial"/>
          <w:b/>
          <w:sz w:val="24"/>
          <w:lang w:val="en-US"/>
        </w:rPr>
        <w:t>0</w:t>
      </w:r>
      <w:r w:rsidR="00D4510D" w:rsidRPr="00BF210F">
        <w:rPr>
          <w:rFonts w:cs="Arial"/>
          <w:b/>
          <w:sz w:val="24"/>
          <w:lang w:val="en-US"/>
        </w:rPr>
        <w:t xml:space="preserve"> – Meta-analysis of unadjusted overall survival </w:t>
      </w:r>
      <w:r w:rsidR="00267E4A" w:rsidRPr="00BF210F">
        <w:rPr>
          <w:rFonts w:cs="Arial"/>
          <w:b/>
          <w:sz w:val="24"/>
          <w:szCs w:val="24"/>
          <w:lang w:val="en-US"/>
        </w:rPr>
        <w:t xml:space="preserve">among </w:t>
      </w:r>
      <w:r w:rsidR="00267E4A">
        <w:rPr>
          <w:rFonts w:cs="Arial"/>
          <w:b/>
          <w:sz w:val="24"/>
          <w:szCs w:val="24"/>
          <w:lang w:val="en-US"/>
        </w:rPr>
        <w:t>WLWH</w:t>
      </w:r>
      <w:r w:rsidR="00267E4A" w:rsidRPr="00BF210F">
        <w:rPr>
          <w:rFonts w:cs="Arial"/>
          <w:b/>
          <w:sz w:val="24"/>
          <w:szCs w:val="24"/>
          <w:lang w:val="en-US"/>
        </w:rPr>
        <w:t xml:space="preserve"> compared with HIV-negative </w:t>
      </w:r>
      <w:r w:rsidR="00267E4A">
        <w:rPr>
          <w:rFonts w:cs="Arial"/>
          <w:b/>
          <w:sz w:val="24"/>
          <w:szCs w:val="24"/>
          <w:lang w:val="en-US"/>
        </w:rPr>
        <w:t xml:space="preserve">women with </w:t>
      </w:r>
      <w:r w:rsidR="00267E4A" w:rsidRPr="00BF210F">
        <w:rPr>
          <w:rFonts w:cs="Arial"/>
          <w:b/>
          <w:sz w:val="24"/>
          <w:szCs w:val="24"/>
          <w:lang w:val="en-US"/>
        </w:rPr>
        <w:t>breast cancer</w:t>
      </w:r>
      <w:r w:rsidR="00D4510D" w:rsidRPr="00BF210F">
        <w:rPr>
          <w:rFonts w:cs="Arial"/>
          <w:b/>
          <w:sz w:val="24"/>
          <w:lang w:val="en-US"/>
        </w:rPr>
        <w:t>.</w:t>
      </w:r>
    </w:p>
    <w:p w14:paraId="6179774B" w14:textId="77777777" w:rsidR="00D4510D" w:rsidRPr="00BF210F" w:rsidRDefault="00D4510D" w:rsidP="00D4510D">
      <w:pPr>
        <w:rPr>
          <w:rFonts w:cs="Arial"/>
          <w:lang w:val="en-US"/>
        </w:rPr>
      </w:pPr>
      <w:r w:rsidRPr="00BF210F">
        <w:rPr>
          <w:rFonts w:cs="Arial"/>
          <w:noProof/>
          <w:lang w:val="pt-PT" w:eastAsia="pt-PT"/>
        </w:rPr>
        <mc:AlternateContent>
          <mc:Choice Requires="wps">
            <w:drawing>
              <wp:anchor distT="0" distB="0" distL="114300" distR="114300" simplePos="0" relativeHeight="251685888" behindDoc="0" locked="0" layoutInCell="1" allowOverlap="1" wp14:anchorId="64477AEA" wp14:editId="25434876">
                <wp:simplePos x="0" y="0"/>
                <wp:positionH relativeFrom="column">
                  <wp:posOffset>2265518</wp:posOffset>
                </wp:positionH>
                <wp:positionV relativeFrom="paragraph">
                  <wp:posOffset>3722370</wp:posOffset>
                </wp:positionV>
                <wp:extent cx="889000" cy="222250"/>
                <wp:effectExtent l="0" t="0" r="0" b="0"/>
                <wp:wrapNone/>
                <wp:docPr id="39" name="Rectangle 39"/>
                <wp:cNvGraphicFramePr/>
                <a:graphic xmlns:a="http://schemas.openxmlformats.org/drawingml/2006/main">
                  <a:graphicData uri="http://schemas.microsoft.com/office/word/2010/wordprocessingShape">
                    <wps:wsp>
                      <wps:cNvSpPr/>
                      <wps:spPr>
                        <a:xfrm>
                          <a:off x="0" y="0"/>
                          <a:ext cx="889000" cy="2222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54B8608" w14:textId="63EEE002" w:rsidR="00363D1D" w:rsidRPr="00896EA9" w:rsidRDefault="00363D1D" w:rsidP="00D4510D">
                            <w:pPr>
                              <w:jc w:val="center"/>
                              <w:rPr>
                                <w:sz w:val="16"/>
                                <w:szCs w:val="16"/>
                                <w:lang w:val="en-US"/>
                              </w:rPr>
                            </w:pPr>
                            <w:r>
                              <w:rPr>
                                <w:sz w:val="16"/>
                                <w:szCs w:val="16"/>
                                <w:lang w:val="en-US"/>
                              </w:rPr>
                              <w:t>HR (95% 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477AEA" id="Rectangle 39" o:spid="_x0000_s1034" style="position:absolute;margin-left:178.4pt;margin-top:293.1pt;width:70pt;height: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" filled="f" stroked="f" strokeweight="2pt">
                <v:textbox>
                  <w:txbxContent>
                    <w:p w14:paraId="754B8608" w14:textId="63EEE002" w:rsidR="00363D1D" w:rsidRPr="00896EA9" w:rsidRDefault="00363D1D" w:rsidP="00D4510D">
                      <w:pPr>
                        <w:jc w:val="center"/>
                        <w:rPr>
                          <w:sz w:val="16"/>
                          <w:szCs w:val="16"/>
                          <w:lang w:val="en-US"/>
                        </w:rPr>
                      </w:pPr>
                      <w:r>
                        <w:rPr>
                          <w:sz w:val="16"/>
                          <w:szCs w:val="16"/>
                          <w:lang w:val="en-US"/>
                        </w:rPr>
                        <w:t>HR (95% CI)</w:t>
                      </w:r>
                    </w:p>
                  </w:txbxContent>
                </v:textbox>
              </v:rect>
            </w:pict>
          </mc:Fallback>
        </mc:AlternateContent>
      </w:r>
      <w:r w:rsidRPr="00BF210F">
        <w:rPr>
          <w:rFonts w:cs="Arial"/>
          <w:noProof/>
          <w:lang w:val="pt-PT" w:eastAsia="pt-PT"/>
        </w:rPr>
        <w:drawing>
          <wp:inline distT="0" distB="0" distL="0" distR="0" wp14:anchorId="213FAE76" wp14:editId="2314A54F">
            <wp:extent cx="6120130" cy="400304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130" cy="4003040"/>
                    </a:xfrm>
                    <a:prstGeom prst="rect">
                      <a:avLst/>
                    </a:prstGeom>
                    <a:noFill/>
                    <a:ln>
                      <a:noFill/>
                    </a:ln>
                  </pic:spPr>
                </pic:pic>
              </a:graphicData>
            </a:graphic>
          </wp:inline>
        </w:drawing>
      </w:r>
    </w:p>
    <w:p w14:paraId="0BE267BE" w14:textId="1CCFB230" w:rsidR="00D4510D" w:rsidRPr="00BF210F" w:rsidRDefault="00D4510D" w:rsidP="00D4510D">
      <w:pPr>
        <w:rPr>
          <w:rFonts w:cs="Arial"/>
          <w:sz w:val="16"/>
          <w:lang w:val="en-US"/>
        </w:rPr>
      </w:pPr>
      <w:r w:rsidRPr="00BF210F">
        <w:rPr>
          <w:rFonts w:cs="Arial"/>
          <w:sz w:val="16"/>
          <w:lang w:val="en-US"/>
        </w:rPr>
        <w:t>Random effect: p=0.019</w:t>
      </w:r>
      <w:r w:rsidR="002119EA" w:rsidRPr="00BF210F">
        <w:rPr>
          <w:rFonts w:cs="Arial"/>
          <w:sz w:val="16"/>
          <w:lang w:val="en-US"/>
        </w:rPr>
        <w:t>.</w:t>
      </w:r>
      <w:r w:rsidR="002119EA" w:rsidRPr="00BF210F">
        <w:rPr>
          <w:rFonts w:cs="Arial"/>
          <w:sz w:val="16"/>
          <w:szCs w:val="16"/>
          <w:lang w:val="en-US"/>
        </w:rPr>
        <w:t xml:space="preserve"> CI=confidence interval; HR=hazard ratio.</w:t>
      </w:r>
    </w:p>
    <w:p w14:paraId="07B2A24B" w14:textId="77777777" w:rsidR="00D4510D" w:rsidRPr="00BF210F" w:rsidRDefault="00D4510D" w:rsidP="00D4510D">
      <w:pPr>
        <w:rPr>
          <w:rFonts w:cs="Arial"/>
          <w:sz w:val="20"/>
          <w:lang w:val="en-US"/>
        </w:rPr>
      </w:pPr>
    </w:p>
    <w:p w14:paraId="6B08C88C" w14:textId="77777777" w:rsidR="00D4510D" w:rsidRPr="00BF210F" w:rsidRDefault="00D4510D" w:rsidP="00D4510D">
      <w:pPr>
        <w:rPr>
          <w:rFonts w:cs="Arial"/>
          <w:sz w:val="20"/>
          <w:lang w:val="en-US"/>
        </w:rPr>
      </w:pPr>
    </w:p>
    <w:p w14:paraId="4B0290A1" w14:textId="0E74C4F4" w:rsidR="00D4510D" w:rsidRPr="00BF210F" w:rsidRDefault="00BF210F" w:rsidP="00D4510D">
      <w:pPr>
        <w:rPr>
          <w:rFonts w:cs="Arial"/>
          <w:sz w:val="24"/>
          <w:lang w:val="en-US"/>
        </w:rPr>
      </w:pPr>
      <w:r>
        <w:rPr>
          <w:rFonts w:cs="Arial"/>
          <w:b/>
          <w:sz w:val="24"/>
          <w:szCs w:val="24"/>
          <w:lang w:val="en-US"/>
        </w:rPr>
        <w:t xml:space="preserve">Supplementary </w:t>
      </w:r>
      <w:r w:rsidR="00D4510D" w:rsidRPr="00BF210F">
        <w:rPr>
          <w:rFonts w:cs="Arial"/>
          <w:b/>
          <w:sz w:val="24"/>
          <w:lang w:val="en-US"/>
        </w:rPr>
        <w:t>Table 1</w:t>
      </w:r>
      <w:r w:rsidR="00AE51C6">
        <w:rPr>
          <w:rFonts w:cs="Arial"/>
          <w:b/>
          <w:sz w:val="24"/>
          <w:lang w:val="en-US"/>
        </w:rPr>
        <w:t>8</w:t>
      </w:r>
      <w:r w:rsidR="00D4510D" w:rsidRPr="00BF210F">
        <w:rPr>
          <w:rFonts w:cs="Arial"/>
          <w:sz w:val="24"/>
          <w:lang w:val="en-US"/>
        </w:rPr>
        <w:t xml:space="preserve"> </w:t>
      </w:r>
      <w:r w:rsidR="00D4510D" w:rsidRPr="00BF210F">
        <w:rPr>
          <w:rFonts w:cs="Arial"/>
          <w:b/>
          <w:sz w:val="24"/>
          <w:lang w:val="en-US"/>
        </w:rPr>
        <w:t xml:space="preserve">– Sensitivity analysis of unadjusted Overall Survival </w:t>
      </w:r>
      <w:r w:rsidR="00267E4A" w:rsidRPr="00BF210F">
        <w:rPr>
          <w:rFonts w:cs="Arial"/>
          <w:b/>
          <w:sz w:val="24"/>
          <w:szCs w:val="24"/>
          <w:lang w:val="en-US"/>
        </w:rPr>
        <w:t xml:space="preserve">among </w:t>
      </w:r>
      <w:r w:rsidR="00267E4A">
        <w:rPr>
          <w:rFonts w:cs="Arial"/>
          <w:b/>
          <w:sz w:val="24"/>
          <w:szCs w:val="24"/>
          <w:lang w:val="en-US"/>
        </w:rPr>
        <w:t>WLWH</w:t>
      </w:r>
      <w:r w:rsidR="00267E4A" w:rsidRPr="00BF210F">
        <w:rPr>
          <w:rFonts w:cs="Arial"/>
          <w:b/>
          <w:sz w:val="24"/>
          <w:szCs w:val="24"/>
          <w:lang w:val="en-US"/>
        </w:rPr>
        <w:t xml:space="preserve"> compared with HIV-negative </w:t>
      </w:r>
      <w:r w:rsidR="00267E4A">
        <w:rPr>
          <w:rFonts w:cs="Arial"/>
          <w:b/>
          <w:sz w:val="24"/>
          <w:szCs w:val="24"/>
          <w:lang w:val="en-US"/>
        </w:rPr>
        <w:t xml:space="preserve">women with </w:t>
      </w:r>
      <w:r w:rsidR="00267E4A" w:rsidRPr="00BF210F">
        <w:rPr>
          <w:rFonts w:cs="Arial"/>
          <w:b/>
          <w:sz w:val="24"/>
          <w:szCs w:val="24"/>
          <w:lang w:val="en-US"/>
        </w:rPr>
        <w:t>breast cancer</w:t>
      </w:r>
      <w:r w:rsidR="00D4510D" w:rsidRPr="00BF210F">
        <w:rPr>
          <w:rFonts w:cs="Arial"/>
          <w:b/>
          <w:sz w:val="24"/>
          <w:lang w:val="en-US"/>
        </w:rPr>
        <w:t>.</w:t>
      </w:r>
    </w:p>
    <w:p w14:paraId="3C734E60" w14:textId="77777777" w:rsidR="00D4510D" w:rsidRPr="00BF210F" w:rsidRDefault="00D4510D" w:rsidP="00D4510D">
      <w:pPr>
        <w:rPr>
          <w:rFonts w:cs="Arial"/>
          <w:lang w:val="en-US"/>
        </w:rPr>
      </w:pPr>
    </w:p>
    <w:tbl>
      <w:tblPr>
        <w:tblStyle w:val="TableGrid"/>
        <w:tblW w:w="9169" w:type="dxa"/>
        <w:tblLook w:val="04A0" w:firstRow="1" w:lastRow="0" w:firstColumn="1" w:lastColumn="0" w:noHBand="0" w:noVBand="1"/>
      </w:tblPr>
      <w:tblGrid>
        <w:gridCol w:w="2098"/>
        <w:gridCol w:w="1362"/>
        <w:gridCol w:w="1362"/>
        <w:gridCol w:w="1362"/>
        <w:gridCol w:w="1539"/>
        <w:gridCol w:w="1446"/>
      </w:tblGrid>
      <w:tr w:rsidR="00D4510D" w:rsidRPr="00BF210F" w14:paraId="1D5791CC" w14:textId="77777777" w:rsidTr="00116146">
        <w:tc>
          <w:tcPr>
            <w:tcW w:w="2098" w:type="dxa"/>
            <w:vMerge w:val="restart"/>
          </w:tcPr>
          <w:p w14:paraId="2E928335" w14:textId="77777777" w:rsidR="00D4510D" w:rsidRPr="00BF210F" w:rsidRDefault="00D4510D" w:rsidP="00116146">
            <w:pPr>
              <w:jc w:val="center"/>
              <w:rPr>
                <w:rFonts w:cs="Arial"/>
                <w:b/>
                <w:sz w:val="20"/>
                <w:szCs w:val="20"/>
              </w:rPr>
            </w:pPr>
            <w:r w:rsidRPr="00BF210F">
              <w:rPr>
                <w:rFonts w:cs="Arial"/>
                <w:b/>
                <w:sz w:val="20"/>
                <w:szCs w:val="20"/>
              </w:rPr>
              <w:t>Study excluded</w:t>
            </w:r>
          </w:p>
        </w:tc>
        <w:tc>
          <w:tcPr>
            <w:tcW w:w="4086" w:type="dxa"/>
            <w:gridSpan w:val="3"/>
          </w:tcPr>
          <w:p w14:paraId="45C042EC" w14:textId="77777777" w:rsidR="00D4510D" w:rsidRPr="00BF210F" w:rsidRDefault="00D4510D" w:rsidP="00116146">
            <w:pPr>
              <w:jc w:val="center"/>
              <w:rPr>
                <w:rFonts w:cs="Arial"/>
                <w:b/>
                <w:sz w:val="20"/>
                <w:szCs w:val="20"/>
              </w:rPr>
            </w:pPr>
            <w:r w:rsidRPr="00BF210F">
              <w:rPr>
                <w:rFonts w:cs="Arial"/>
                <w:b/>
                <w:sz w:val="20"/>
                <w:szCs w:val="20"/>
              </w:rPr>
              <w:t>Random effect</w:t>
            </w:r>
          </w:p>
        </w:tc>
        <w:tc>
          <w:tcPr>
            <w:tcW w:w="1539" w:type="dxa"/>
            <w:vMerge w:val="restart"/>
          </w:tcPr>
          <w:p w14:paraId="7BD43A30" w14:textId="0E29C5A5" w:rsidR="00D4510D" w:rsidRPr="00BF210F" w:rsidRDefault="00C316F4" w:rsidP="00116146">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Pr="00BF210F">
              <w:rPr>
                <w:rFonts w:cs="Arial"/>
                <w:b/>
                <w:sz w:val="20"/>
                <w:szCs w:val="20"/>
              </w:rPr>
              <w:t xml:space="preserve"> </w:t>
            </w:r>
            <w:r w:rsidR="00D4510D" w:rsidRPr="00BF210F">
              <w:rPr>
                <w:rFonts w:cs="Arial"/>
                <w:b/>
                <w:sz w:val="20"/>
                <w:szCs w:val="20"/>
              </w:rPr>
              <w:t>(%)</w:t>
            </w:r>
          </w:p>
        </w:tc>
        <w:tc>
          <w:tcPr>
            <w:tcW w:w="1446" w:type="dxa"/>
            <w:vMerge w:val="restart"/>
          </w:tcPr>
          <w:p w14:paraId="17C93734" w14:textId="7895A438" w:rsidR="00D4510D" w:rsidRPr="00BF210F" w:rsidRDefault="00C316F4" w:rsidP="00116146">
            <w:pPr>
              <w:jc w:val="center"/>
              <w:rPr>
                <w:rFonts w:cs="Arial"/>
                <w:b/>
                <w:sz w:val="20"/>
                <w:szCs w:val="20"/>
              </w:rPr>
            </w:pPr>
            <w:r w:rsidRPr="00BF210F">
              <w:rPr>
                <w:rFonts w:cs="Arial"/>
                <w:b/>
                <w:sz w:val="20"/>
                <w:szCs w:val="20"/>
              </w:rPr>
              <w:t>I</w:t>
            </w:r>
            <w:r w:rsidRPr="00BF210F">
              <w:rPr>
                <w:rFonts w:cs="Arial"/>
                <w:b/>
                <w:sz w:val="20"/>
                <w:szCs w:val="20"/>
                <w:vertAlign w:val="superscript"/>
              </w:rPr>
              <w:t>2</w:t>
            </w:r>
            <w:r w:rsidR="00D4510D" w:rsidRPr="00BF210F">
              <w:rPr>
                <w:rFonts w:cs="Arial"/>
                <w:b/>
                <w:sz w:val="20"/>
                <w:szCs w:val="20"/>
              </w:rPr>
              <w:t xml:space="preserve"> P-value</w:t>
            </w:r>
          </w:p>
        </w:tc>
      </w:tr>
      <w:tr w:rsidR="00D4510D" w:rsidRPr="00BF210F" w14:paraId="1387590D" w14:textId="77777777" w:rsidTr="00531F2E">
        <w:tc>
          <w:tcPr>
            <w:tcW w:w="2098" w:type="dxa"/>
            <w:vMerge/>
          </w:tcPr>
          <w:p w14:paraId="4380F2A9" w14:textId="77777777" w:rsidR="00D4510D" w:rsidRPr="00BF210F" w:rsidRDefault="00D4510D" w:rsidP="00116146">
            <w:pPr>
              <w:jc w:val="center"/>
              <w:rPr>
                <w:rFonts w:cs="Arial"/>
                <w:b/>
                <w:sz w:val="20"/>
                <w:szCs w:val="20"/>
              </w:rPr>
            </w:pPr>
          </w:p>
        </w:tc>
        <w:tc>
          <w:tcPr>
            <w:tcW w:w="1362" w:type="dxa"/>
          </w:tcPr>
          <w:p w14:paraId="44EA1609" w14:textId="445DB985" w:rsidR="00D4510D" w:rsidRPr="00BF210F" w:rsidRDefault="00ED1505" w:rsidP="00116146">
            <w:pPr>
              <w:jc w:val="center"/>
              <w:rPr>
                <w:rFonts w:cs="Arial"/>
                <w:b/>
                <w:sz w:val="20"/>
                <w:szCs w:val="20"/>
              </w:rPr>
            </w:pPr>
            <w:r w:rsidRPr="00BF210F">
              <w:rPr>
                <w:rFonts w:cs="Arial"/>
                <w:b/>
                <w:sz w:val="20"/>
                <w:szCs w:val="20"/>
              </w:rPr>
              <w:t xml:space="preserve">Pooled </w:t>
            </w:r>
            <w:r w:rsidR="00D4510D" w:rsidRPr="00BF210F">
              <w:rPr>
                <w:rFonts w:cs="Arial"/>
                <w:b/>
                <w:sz w:val="20"/>
                <w:szCs w:val="20"/>
              </w:rPr>
              <w:t>HR</w:t>
            </w:r>
          </w:p>
        </w:tc>
        <w:tc>
          <w:tcPr>
            <w:tcW w:w="1362" w:type="dxa"/>
          </w:tcPr>
          <w:p w14:paraId="635C2C89" w14:textId="77777777" w:rsidR="00D4510D" w:rsidRPr="00BF210F" w:rsidRDefault="00D4510D" w:rsidP="00116146">
            <w:pPr>
              <w:jc w:val="center"/>
              <w:rPr>
                <w:rFonts w:cs="Arial"/>
                <w:b/>
                <w:sz w:val="20"/>
                <w:szCs w:val="20"/>
              </w:rPr>
            </w:pPr>
            <w:r w:rsidRPr="00BF210F">
              <w:rPr>
                <w:rFonts w:cs="Arial"/>
                <w:b/>
                <w:sz w:val="20"/>
                <w:szCs w:val="20"/>
              </w:rPr>
              <w:t>95% CI</w:t>
            </w:r>
          </w:p>
        </w:tc>
        <w:tc>
          <w:tcPr>
            <w:tcW w:w="1362" w:type="dxa"/>
          </w:tcPr>
          <w:p w14:paraId="622578BB" w14:textId="77777777" w:rsidR="00D4510D" w:rsidRPr="00BF210F" w:rsidRDefault="00D4510D" w:rsidP="00116146">
            <w:pPr>
              <w:jc w:val="center"/>
              <w:rPr>
                <w:rFonts w:cs="Arial"/>
                <w:b/>
                <w:sz w:val="20"/>
                <w:szCs w:val="20"/>
              </w:rPr>
            </w:pPr>
            <w:r w:rsidRPr="00BF210F">
              <w:rPr>
                <w:rFonts w:cs="Arial"/>
                <w:b/>
                <w:sz w:val="20"/>
                <w:szCs w:val="20"/>
              </w:rPr>
              <w:t>P-value</w:t>
            </w:r>
          </w:p>
        </w:tc>
        <w:tc>
          <w:tcPr>
            <w:tcW w:w="1539" w:type="dxa"/>
            <w:vMerge/>
          </w:tcPr>
          <w:p w14:paraId="52958C87" w14:textId="77777777" w:rsidR="00D4510D" w:rsidRPr="00BF210F" w:rsidRDefault="00D4510D" w:rsidP="00116146">
            <w:pPr>
              <w:jc w:val="center"/>
              <w:rPr>
                <w:rFonts w:cs="Arial"/>
                <w:b/>
                <w:sz w:val="20"/>
                <w:szCs w:val="20"/>
              </w:rPr>
            </w:pPr>
          </w:p>
        </w:tc>
        <w:tc>
          <w:tcPr>
            <w:tcW w:w="1446" w:type="dxa"/>
            <w:vMerge/>
          </w:tcPr>
          <w:p w14:paraId="4E3CF4C7" w14:textId="77777777" w:rsidR="00D4510D" w:rsidRPr="00BF210F" w:rsidRDefault="00D4510D" w:rsidP="00116146">
            <w:pPr>
              <w:jc w:val="center"/>
              <w:rPr>
                <w:rFonts w:cs="Arial"/>
                <w:b/>
                <w:sz w:val="20"/>
                <w:szCs w:val="20"/>
              </w:rPr>
            </w:pPr>
          </w:p>
        </w:tc>
      </w:tr>
      <w:tr w:rsidR="00D4510D" w:rsidRPr="00BF210F" w14:paraId="1D0DA00C" w14:textId="77777777" w:rsidTr="00531F2E">
        <w:tc>
          <w:tcPr>
            <w:tcW w:w="2098" w:type="dxa"/>
          </w:tcPr>
          <w:p w14:paraId="4A700AA2" w14:textId="77777777" w:rsidR="00D4510D" w:rsidRPr="00BF210F" w:rsidRDefault="00D4510D" w:rsidP="00116146">
            <w:pPr>
              <w:jc w:val="center"/>
              <w:rPr>
                <w:rFonts w:cs="Arial"/>
                <w:sz w:val="20"/>
                <w:szCs w:val="20"/>
              </w:rPr>
            </w:pPr>
            <w:r w:rsidRPr="00BF210F">
              <w:rPr>
                <w:rFonts w:cs="Arial"/>
                <w:sz w:val="20"/>
                <w:szCs w:val="20"/>
              </w:rPr>
              <w:t>Cubasch 2018</w:t>
            </w:r>
          </w:p>
        </w:tc>
        <w:tc>
          <w:tcPr>
            <w:tcW w:w="1362" w:type="dxa"/>
          </w:tcPr>
          <w:p w14:paraId="4754CA8F" w14:textId="77777777" w:rsidR="00D4510D" w:rsidRPr="00BF210F" w:rsidRDefault="00D4510D" w:rsidP="00116146">
            <w:pPr>
              <w:jc w:val="center"/>
              <w:rPr>
                <w:rFonts w:cs="Arial"/>
                <w:sz w:val="20"/>
                <w:szCs w:val="20"/>
              </w:rPr>
            </w:pPr>
            <w:r w:rsidRPr="00BF210F">
              <w:rPr>
                <w:rFonts w:cs="Arial"/>
                <w:sz w:val="20"/>
                <w:szCs w:val="20"/>
              </w:rPr>
              <w:t>1.61</w:t>
            </w:r>
          </w:p>
        </w:tc>
        <w:tc>
          <w:tcPr>
            <w:tcW w:w="1362" w:type="dxa"/>
          </w:tcPr>
          <w:p w14:paraId="1AEBA465" w14:textId="77777777" w:rsidR="00D4510D" w:rsidRPr="00BF210F" w:rsidRDefault="00D4510D" w:rsidP="00116146">
            <w:pPr>
              <w:jc w:val="center"/>
              <w:rPr>
                <w:rFonts w:cs="Arial"/>
                <w:sz w:val="20"/>
                <w:szCs w:val="20"/>
              </w:rPr>
            </w:pPr>
            <w:r w:rsidRPr="00BF210F">
              <w:rPr>
                <w:rFonts w:cs="Arial"/>
                <w:sz w:val="20"/>
                <w:szCs w:val="20"/>
              </w:rPr>
              <w:t>1.22-2.12</w:t>
            </w:r>
          </w:p>
        </w:tc>
        <w:tc>
          <w:tcPr>
            <w:tcW w:w="1362" w:type="dxa"/>
          </w:tcPr>
          <w:p w14:paraId="5D0E855D" w14:textId="77777777" w:rsidR="00D4510D" w:rsidRPr="00BF210F" w:rsidRDefault="00D4510D" w:rsidP="00116146">
            <w:pPr>
              <w:jc w:val="center"/>
              <w:rPr>
                <w:rFonts w:cs="Arial"/>
                <w:sz w:val="20"/>
                <w:szCs w:val="20"/>
              </w:rPr>
            </w:pPr>
            <w:r w:rsidRPr="00BF210F">
              <w:rPr>
                <w:rFonts w:cs="Arial"/>
                <w:sz w:val="20"/>
                <w:szCs w:val="20"/>
              </w:rPr>
              <w:t>0.001</w:t>
            </w:r>
          </w:p>
        </w:tc>
        <w:tc>
          <w:tcPr>
            <w:tcW w:w="1539" w:type="dxa"/>
          </w:tcPr>
          <w:p w14:paraId="111F365A" w14:textId="77777777" w:rsidR="00D4510D" w:rsidRPr="00BF210F" w:rsidRDefault="00D4510D" w:rsidP="00116146">
            <w:pPr>
              <w:jc w:val="center"/>
              <w:rPr>
                <w:rFonts w:cs="Arial"/>
                <w:sz w:val="20"/>
                <w:szCs w:val="20"/>
              </w:rPr>
            </w:pPr>
            <w:r w:rsidRPr="00BF210F">
              <w:rPr>
                <w:rFonts w:cs="Arial"/>
                <w:sz w:val="20"/>
                <w:szCs w:val="20"/>
              </w:rPr>
              <w:t>7.2</w:t>
            </w:r>
          </w:p>
        </w:tc>
        <w:tc>
          <w:tcPr>
            <w:tcW w:w="1446" w:type="dxa"/>
          </w:tcPr>
          <w:p w14:paraId="7574CDF1" w14:textId="77777777" w:rsidR="00D4510D" w:rsidRPr="00BF210F" w:rsidRDefault="00D4510D" w:rsidP="00116146">
            <w:pPr>
              <w:jc w:val="center"/>
              <w:rPr>
                <w:rFonts w:cs="Arial"/>
                <w:sz w:val="20"/>
                <w:szCs w:val="20"/>
              </w:rPr>
            </w:pPr>
            <w:r w:rsidRPr="00BF210F">
              <w:rPr>
                <w:rFonts w:cs="Arial"/>
                <w:sz w:val="20"/>
                <w:szCs w:val="20"/>
              </w:rPr>
              <w:t>0.299</w:t>
            </w:r>
          </w:p>
        </w:tc>
      </w:tr>
      <w:tr w:rsidR="00D4510D" w:rsidRPr="00BF210F" w14:paraId="0DBF9CDC" w14:textId="77777777" w:rsidTr="00531F2E">
        <w:tc>
          <w:tcPr>
            <w:tcW w:w="2098" w:type="dxa"/>
          </w:tcPr>
          <w:p w14:paraId="2EC1ABD3" w14:textId="77777777" w:rsidR="00D4510D" w:rsidRPr="00BF210F" w:rsidRDefault="00D4510D" w:rsidP="00116146">
            <w:pPr>
              <w:jc w:val="center"/>
              <w:rPr>
                <w:rFonts w:cs="Arial"/>
                <w:sz w:val="20"/>
                <w:szCs w:val="20"/>
              </w:rPr>
            </w:pPr>
            <w:r w:rsidRPr="00BF210F">
              <w:rPr>
                <w:rFonts w:cs="Arial"/>
                <w:sz w:val="20"/>
                <w:szCs w:val="20"/>
              </w:rPr>
              <w:t>Brandao 2019</w:t>
            </w:r>
          </w:p>
        </w:tc>
        <w:tc>
          <w:tcPr>
            <w:tcW w:w="1362" w:type="dxa"/>
          </w:tcPr>
          <w:p w14:paraId="56E991B9" w14:textId="77777777" w:rsidR="00D4510D" w:rsidRPr="00BF210F" w:rsidRDefault="00D4510D" w:rsidP="00116146">
            <w:pPr>
              <w:jc w:val="center"/>
              <w:rPr>
                <w:rFonts w:cs="Arial"/>
                <w:sz w:val="20"/>
                <w:szCs w:val="20"/>
              </w:rPr>
            </w:pPr>
            <w:r w:rsidRPr="00BF210F">
              <w:rPr>
                <w:rFonts w:cs="Arial"/>
                <w:sz w:val="20"/>
                <w:szCs w:val="20"/>
              </w:rPr>
              <w:t>1.44</w:t>
            </w:r>
          </w:p>
        </w:tc>
        <w:tc>
          <w:tcPr>
            <w:tcW w:w="1362" w:type="dxa"/>
          </w:tcPr>
          <w:p w14:paraId="59883867" w14:textId="77777777" w:rsidR="00D4510D" w:rsidRPr="00BF210F" w:rsidRDefault="00D4510D" w:rsidP="00116146">
            <w:pPr>
              <w:jc w:val="center"/>
              <w:rPr>
                <w:rFonts w:cs="Arial"/>
                <w:sz w:val="20"/>
                <w:szCs w:val="20"/>
              </w:rPr>
            </w:pPr>
            <w:r w:rsidRPr="00BF210F">
              <w:rPr>
                <w:rFonts w:cs="Arial"/>
                <w:sz w:val="20"/>
                <w:szCs w:val="20"/>
              </w:rPr>
              <w:t>0.89-2.31</w:t>
            </w:r>
          </w:p>
        </w:tc>
        <w:tc>
          <w:tcPr>
            <w:tcW w:w="1362" w:type="dxa"/>
          </w:tcPr>
          <w:p w14:paraId="59E8AB39" w14:textId="77777777" w:rsidR="00D4510D" w:rsidRPr="00BF210F" w:rsidRDefault="00D4510D" w:rsidP="00116146">
            <w:pPr>
              <w:jc w:val="center"/>
              <w:rPr>
                <w:rFonts w:cs="Arial"/>
                <w:sz w:val="20"/>
                <w:szCs w:val="20"/>
              </w:rPr>
            </w:pPr>
            <w:r w:rsidRPr="00BF210F">
              <w:rPr>
                <w:rFonts w:cs="Arial"/>
                <w:sz w:val="20"/>
                <w:szCs w:val="20"/>
              </w:rPr>
              <w:t>0.136</w:t>
            </w:r>
          </w:p>
        </w:tc>
        <w:tc>
          <w:tcPr>
            <w:tcW w:w="1539" w:type="dxa"/>
          </w:tcPr>
          <w:p w14:paraId="4DFD8173" w14:textId="77777777" w:rsidR="00D4510D" w:rsidRPr="00BF210F" w:rsidRDefault="00D4510D" w:rsidP="00116146">
            <w:pPr>
              <w:jc w:val="center"/>
              <w:rPr>
                <w:rFonts w:cs="Arial"/>
                <w:sz w:val="20"/>
                <w:szCs w:val="20"/>
              </w:rPr>
            </w:pPr>
            <w:r w:rsidRPr="00BF210F">
              <w:rPr>
                <w:rFonts w:cs="Arial"/>
                <w:sz w:val="20"/>
                <w:szCs w:val="20"/>
              </w:rPr>
              <w:t>65.0</w:t>
            </w:r>
          </w:p>
        </w:tc>
        <w:tc>
          <w:tcPr>
            <w:tcW w:w="1446" w:type="dxa"/>
          </w:tcPr>
          <w:p w14:paraId="115BE728" w14:textId="77777777" w:rsidR="00D4510D" w:rsidRPr="00BF210F" w:rsidRDefault="00D4510D" w:rsidP="00116146">
            <w:pPr>
              <w:jc w:val="center"/>
              <w:rPr>
                <w:rFonts w:cs="Arial"/>
                <w:sz w:val="20"/>
                <w:szCs w:val="20"/>
              </w:rPr>
            </w:pPr>
            <w:r w:rsidRPr="00BF210F">
              <w:rPr>
                <w:rFonts w:cs="Arial"/>
                <w:sz w:val="20"/>
                <w:szCs w:val="20"/>
              </w:rPr>
              <w:t>0.091</w:t>
            </w:r>
          </w:p>
        </w:tc>
      </w:tr>
      <w:tr w:rsidR="00D4510D" w:rsidRPr="00BF210F" w14:paraId="58FC52CC" w14:textId="77777777" w:rsidTr="00531F2E">
        <w:tc>
          <w:tcPr>
            <w:tcW w:w="2098" w:type="dxa"/>
          </w:tcPr>
          <w:p w14:paraId="0AF167A9" w14:textId="77777777" w:rsidR="00D4510D" w:rsidRPr="00BF210F" w:rsidRDefault="00D4510D" w:rsidP="00116146">
            <w:pPr>
              <w:jc w:val="center"/>
              <w:rPr>
                <w:rFonts w:cs="Arial"/>
                <w:sz w:val="20"/>
                <w:szCs w:val="20"/>
              </w:rPr>
            </w:pPr>
            <w:r w:rsidRPr="00BF210F">
              <w:rPr>
                <w:rFonts w:cs="Arial"/>
                <w:sz w:val="20"/>
                <w:szCs w:val="20"/>
              </w:rPr>
              <w:t>Sadigh 2019</w:t>
            </w:r>
          </w:p>
        </w:tc>
        <w:tc>
          <w:tcPr>
            <w:tcW w:w="1362" w:type="dxa"/>
          </w:tcPr>
          <w:p w14:paraId="6A2279A9" w14:textId="77777777" w:rsidR="00D4510D" w:rsidRPr="00BF210F" w:rsidRDefault="00D4510D" w:rsidP="00116146">
            <w:pPr>
              <w:jc w:val="center"/>
              <w:rPr>
                <w:rFonts w:cs="Arial"/>
                <w:sz w:val="20"/>
                <w:szCs w:val="20"/>
              </w:rPr>
            </w:pPr>
            <w:r w:rsidRPr="00BF210F">
              <w:rPr>
                <w:rFonts w:cs="Arial"/>
                <w:sz w:val="20"/>
                <w:szCs w:val="20"/>
              </w:rPr>
              <w:t>1.20</w:t>
            </w:r>
          </w:p>
        </w:tc>
        <w:tc>
          <w:tcPr>
            <w:tcW w:w="1362" w:type="dxa"/>
          </w:tcPr>
          <w:p w14:paraId="47A23C3C" w14:textId="77777777" w:rsidR="00D4510D" w:rsidRPr="00BF210F" w:rsidRDefault="00D4510D" w:rsidP="00116146">
            <w:pPr>
              <w:jc w:val="center"/>
              <w:rPr>
                <w:rFonts w:cs="Arial"/>
                <w:sz w:val="20"/>
                <w:szCs w:val="20"/>
              </w:rPr>
            </w:pPr>
            <w:r w:rsidRPr="00BF210F">
              <w:rPr>
                <w:rFonts w:cs="Arial"/>
                <w:sz w:val="20"/>
                <w:szCs w:val="20"/>
              </w:rPr>
              <w:t>0.86-1.67</w:t>
            </w:r>
          </w:p>
        </w:tc>
        <w:tc>
          <w:tcPr>
            <w:tcW w:w="1362" w:type="dxa"/>
          </w:tcPr>
          <w:p w14:paraId="35ED9C98" w14:textId="77777777" w:rsidR="00D4510D" w:rsidRPr="00BF210F" w:rsidRDefault="00D4510D" w:rsidP="00116146">
            <w:pPr>
              <w:jc w:val="center"/>
              <w:rPr>
                <w:rFonts w:cs="Arial"/>
                <w:sz w:val="20"/>
                <w:szCs w:val="20"/>
              </w:rPr>
            </w:pPr>
            <w:r w:rsidRPr="00BF210F">
              <w:rPr>
                <w:rFonts w:cs="Arial"/>
                <w:sz w:val="20"/>
                <w:szCs w:val="20"/>
              </w:rPr>
              <w:t>0.277</w:t>
            </w:r>
          </w:p>
        </w:tc>
        <w:tc>
          <w:tcPr>
            <w:tcW w:w="1539" w:type="dxa"/>
          </w:tcPr>
          <w:p w14:paraId="779D420A" w14:textId="77777777" w:rsidR="00D4510D" w:rsidRPr="00BF210F" w:rsidRDefault="00D4510D" w:rsidP="00116146">
            <w:pPr>
              <w:jc w:val="center"/>
              <w:rPr>
                <w:rFonts w:cs="Arial"/>
                <w:sz w:val="20"/>
                <w:szCs w:val="20"/>
              </w:rPr>
            </w:pPr>
            <w:r w:rsidRPr="00BF210F">
              <w:rPr>
                <w:rFonts w:cs="Arial"/>
                <w:sz w:val="20"/>
                <w:szCs w:val="20"/>
              </w:rPr>
              <w:t>0.0</w:t>
            </w:r>
          </w:p>
        </w:tc>
        <w:tc>
          <w:tcPr>
            <w:tcW w:w="1446" w:type="dxa"/>
          </w:tcPr>
          <w:p w14:paraId="66FB7D21" w14:textId="77777777" w:rsidR="00D4510D" w:rsidRPr="00BF210F" w:rsidRDefault="00D4510D" w:rsidP="00116146">
            <w:pPr>
              <w:jc w:val="center"/>
              <w:rPr>
                <w:rFonts w:cs="Arial"/>
                <w:sz w:val="20"/>
                <w:szCs w:val="20"/>
              </w:rPr>
            </w:pPr>
            <w:r w:rsidRPr="00BF210F">
              <w:rPr>
                <w:rFonts w:cs="Arial"/>
                <w:sz w:val="20"/>
                <w:szCs w:val="20"/>
              </w:rPr>
              <w:t>0.570</w:t>
            </w:r>
          </w:p>
        </w:tc>
      </w:tr>
    </w:tbl>
    <w:p w14:paraId="6E3D6522" w14:textId="77777777" w:rsidR="00ED1505" w:rsidRPr="00BF210F" w:rsidRDefault="00ED1505" w:rsidP="00ED1505">
      <w:pPr>
        <w:rPr>
          <w:rFonts w:cs="Arial"/>
          <w:sz w:val="16"/>
          <w:lang w:val="en-US"/>
        </w:rPr>
      </w:pPr>
      <w:r w:rsidRPr="00BF210F">
        <w:rPr>
          <w:rFonts w:cs="Arial"/>
          <w:sz w:val="16"/>
          <w:lang w:val="en-US"/>
        </w:rPr>
        <w:t>CI: confidence interval; HR: hazard ratio.</w:t>
      </w:r>
    </w:p>
    <w:p w14:paraId="630146F5" w14:textId="77777777" w:rsidR="00D4510D" w:rsidRPr="00BF210F" w:rsidRDefault="00D4510D" w:rsidP="00D4510D">
      <w:pPr>
        <w:rPr>
          <w:rFonts w:cs="Arial"/>
          <w:b/>
          <w:lang w:val="en-US"/>
        </w:rPr>
      </w:pPr>
    </w:p>
    <w:p w14:paraId="56777D0F" w14:textId="77777777" w:rsidR="00056B1D" w:rsidRPr="00BF210F" w:rsidRDefault="00056B1D" w:rsidP="00D66A20">
      <w:pPr>
        <w:rPr>
          <w:rFonts w:cs="Arial"/>
          <w:color w:val="7030A0"/>
          <w:lang w:val="en-US"/>
        </w:rPr>
      </w:pPr>
    </w:p>
    <w:p w14:paraId="73FA3685" w14:textId="6514D8BB" w:rsidR="006D6B52" w:rsidRPr="00BF210F" w:rsidRDefault="00BF210F" w:rsidP="00D66A20">
      <w:pPr>
        <w:rPr>
          <w:rFonts w:cs="Arial"/>
          <w:b/>
          <w:sz w:val="24"/>
          <w:lang w:val="en-US"/>
        </w:rPr>
      </w:pPr>
      <w:r>
        <w:rPr>
          <w:rFonts w:cs="Arial"/>
          <w:b/>
          <w:sz w:val="24"/>
          <w:szCs w:val="24"/>
          <w:lang w:val="en-US"/>
        </w:rPr>
        <w:t xml:space="preserve">Supplementary </w:t>
      </w:r>
      <w:r w:rsidR="006D6B52" w:rsidRPr="00BF210F">
        <w:rPr>
          <w:rFonts w:cs="Arial"/>
          <w:b/>
          <w:sz w:val="24"/>
          <w:lang w:val="en-US"/>
        </w:rPr>
        <w:t xml:space="preserve">Table </w:t>
      </w:r>
      <w:r w:rsidR="00AE51C6">
        <w:rPr>
          <w:rFonts w:cs="Arial"/>
          <w:b/>
          <w:sz w:val="24"/>
          <w:lang w:val="en-US"/>
        </w:rPr>
        <w:t>19</w:t>
      </w:r>
      <w:r w:rsidR="006D6B52" w:rsidRPr="00BF210F">
        <w:rPr>
          <w:rFonts w:cs="Arial"/>
          <w:b/>
          <w:sz w:val="24"/>
          <w:lang w:val="en-US"/>
        </w:rPr>
        <w:t xml:space="preserve"> – Sensitivity analysis of adjusted and unadjusted Overall Survival (OS) </w:t>
      </w:r>
      <w:r w:rsidR="00267E4A" w:rsidRPr="00BF210F">
        <w:rPr>
          <w:rFonts w:cs="Arial"/>
          <w:b/>
          <w:sz w:val="24"/>
          <w:szCs w:val="24"/>
          <w:lang w:val="en-US"/>
        </w:rPr>
        <w:t xml:space="preserve">among </w:t>
      </w:r>
      <w:r w:rsidR="00267E4A">
        <w:rPr>
          <w:rFonts w:cs="Arial"/>
          <w:b/>
          <w:sz w:val="24"/>
          <w:szCs w:val="24"/>
          <w:lang w:val="en-US"/>
        </w:rPr>
        <w:t>WLWH</w:t>
      </w:r>
      <w:r w:rsidR="00267E4A" w:rsidRPr="00BF210F">
        <w:rPr>
          <w:rFonts w:cs="Arial"/>
          <w:b/>
          <w:sz w:val="24"/>
          <w:szCs w:val="24"/>
          <w:lang w:val="en-US"/>
        </w:rPr>
        <w:t xml:space="preserve"> compared with HIV-negative </w:t>
      </w:r>
      <w:r w:rsidR="00267E4A">
        <w:rPr>
          <w:rFonts w:cs="Arial"/>
          <w:b/>
          <w:sz w:val="24"/>
          <w:szCs w:val="24"/>
          <w:lang w:val="en-US"/>
        </w:rPr>
        <w:t xml:space="preserve">women with </w:t>
      </w:r>
      <w:r w:rsidR="00267E4A" w:rsidRPr="00BF210F">
        <w:rPr>
          <w:rFonts w:cs="Arial"/>
          <w:b/>
          <w:sz w:val="24"/>
          <w:szCs w:val="24"/>
          <w:lang w:val="en-US"/>
        </w:rPr>
        <w:t>breast cancer</w:t>
      </w:r>
      <w:r w:rsidR="006D6B52" w:rsidRPr="00BF210F">
        <w:rPr>
          <w:rFonts w:cs="Arial"/>
          <w:b/>
          <w:sz w:val="24"/>
          <w:lang w:val="en-US"/>
        </w:rPr>
        <w:t>, excluding studies with poor-quality follow-up.</w:t>
      </w:r>
    </w:p>
    <w:p w14:paraId="158A4876" w14:textId="77777777" w:rsidR="006D6B52" w:rsidRPr="00BF210F" w:rsidRDefault="006D6B52" w:rsidP="00D66A20">
      <w:pPr>
        <w:rPr>
          <w:rFonts w:cs="Arial"/>
          <w:b/>
          <w:sz w:val="24"/>
          <w:lang w:val="en-US"/>
        </w:rPr>
      </w:pPr>
    </w:p>
    <w:tbl>
      <w:tblPr>
        <w:tblStyle w:val="TableGrid"/>
        <w:tblW w:w="9169" w:type="dxa"/>
        <w:tblLook w:val="04A0" w:firstRow="1" w:lastRow="0" w:firstColumn="1" w:lastColumn="0" w:noHBand="0" w:noVBand="1"/>
      </w:tblPr>
      <w:tblGrid>
        <w:gridCol w:w="2098"/>
        <w:gridCol w:w="887"/>
        <w:gridCol w:w="1660"/>
        <w:gridCol w:w="1539"/>
        <w:gridCol w:w="1539"/>
        <w:gridCol w:w="1446"/>
      </w:tblGrid>
      <w:tr w:rsidR="006D6B52" w:rsidRPr="00BF210F" w14:paraId="2C802DFB" w14:textId="77777777" w:rsidTr="006D6B52">
        <w:tc>
          <w:tcPr>
            <w:tcW w:w="2098" w:type="dxa"/>
            <w:shd w:val="clear" w:color="auto" w:fill="D9D9D9" w:themeFill="background1" w:themeFillShade="D9"/>
          </w:tcPr>
          <w:p w14:paraId="35DA8A8C" w14:textId="6A67C43B" w:rsidR="006D6B52" w:rsidRPr="00BF210F" w:rsidRDefault="006D6B52" w:rsidP="00045D96">
            <w:pPr>
              <w:jc w:val="center"/>
              <w:rPr>
                <w:rFonts w:cs="Arial"/>
                <w:b/>
                <w:sz w:val="20"/>
                <w:szCs w:val="20"/>
              </w:rPr>
            </w:pPr>
            <w:r w:rsidRPr="00BF210F">
              <w:rPr>
                <w:rFonts w:cs="Arial"/>
                <w:b/>
                <w:sz w:val="20"/>
                <w:szCs w:val="20"/>
              </w:rPr>
              <w:t>Adjusted OS</w:t>
            </w:r>
          </w:p>
        </w:tc>
        <w:tc>
          <w:tcPr>
            <w:tcW w:w="4086" w:type="dxa"/>
            <w:gridSpan w:val="3"/>
            <w:shd w:val="clear" w:color="auto" w:fill="D9D9D9" w:themeFill="background1" w:themeFillShade="D9"/>
          </w:tcPr>
          <w:p w14:paraId="1C01EE29" w14:textId="77777777" w:rsidR="006D6B52" w:rsidRPr="00BF210F" w:rsidRDefault="006D6B52" w:rsidP="00045D96">
            <w:pPr>
              <w:jc w:val="center"/>
              <w:rPr>
                <w:rFonts w:cs="Arial"/>
                <w:b/>
                <w:sz w:val="20"/>
                <w:szCs w:val="20"/>
              </w:rPr>
            </w:pPr>
          </w:p>
        </w:tc>
        <w:tc>
          <w:tcPr>
            <w:tcW w:w="1539" w:type="dxa"/>
            <w:shd w:val="clear" w:color="auto" w:fill="D9D9D9" w:themeFill="background1" w:themeFillShade="D9"/>
          </w:tcPr>
          <w:p w14:paraId="111A5172" w14:textId="77777777" w:rsidR="006D6B52" w:rsidRPr="00BF210F" w:rsidRDefault="006D6B52" w:rsidP="00045D96">
            <w:pPr>
              <w:jc w:val="center"/>
              <w:rPr>
                <w:rFonts w:cs="Arial"/>
                <w:b/>
                <w:sz w:val="20"/>
                <w:szCs w:val="20"/>
              </w:rPr>
            </w:pPr>
          </w:p>
        </w:tc>
        <w:tc>
          <w:tcPr>
            <w:tcW w:w="1446" w:type="dxa"/>
            <w:shd w:val="clear" w:color="auto" w:fill="D9D9D9" w:themeFill="background1" w:themeFillShade="D9"/>
          </w:tcPr>
          <w:p w14:paraId="39B33EE2" w14:textId="77777777" w:rsidR="006D6B52" w:rsidRPr="00BF210F" w:rsidRDefault="006D6B52" w:rsidP="00045D96">
            <w:pPr>
              <w:jc w:val="center"/>
              <w:rPr>
                <w:rFonts w:cs="Arial"/>
                <w:b/>
                <w:sz w:val="20"/>
                <w:szCs w:val="20"/>
              </w:rPr>
            </w:pPr>
          </w:p>
        </w:tc>
      </w:tr>
      <w:tr w:rsidR="006D6B52" w:rsidRPr="00BF210F" w14:paraId="3C6E936D" w14:textId="77777777" w:rsidTr="00045D96">
        <w:tc>
          <w:tcPr>
            <w:tcW w:w="2098" w:type="dxa"/>
            <w:vMerge w:val="restart"/>
          </w:tcPr>
          <w:p w14:paraId="1DAD3D06" w14:textId="77777777" w:rsidR="006D6B52" w:rsidRPr="00BF210F" w:rsidRDefault="006D6B52" w:rsidP="00045D96">
            <w:pPr>
              <w:jc w:val="center"/>
              <w:rPr>
                <w:rFonts w:cs="Arial"/>
                <w:b/>
                <w:sz w:val="20"/>
                <w:szCs w:val="20"/>
              </w:rPr>
            </w:pPr>
            <w:r w:rsidRPr="00BF210F">
              <w:rPr>
                <w:rFonts w:cs="Arial"/>
                <w:b/>
                <w:sz w:val="20"/>
                <w:szCs w:val="20"/>
              </w:rPr>
              <w:t>Studies excluded</w:t>
            </w:r>
          </w:p>
        </w:tc>
        <w:tc>
          <w:tcPr>
            <w:tcW w:w="4086" w:type="dxa"/>
            <w:gridSpan w:val="3"/>
          </w:tcPr>
          <w:p w14:paraId="1A0AC68E" w14:textId="77777777" w:rsidR="006D6B52" w:rsidRPr="00BF210F" w:rsidRDefault="006D6B52" w:rsidP="00045D96">
            <w:pPr>
              <w:jc w:val="center"/>
              <w:rPr>
                <w:rFonts w:cs="Arial"/>
                <w:b/>
                <w:sz w:val="20"/>
                <w:szCs w:val="20"/>
              </w:rPr>
            </w:pPr>
            <w:r w:rsidRPr="00BF210F">
              <w:rPr>
                <w:rFonts w:cs="Arial"/>
                <w:b/>
                <w:sz w:val="20"/>
                <w:szCs w:val="20"/>
              </w:rPr>
              <w:t>Random effect</w:t>
            </w:r>
          </w:p>
        </w:tc>
        <w:tc>
          <w:tcPr>
            <w:tcW w:w="1539" w:type="dxa"/>
            <w:vMerge w:val="restart"/>
          </w:tcPr>
          <w:p w14:paraId="2A6FF1FB" w14:textId="77777777" w:rsidR="006D6B52" w:rsidRPr="00BF210F" w:rsidRDefault="006D6B52" w:rsidP="00045D96">
            <w:pPr>
              <w:jc w:val="center"/>
              <w:rPr>
                <w:rFonts w:cs="Arial"/>
                <w:b/>
                <w:sz w:val="20"/>
                <w:szCs w:val="20"/>
              </w:rPr>
            </w:pPr>
            <w:r w:rsidRPr="00BF210F">
              <w:rPr>
                <w:rFonts w:cs="Arial"/>
                <w:b/>
                <w:sz w:val="20"/>
                <w:szCs w:val="20"/>
              </w:rPr>
              <w:t>I-squared (%)</w:t>
            </w:r>
          </w:p>
        </w:tc>
        <w:tc>
          <w:tcPr>
            <w:tcW w:w="1446" w:type="dxa"/>
            <w:vMerge w:val="restart"/>
          </w:tcPr>
          <w:p w14:paraId="23A2ED19" w14:textId="77777777" w:rsidR="006D6B52" w:rsidRPr="00BF210F" w:rsidRDefault="006D6B52" w:rsidP="00045D96">
            <w:pPr>
              <w:jc w:val="center"/>
              <w:rPr>
                <w:rFonts w:cs="Arial"/>
                <w:b/>
                <w:sz w:val="20"/>
                <w:szCs w:val="20"/>
              </w:rPr>
            </w:pPr>
            <w:r w:rsidRPr="00BF210F">
              <w:rPr>
                <w:rFonts w:cs="Arial"/>
                <w:b/>
                <w:sz w:val="20"/>
                <w:szCs w:val="20"/>
              </w:rPr>
              <w:t>I-sq. P-value</w:t>
            </w:r>
          </w:p>
        </w:tc>
      </w:tr>
      <w:tr w:rsidR="006D6B52" w:rsidRPr="00BF210F" w14:paraId="4DCF3095" w14:textId="77777777" w:rsidTr="00045D96">
        <w:tc>
          <w:tcPr>
            <w:tcW w:w="2098" w:type="dxa"/>
            <w:vMerge/>
          </w:tcPr>
          <w:p w14:paraId="791A910A" w14:textId="77777777" w:rsidR="006D6B52" w:rsidRPr="00BF210F" w:rsidRDefault="006D6B52" w:rsidP="00045D96">
            <w:pPr>
              <w:jc w:val="center"/>
              <w:rPr>
                <w:rFonts w:cs="Arial"/>
                <w:b/>
                <w:sz w:val="20"/>
                <w:szCs w:val="20"/>
              </w:rPr>
            </w:pPr>
          </w:p>
        </w:tc>
        <w:tc>
          <w:tcPr>
            <w:tcW w:w="887" w:type="dxa"/>
          </w:tcPr>
          <w:p w14:paraId="0B3B21AD" w14:textId="77777777" w:rsidR="006D6B52" w:rsidRPr="00BF210F" w:rsidRDefault="006D6B52" w:rsidP="00045D96">
            <w:pPr>
              <w:jc w:val="center"/>
              <w:rPr>
                <w:rFonts w:cs="Arial"/>
                <w:b/>
                <w:sz w:val="20"/>
                <w:szCs w:val="20"/>
              </w:rPr>
            </w:pPr>
            <w:r w:rsidRPr="00BF210F">
              <w:rPr>
                <w:rFonts w:cs="Arial"/>
                <w:b/>
                <w:sz w:val="20"/>
                <w:szCs w:val="20"/>
              </w:rPr>
              <w:t>HR</w:t>
            </w:r>
          </w:p>
        </w:tc>
        <w:tc>
          <w:tcPr>
            <w:tcW w:w="1660" w:type="dxa"/>
          </w:tcPr>
          <w:p w14:paraId="768792D5" w14:textId="77777777" w:rsidR="006D6B52" w:rsidRPr="00BF210F" w:rsidRDefault="006D6B52" w:rsidP="00045D96">
            <w:pPr>
              <w:jc w:val="center"/>
              <w:rPr>
                <w:rFonts w:cs="Arial"/>
                <w:b/>
                <w:sz w:val="20"/>
                <w:szCs w:val="20"/>
              </w:rPr>
            </w:pPr>
            <w:r w:rsidRPr="00BF210F">
              <w:rPr>
                <w:rFonts w:cs="Arial"/>
                <w:b/>
                <w:sz w:val="20"/>
                <w:szCs w:val="20"/>
              </w:rPr>
              <w:t>95% CI</w:t>
            </w:r>
          </w:p>
        </w:tc>
        <w:tc>
          <w:tcPr>
            <w:tcW w:w="1539" w:type="dxa"/>
          </w:tcPr>
          <w:p w14:paraId="4A18DCEE" w14:textId="77777777" w:rsidR="006D6B52" w:rsidRPr="00BF210F" w:rsidRDefault="006D6B52" w:rsidP="00045D96">
            <w:pPr>
              <w:jc w:val="center"/>
              <w:rPr>
                <w:rFonts w:cs="Arial"/>
                <w:b/>
                <w:sz w:val="20"/>
                <w:szCs w:val="20"/>
              </w:rPr>
            </w:pPr>
            <w:r w:rsidRPr="00BF210F">
              <w:rPr>
                <w:rFonts w:cs="Arial"/>
                <w:b/>
                <w:sz w:val="20"/>
                <w:szCs w:val="20"/>
              </w:rPr>
              <w:t>P-value</w:t>
            </w:r>
          </w:p>
        </w:tc>
        <w:tc>
          <w:tcPr>
            <w:tcW w:w="1539" w:type="dxa"/>
            <w:vMerge/>
          </w:tcPr>
          <w:p w14:paraId="36E07180" w14:textId="77777777" w:rsidR="006D6B52" w:rsidRPr="00BF210F" w:rsidRDefault="006D6B52" w:rsidP="00045D96">
            <w:pPr>
              <w:jc w:val="center"/>
              <w:rPr>
                <w:rFonts w:cs="Arial"/>
                <w:b/>
                <w:sz w:val="20"/>
                <w:szCs w:val="20"/>
              </w:rPr>
            </w:pPr>
          </w:p>
        </w:tc>
        <w:tc>
          <w:tcPr>
            <w:tcW w:w="1446" w:type="dxa"/>
            <w:vMerge/>
          </w:tcPr>
          <w:p w14:paraId="5B6F0993" w14:textId="77777777" w:rsidR="006D6B52" w:rsidRPr="00BF210F" w:rsidRDefault="006D6B52" w:rsidP="00045D96">
            <w:pPr>
              <w:jc w:val="center"/>
              <w:rPr>
                <w:rFonts w:cs="Arial"/>
                <w:b/>
                <w:sz w:val="20"/>
                <w:szCs w:val="20"/>
              </w:rPr>
            </w:pPr>
          </w:p>
        </w:tc>
      </w:tr>
      <w:tr w:rsidR="006D6B52" w:rsidRPr="00BF210F" w14:paraId="2C2EA9E2" w14:textId="77777777" w:rsidTr="006D6B52">
        <w:tc>
          <w:tcPr>
            <w:tcW w:w="2098" w:type="dxa"/>
          </w:tcPr>
          <w:p w14:paraId="2087985A" w14:textId="1642AAC2" w:rsidR="006D6B52" w:rsidRPr="00BF210F" w:rsidRDefault="006D6B52" w:rsidP="006D6B52">
            <w:pPr>
              <w:jc w:val="center"/>
              <w:rPr>
                <w:rFonts w:cs="Arial"/>
                <w:sz w:val="20"/>
                <w:szCs w:val="20"/>
              </w:rPr>
            </w:pPr>
            <w:r w:rsidRPr="00BF210F">
              <w:rPr>
                <w:rFonts w:cs="Arial"/>
                <w:sz w:val="20"/>
                <w:szCs w:val="20"/>
              </w:rPr>
              <w:t>Coghill 2013 &amp; Cubasch 2018</w:t>
            </w:r>
          </w:p>
        </w:tc>
        <w:tc>
          <w:tcPr>
            <w:tcW w:w="887" w:type="dxa"/>
            <w:vAlign w:val="center"/>
          </w:tcPr>
          <w:p w14:paraId="0CEC6E78" w14:textId="77777777" w:rsidR="006D6B52" w:rsidRPr="00BF210F" w:rsidRDefault="006D6B52" w:rsidP="006D6B52">
            <w:pPr>
              <w:jc w:val="center"/>
              <w:rPr>
                <w:rFonts w:cs="Arial"/>
                <w:sz w:val="20"/>
                <w:szCs w:val="20"/>
              </w:rPr>
            </w:pPr>
            <w:r w:rsidRPr="00BF210F">
              <w:rPr>
                <w:rFonts w:cs="Arial"/>
                <w:sz w:val="20"/>
                <w:szCs w:val="20"/>
              </w:rPr>
              <w:t>1.50</w:t>
            </w:r>
          </w:p>
        </w:tc>
        <w:tc>
          <w:tcPr>
            <w:tcW w:w="1660" w:type="dxa"/>
            <w:vAlign w:val="center"/>
          </w:tcPr>
          <w:p w14:paraId="6556A6CA" w14:textId="77777777" w:rsidR="006D6B52" w:rsidRPr="00BF210F" w:rsidRDefault="006D6B52" w:rsidP="006D6B52">
            <w:pPr>
              <w:jc w:val="center"/>
              <w:rPr>
                <w:rFonts w:cs="Arial"/>
                <w:sz w:val="20"/>
                <w:szCs w:val="20"/>
              </w:rPr>
            </w:pPr>
            <w:r w:rsidRPr="00BF210F">
              <w:rPr>
                <w:rFonts w:cs="Arial"/>
                <w:sz w:val="20"/>
                <w:szCs w:val="20"/>
              </w:rPr>
              <w:t>0.96-2.36</w:t>
            </w:r>
          </w:p>
        </w:tc>
        <w:tc>
          <w:tcPr>
            <w:tcW w:w="1539" w:type="dxa"/>
            <w:vAlign w:val="center"/>
          </w:tcPr>
          <w:p w14:paraId="4849923C" w14:textId="77777777" w:rsidR="006D6B52" w:rsidRPr="00BF210F" w:rsidRDefault="006D6B52" w:rsidP="006D6B52">
            <w:pPr>
              <w:jc w:val="center"/>
              <w:rPr>
                <w:rFonts w:cs="Arial"/>
                <w:sz w:val="20"/>
                <w:szCs w:val="20"/>
              </w:rPr>
            </w:pPr>
            <w:r w:rsidRPr="00BF210F">
              <w:rPr>
                <w:rFonts w:cs="Arial"/>
                <w:sz w:val="20"/>
                <w:szCs w:val="20"/>
              </w:rPr>
              <w:t>0.077</w:t>
            </w:r>
          </w:p>
        </w:tc>
        <w:tc>
          <w:tcPr>
            <w:tcW w:w="1539" w:type="dxa"/>
            <w:vAlign w:val="center"/>
          </w:tcPr>
          <w:p w14:paraId="497BF57E" w14:textId="77777777" w:rsidR="006D6B52" w:rsidRPr="00BF210F" w:rsidRDefault="006D6B52" w:rsidP="006D6B52">
            <w:pPr>
              <w:jc w:val="center"/>
              <w:rPr>
                <w:rFonts w:cs="Arial"/>
                <w:sz w:val="20"/>
                <w:szCs w:val="20"/>
              </w:rPr>
            </w:pPr>
            <w:r w:rsidRPr="00BF210F">
              <w:rPr>
                <w:rFonts w:cs="Arial"/>
                <w:sz w:val="20"/>
                <w:szCs w:val="20"/>
              </w:rPr>
              <w:t>58.1</w:t>
            </w:r>
          </w:p>
        </w:tc>
        <w:tc>
          <w:tcPr>
            <w:tcW w:w="1446" w:type="dxa"/>
            <w:vAlign w:val="center"/>
          </w:tcPr>
          <w:p w14:paraId="3385B99E" w14:textId="77777777" w:rsidR="006D6B52" w:rsidRPr="00BF210F" w:rsidRDefault="006D6B52" w:rsidP="006D6B52">
            <w:pPr>
              <w:jc w:val="center"/>
              <w:rPr>
                <w:rFonts w:cs="Arial"/>
                <w:sz w:val="20"/>
                <w:szCs w:val="20"/>
              </w:rPr>
            </w:pPr>
            <w:r w:rsidRPr="00BF210F">
              <w:rPr>
                <w:rFonts w:cs="Arial"/>
                <w:sz w:val="20"/>
                <w:szCs w:val="20"/>
              </w:rPr>
              <w:t>0.122</w:t>
            </w:r>
          </w:p>
        </w:tc>
      </w:tr>
      <w:tr w:rsidR="006D6B52" w:rsidRPr="00BF210F" w14:paraId="5602CB74" w14:textId="77777777" w:rsidTr="006D6B52">
        <w:tc>
          <w:tcPr>
            <w:tcW w:w="2098" w:type="dxa"/>
            <w:shd w:val="clear" w:color="auto" w:fill="D9D9D9" w:themeFill="background1" w:themeFillShade="D9"/>
          </w:tcPr>
          <w:p w14:paraId="7AC3015D" w14:textId="79A72D50" w:rsidR="006D6B52" w:rsidRPr="00BF210F" w:rsidRDefault="006D6B52" w:rsidP="006D6B52">
            <w:pPr>
              <w:jc w:val="center"/>
              <w:rPr>
                <w:rFonts w:cs="Arial"/>
                <w:b/>
                <w:sz w:val="20"/>
                <w:szCs w:val="20"/>
              </w:rPr>
            </w:pPr>
            <w:r w:rsidRPr="00BF210F">
              <w:rPr>
                <w:rFonts w:cs="Arial"/>
                <w:b/>
                <w:sz w:val="20"/>
                <w:szCs w:val="20"/>
              </w:rPr>
              <w:t>Unadjusted OS</w:t>
            </w:r>
          </w:p>
        </w:tc>
        <w:tc>
          <w:tcPr>
            <w:tcW w:w="4086" w:type="dxa"/>
            <w:gridSpan w:val="3"/>
            <w:shd w:val="clear" w:color="auto" w:fill="D9D9D9" w:themeFill="background1" w:themeFillShade="D9"/>
          </w:tcPr>
          <w:p w14:paraId="26185575" w14:textId="77777777" w:rsidR="006D6B52" w:rsidRPr="00BF210F" w:rsidRDefault="006D6B52" w:rsidP="00045D96">
            <w:pPr>
              <w:jc w:val="center"/>
              <w:rPr>
                <w:rFonts w:cs="Arial"/>
                <w:b/>
                <w:sz w:val="20"/>
                <w:szCs w:val="20"/>
              </w:rPr>
            </w:pPr>
          </w:p>
        </w:tc>
        <w:tc>
          <w:tcPr>
            <w:tcW w:w="1539" w:type="dxa"/>
            <w:shd w:val="clear" w:color="auto" w:fill="D9D9D9" w:themeFill="background1" w:themeFillShade="D9"/>
          </w:tcPr>
          <w:p w14:paraId="0E9328F9" w14:textId="77777777" w:rsidR="006D6B52" w:rsidRPr="00BF210F" w:rsidRDefault="006D6B52" w:rsidP="00045D96">
            <w:pPr>
              <w:jc w:val="center"/>
              <w:rPr>
                <w:rFonts w:cs="Arial"/>
                <w:b/>
                <w:sz w:val="20"/>
                <w:szCs w:val="20"/>
              </w:rPr>
            </w:pPr>
          </w:p>
        </w:tc>
        <w:tc>
          <w:tcPr>
            <w:tcW w:w="1446" w:type="dxa"/>
            <w:shd w:val="clear" w:color="auto" w:fill="D9D9D9" w:themeFill="background1" w:themeFillShade="D9"/>
          </w:tcPr>
          <w:p w14:paraId="3E97862A" w14:textId="77777777" w:rsidR="006D6B52" w:rsidRPr="00BF210F" w:rsidRDefault="006D6B52" w:rsidP="00045D96">
            <w:pPr>
              <w:jc w:val="center"/>
              <w:rPr>
                <w:rFonts w:cs="Arial"/>
                <w:b/>
                <w:sz w:val="20"/>
                <w:szCs w:val="20"/>
              </w:rPr>
            </w:pPr>
          </w:p>
        </w:tc>
      </w:tr>
      <w:tr w:rsidR="006D6B52" w:rsidRPr="00BF210F" w14:paraId="735BF33F" w14:textId="77777777" w:rsidTr="00045D96">
        <w:tc>
          <w:tcPr>
            <w:tcW w:w="2098" w:type="dxa"/>
            <w:vMerge w:val="restart"/>
          </w:tcPr>
          <w:p w14:paraId="1064CF1E" w14:textId="77777777" w:rsidR="006D6B52" w:rsidRPr="00BF210F" w:rsidRDefault="006D6B52" w:rsidP="00045D96">
            <w:pPr>
              <w:jc w:val="center"/>
              <w:rPr>
                <w:rFonts w:cs="Arial"/>
                <w:b/>
                <w:sz w:val="20"/>
                <w:szCs w:val="20"/>
              </w:rPr>
            </w:pPr>
            <w:r w:rsidRPr="00BF210F">
              <w:rPr>
                <w:rFonts w:cs="Arial"/>
                <w:b/>
                <w:sz w:val="20"/>
                <w:szCs w:val="20"/>
              </w:rPr>
              <w:t>Study excluded</w:t>
            </w:r>
          </w:p>
        </w:tc>
        <w:tc>
          <w:tcPr>
            <w:tcW w:w="4086" w:type="dxa"/>
            <w:gridSpan w:val="3"/>
          </w:tcPr>
          <w:p w14:paraId="066A6A19" w14:textId="77777777" w:rsidR="006D6B52" w:rsidRPr="00BF210F" w:rsidRDefault="006D6B52" w:rsidP="00045D96">
            <w:pPr>
              <w:jc w:val="center"/>
              <w:rPr>
                <w:rFonts w:cs="Arial"/>
                <w:b/>
                <w:sz w:val="20"/>
                <w:szCs w:val="20"/>
              </w:rPr>
            </w:pPr>
            <w:r w:rsidRPr="00BF210F">
              <w:rPr>
                <w:rFonts w:cs="Arial"/>
                <w:b/>
                <w:sz w:val="20"/>
                <w:szCs w:val="20"/>
              </w:rPr>
              <w:t>Random effect</w:t>
            </w:r>
          </w:p>
        </w:tc>
        <w:tc>
          <w:tcPr>
            <w:tcW w:w="1539" w:type="dxa"/>
            <w:vMerge w:val="restart"/>
          </w:tcPr>
          <w:p w14:paraId="3B74FD66" w14:textId="77777777" w:rsidR="006D6B52" w:rsidRPr="00BF210F" w:rsidRDefault="006D6B52" w:rsidP="00045D96">
            <w:pPr>
              <w:jc w:val="center"/>
              <w:rPr>
                <w:rFonts w:cs="Arial"/>
                <w:b/>
                <w:sz w:val="20"/>
                <w:szCs w:val="20"/>
              </w:rPr>
            </w:pPr>
            <w:r w:rsidRPr="00BF210F">
              <w:rPr>
                <w:rFonts w:cs="Arial"/>
                <w:b/>
                <w:sz w:val="20"/>
                <w:szCs w:val="20"/>
              </w:rPr>
              <w:t>I-squared (%)</w:t>
            </w:r>
          </w:p>
        </w:tc>
        <w:tc>
          <w:tcPr>
            <w:tcW w:w="1446" w:type="dxa"/>
            <w:vMerge w:val="restart"/>
          </w:tcPr>
          <w:p w14:paraId="122A145D" w14:textId="77777777" w:rsidR="006D6B52" w:rsidRPr="00BF210F" w:rsidRDefault="006D6B52" w:rsidP="00045D96">
            <w:pPr>
              <w:jc w:val="center"/>
              <w:rPr>
                <w:rFonts w:cs="Arial"/>
                <w:b/>
                <w:sz w:val="20"/>
                <w:szCs w:val="20"/>
              </w:rPr>
            </w:pPr>
            <w:r w:rsidRPr="00BF210F">
              <w:rPr>
                <w:rFonts w:cs="Arial"/>
                <w:b/>
                <w:sz w:val="20"/>
                <w:szCs w:val="20"/>
              </w:rPr>
              <w:t>I-sq. P-value</w:t>
            </w:r>
          </w:p>
        </w:tc>
      </w:tr>
      <w:tr w:rsidR="006D6B52" w:rsidRPr="00BF210F" w14:paraId="03F06C6A" w14:textId="77777777" w:rsidTr="00045D96">
        <w:tc>
          <w:tcPr>
            <w:tcW w:w="2098" w:type="dxa"/>
            <w:vMerge/>
          </w:tcPr>
          <w:p w14:paraId="298FB252" w14:textId="77777777" w:rsidR="006D6B52" w:rsidRPr="00BF210F" w:rsidRDefault="006D6B52" w:rsidP="00045D96">
            <w:pPr>
              <w:jc w:val="center"/>
              <w:rPr>
                <w:rFonts w:cs="Arial"/>
                <w:b/>
                <w:sz w:val="20"/>
                <w:szCs w:val="20"/>
              </w:rPr>
            </w:pPr>
          </w:p>
        </w:tc>
        <w:tc>
          <w:tcPr>
            <w:tcW w:w="887" w:type="dxa"/>
          </w:tcPr>
          <w:p w14:paraId="08B8C624" w14:textId="77777777" w:rsidR="006D6B52" w:rsidRPr="00BF210F" w:rsidRDefault="006D6B52" w:rsidP="00045D96">
            <w:pPr>
              <w:jc w:val="center"/>
              <w:rPr>
                <w:rFonts w:cs="Arial"/>
                <w:b/>
                <w:sz w:val="20"/>
                <w:szCs w:val="20"/>
              </w:rPr>
            </w:pPr>
            <w:r w:rsidRPr="00BF210F">
              <w:rPr>
                <w:rFonts w:cs="Arial"/>
                <w:b/>
                <w:sz w:val="20"/>
                <w:szCs w:val="20"/>
              </w:rPr>
              <w:t>HR</w:t>
            </w:r>
          </w:p>
        </w:tc>
        <w:tc>
          <w:tcPr>
            <w:tcW w:w="1660" w:type="dxa"/>
          </w:tcPr>
          <w:p w14:paraId="3395F818" w14:textId="77777777" w:rsidR="006D6B52" w:rsidRPr="00BF210F" w:rsidRDefault="006D6B52" w:rsidP="00045D96">
            <w:pPr>
              <w:jc w:val="center"/>
              <w:rPr>
                <w:rFonts w:cs="Arial"/>
                <w:b/>
                <w:sz w:val="20"/>
                <w:szCs w:val="20"/>
              </w:rPr>
            </w:pPr>
            <w:r w:rsidRPr="00BF210F">
              <w:rPr>
                <w:rFonts w:cs="Arial"/>
                <w:b/>
                <w:sz w:val="20"/>
                <w:szCs w:val="20"/>
              </w:rPr>
              <w:t>95% CI</w:t>
            </w:r>
          </w:p>
        </w:tc>
        <w:tc>
          <w:tcPr>
            <w:tcW w:w="1539" w:type="dxa"/>
          </w:tcPr>
          <w:p w14:paraId="1B5B8038" w14:textId="77777777" w:rsidR="006D6B52" w:rsidRPr="00BF210F" w:rsidRDefault="006D6B52" w:rsidP="00045D96">
            <w:pPr>
              <w:jc w:val="center"/>
              <w:rPr>
                <w:rFonts w:cs="Arial"/>
                <w:b/>
                <w:sz w:val="20"/>
                <w:szCs w:val="20"/>
              </w:rPr>
            </w:pPr>
            <w:r w:rsidRPr="00BF210F">
              <w:rPr>
                <w:rFonts w:cs="Arial"/>
                <w:b/>
                <w:sz w:val="20"/>
                <w:szCs w:val="20"/>
              </w:rPr>
              <w:t>P-value</w:t>
            </w:r>
          </w:p>
        </w:tc>
        <w:tc>
          <w:tcPr>
            <w:tcW w:w="1539" w:type="dxa"/>
            <w:vMerge/>
          </w:tcPr>
          <w:p w14:paraId="2052B378" w14:textId="77777777" w:rsidR="006D6B52" w:rsidRPr="00BF210F" w:rsidRDefault="006D6B52" w:rsidP="00045D96">
            <w:pPr>
              <w:jc w:val="center"/>
              <w:rPr>
                <w:rFonts w:cs="Arial"/>
                <w:b/>
                <w:sz w:val="20"/>
                <w:szCs w:val="20"/>
              </w:rPr>
            </w:pPr>
          </w:p>
        </w:tc>
        <w:tc>
          <w:tcPr>
            <w:tcW w:w="1446" w:type="dxa"/>
            <w:vMerge/>
          </w:tcPr>
          <w:p w14:paraId="1FBBD53E" w14:textId="77777777" w:rsidR="006D6B52" w:rsidRPr="00BF210F" w:rsidRDefault="006D6B52" w:rsidP="00045D96">
            <w:pPr>
              <w:jc w:val="center"/>
              <w:rPr>
                <w:rFonts w:cs="Arial"/>
                <w:b/>
                <w:sz w:val="20"/>
                <w:szCs w:val="20"/>
              </w:rPr>
            </w:pPr>
          </w:p>
        </w:tc>
      </w:tr>
      <w:tr w:rsidR="006D6B52" w:rsidRPr="00BF210F" w14:paraId="4853313C" w14:textId="77777777" w:rsidTr="00045D96">
        <w:tc>
          <w:tcPr>
            <w:tcW w:w="2098" w:type="dxa"/>
          </w:tcPr>
          <w:p w14:paraId="5FEE2E4D" w14:textId="23EAE717" w:rsidR="006D6B52" w:rsidRPr="00BF210F" w:rsidRDefault="006D6B52" w:rsidP="006D6B52">
            <w:pPr>
              <w:jc w:val="center"/>
              <w:rPr>
                <w:rFonts w:cs="Arial"/>
                <w:sz w:val="20"/>
                <w:szCs w:val="20"/>
              </w:rPr>
            </w:pPr>
            <w:r w:rsidRPr="00BF210F">
              <w:rPr>
                <w:rFonts w:cs="Arial"/>
                <w:sz w:val="20"/>
                <w:szCs w:val="20"/>
              </w:rPr>
              <w:t>Cubasch 2018</w:t>
            </w:r>
          </w:p>
        </w:tc>
        <w:tc>
          <w:tcPr>
            <w:tcW w:w="887" w:type="dxa"/>
          </w:tcPr>
          <w:p w14:paraId="4F732AE5" w14:textId="77777777" w:rsidR="006D6B52" w:rsidRPr="00BF210F" w:rsidRDefault="006D6B52" w:rsidP="00045D96">
            <w:pPr>
              <w:jc w:val="center"/>
              <w:rPr>
                <w:rFonts w:cs="Arial"/>
                <w:sz w:val="20"/>
                <w:szCs w:val="20"/>
              </w:rPr>
            </w:pPr>
            <w:r w:rsidRPr="00BF210F">
              <w:rPr>
                <w:rFonts w:cs="Arial"/>
                <w:sz w:val="20"/>
                <w:szCs w:val="20"/>
              </w:rPr>
              <w:t>1.61</w:t>
            </w:r>
          </w:p>
        </w:tc>
        <w:tc>
          <w:tcPr>
            <w:tcW w:w="1660" w:type="dxa"/>
          </w:tcPr>
          <w:p w14:paraId="104174C0" w14:textId="77777777" w:rsidR="006D6B52" w:rsidRPr="00BF210F" w:rsidRDefault="006D6B52" w:rsidP="00045D96">
            <w:pPr>
              <w:jc w:val="center"/>
              <w:rPr>
                <w:rFonts w:cs="Arial"/>
                <w:sz w:val="20"/>
                <w:szCs w:val="20"/>
              </w:rPr>
            </w:pPr>
            <w:r w:rsidRPr="00BF210F">
              <w:rPr>
                <w:rFonts w:cs="Arial"/>
                <w:sz w:val="20"/>
                <w:szCs w:val="20"/>
              </w:rPr>
              <w:t>1.22-2.12</w:t>
            </w:r>
          </w:p>
        </w:tc>
        <w:tc>
          <w:tcPr>
            <w:tcW w:w="1539" w:type="dxa"/>
          </w:tcPr>
          <w:p w14:paraId="3A28B042" w14:textId="77777777" w:rsidR="006D6B52" w:rsidRPr="00BF210F" w:rsidRDefault="006D6B52" w:rsidP="00045D96">
            <w:pPr>
              <w:jc w:val="center"/>
              <w:rPr>
                <w:rFonts w:cs="Arial"/>
                <w:sz w:val="20"/>
                <w:szCs w:val="20"/>
              </w:rPr>
            </w:pPr>
            <w:r w:rsidRPr="00BF210F">
              <w:rPr>
                <w:rFonts w:cs="Arial"/>
                <w:sz w:val="20"/>
                <w:szCs w:val="20"/>
              </w:rPr>
              <w:t>0.001</w:t>
            </w:r>
          </w:p>
        </w:tc>
        <w:tc>
          <w:tcPr>
            <w:tcW w:w="1539" w:type="dxa"/>
          </w:tcPr>
          <w:p w14:paraId="45FEAAE5" w14:textId="77777777" w:rsidR="006D6B52" w:rsidRPr="00BF210F" w:rsidRDefault="006D6B52" w:rsidP="00045D96">
            <w:pPr>
              <w:jc w:val="center"/>
              <w:rPr>
                <w:rFonts w:cs="Arial"/>
                <w:sz w:val="20"/>
                <w:szCs w:val="20"/>
              </w:rPr>
            </w:pPr>
            <w:r w:rsidRPr="00BF210F">
              <w:rPr>
                <w:rFonts w:cs="Arial"/>
                <w:sz w:val="20"/>
                <w:szCs w:val="20"/>
              </w:rPr>
              <w:t>7.2</w:t>
            </w:r>
          </w:p>
        </w:tc>
        <w:tc>
          <w:tcPr>
            <w:tcW w:w="1446" w:type="dxa"/>
          </w:tcPr>
          <w:p w14:paraId="55EEE1A4" w14:textId="77777777" w:rsidR="006D6B52" w:rsidRPr="00BF210F" w:rsidRDefault="006D6B52" w:rsidP="00045D96">
            <w:pPr>
              <w:jc w:val="center"/>
              <w:rPr>
                <w:rFonts w:cs="Arial"/>
                <w:sz w:val="20"/>
                <w:szCs w:val="20"/>
              </w:rPr>
            </w:pPr>
            <w:r w:rsidRPr="00BF210F">
              <w:rPr>
                <w:rFonts w:cs="Arial"/>
                <w:sz w:val="20"/>
                <w:szCs w:val="20"/>
              </w:rPr>
              <w:t>0.299</w:t>
            </w:r>
          </w:p>
        </w:tc>
      </w:tr>
    </w:tbl>
    <w:p w14:paraId="7B8D92E3" w14:textId="77777777" w:rsidR="006D6B52" w:rsidRPr="00BF210F" w:rsidRDefault="006D6B52" w:rsidP="006D6B52">
      <w:pPr>
        <w:rPr>
          <w:rFonts w:cs="Arial"/>
          <w:sz w:val="16"/>
          <w:lang w:val="en-US"/>
        </w:rPr>
      </w:pPr>
      <w:r w:rsidRPr="00BF210F">
        <w:rPr>
          <w:rFonts w:cs="Arial"/>
          <w:sz w:val="16"/>
          <w:lang w:val="en-US"/>
        </w:rPr>
        <w:t>CI: confidence interval; HR: hazard ratio.</w:t>
      </w:r>
    </w:p>
    <w:p w14:paraId="430BFF98" w14:textId="7805E760" w:rsidR="00CA1075" w:rsidRPr="00BF210F" w:rsidRDefault="00CA1075" w:rsidP="00D66A20">
      <w:pPr>
        <w:rPr>
          <w:rFonts w:cs="Arial"/>
          <w:color w:val="7030A0"/>
          <w:lang w:val="en-US"/>
        </w:rPr>
      </w:pPr>
      <w:r w:rsidRPr="00BF210F">
        <w:rPr>
          <w:rFonts w:cs="Arial"/>
          <w:color w:val="7030A0"/>
          <w:lang w:val="en-US"/>
        </w:rPr>
        <w:br w:type="page"/>
      </w:r>
    </w:p>
    <w:p w14:paraId="3E5934D9" w14:textId="77777777" w:rsidR="00CA1075" w:rsidRPr="00BF210F" w:rsidRDefault="00CA1075" w:rsidP="00D66A20">
      <w:pPr>
        <w:rPr>
          <w:rFonts w:cs="Arial"/>
          <w:color w:val="7030A0"/>
          <w:lang w:val="en-US"/>
        </w:rPr>
        <w:sectPr w:rsidR="00CA1075" w:rsidRPr="00BF210F" w:rsidSect="00D837F4">
          <w:pgSz w:w="11906" w:h="16838"/>
          <w:pgMar w:top="1134" w:right="1134" w:bottom="1134" w:left="1134" w:header="567" w:footer="567" w:gutter="0"/>
          <w:cols w:space="708"/>
          <w:docGrid w:linePitch="360"/>
        </w:sectPr>
      </w:pPr>
    </w:p>
    <w:p w14:paraId="7F4D3F5F" w14:textId="4B0F8F30" w:rsidR="00CA1075" w:rsidRPr="00BF210F" w:rsidRDefault="00BF210F" w:rsidP="00D66A20">
      <w:pPr>
        <w:rPr>
          <w:rFonts w:cs="Arial"/>
          <w:b/>
          <w:sz w:val="20"/>
          <w:szCs w:val="20"/>
          <w:lang w:val="en-US"/>
        </w:rPr>
      </w:pPr>
      <w:r>
        <w:rPr>
          <w:rFonts w:cs="Arial"/>
          <w:b/>
          <w:sz w:val="24"/>
          <w:szCs w:val="24"/>
          <w:lang w:val="en-US"/>
        </w:rPr>
        <w:lastRenderedPageBreak/>
        <w:t xml:space="preserve">Supplementary </w:t>
      </w:r>
      <w:r w:rsidR="00B31728" w:rsidRPr="00BF210F">
        <w:rPr>
          <w:rFonts w:cs="Arial"/>
          <w:b/>
          <w:sz w:val="24"/>
          <w:szCs w:val="20"/>
          <w:lang w:val="en-US"/>
        </w:rPr>
        <w:t>Table 2</w:t>
      </w:r>
      <w:r w:rsidR="00AE51C6">
        <w:rPr>
          <w:rFonts w:cs="Arial"/>
          <w:b/>
          <w:sz w:val="24"/>
          <w:szCs w:val="20"/>
          <w:lang w:val="en-US"/>
        </w:rPr>
        <w:t>0</w:t>
      </w:r>
      <w:bookmarkStart w:id="0" w:name="_GoBack"/>
      <w:bookmarkEnd w:id="0"/>
      <w:r w:rsidR="00B31728" w:rsidRPr="00BF210F">
        <w:rPr>
          <w:rFonts w:cs="Arial"/>
          <w:sz w:val="24"/>
          <w:szCs w:val="20"/>
          <w:lang w:val="en-US"/>
        </w:rPr>
        <w:t xml:space="preserve"> </w:t>
      </w:r>
      <w:r w:rsidR="00B31728" w:rsidRPr="00BF210F">
        <w:rPr>
          <w:rFonts w:cs="Arial"/>
          <w:b/>
          <w:sz w:val="24"/>
          <w:szCs w:val="20"/>
          <w:lang w:val="en-US"/>
        </w:rPr>
        <w:t>–</w:t>
      </w:r>
      <w:r w:rsidR="00CA1075" w:rsidRPr="00BF210F">
        <w:rPr>
          <w:rFonts w:cs="Arial"/>
          <w:b/>
          <w:sz w:val="24"/>
          <w:szCs w:val="20"/>
          <w:lang w:val="en-US"/>
        </w:rPr>
        <w:t xml:space="preserve"> </w:t>
      </w:r>
      <w:r w:rsidR="006B630E" w:rsidRPr="00BF210F">
        <w:rPr>
          <w:rFonts w:cs="Arial"/>
          <w:b/>
          <w:sz w:val="24"/>
          <w:szCs w:val="20"/>
          <w:lang w:val="en-US"/>
        </w:rPr>
        <w:t>Age at diagnosis</w:t>
      </w:r>
      <w:r w:rsidR="00CA1075" w:rsidRPr="00BF210F">
        <w:rPr>
          <w:rFonts w:cs="Arial"/>
          <w:b/>
          <w:sz w:val="24"/>
          <w:szCs w:val="20"/>
          <w:lang w:val="en-US"/>
        </w:rPr>
        <w:t xml:space="preserve"> and anti-cancer treatment received by </w:t>
      </w:r>
      <w:r w:rsidR="00267E4A">
        <w:rPr>
          <w:rFonts w:cs="Arial"/>
          <w:b/>
          <w:sz w:val="24"/>
          <w:szCs w:val="20"/>
          <w:lang w:val="en-US"/>
        </w:rPr>
        <w:t>WLWH</w:t>
      </w:r>
      <w:r w:rsidR="00CA1075" w:rsidRPr="00BF210F">
        <w:rPr>
          <w:rFonts w:cs="Arial"/>
          <w:b/>
          <w:sz w:val="24"/>
          <w:szCs w:val="20"/>
          <w:lang w:val="en-US"/>
        </w:rPr>
        <w:t xml:space="preserve"> and HIV-negative </w:t>
      </w:r>
      <w:r w:rsidR="00267E4A">
        <w:rPr>
          <w:rFonts w:cs="Arial"/>
          <w:b/>
          <w:sz w:val="24"/>
          <w:szCs w:val="20"/>
          <w:lang w:val="en-US"/>
        </w:rPr>
        <w:t xml:space="preserve">women with </w:t>
      </w:r>
      <w:r w:rsidR="00267E4A" w:rsidRPr="00BF210F">
        <w:rPr>
          <w:rFonts w:cs="Arial"/>
          <w:b/>
          <w:sz w:val="24"/>
          <w:szCs w:val="20"/>
          <w:lang w:val="en-US"/>
        </w:rPr>
        <w:t xml:space="preserve">breast cancer </w:t>
      </w:r>
      <w:r w:rsidR="00CA1075" w:rsidRPr="00BF210F">
        <w:rPr>
          <w:rFonts w:cs="Arial"/>
          <w:b/>
          <w:sz w:val="24"/>
          <w:szCs w:val="20"/>
          <w:lang w:val="en-US"/>
        </w:rPr>
        <w:t>in each of the included studies.</w:t>
      </w:r>
    </w:p>
    <w:p w14:paraId="518517D9" w14:textId="77777777" w:rsidR="00CA1075" w:rsidRPr="00BF210F" w:rsidRDefault="00CA1075" w:rsidP="00D66A20">
      <w:pPr>
        <w:rPr>
          <w:rFonts w:cs="Arial"/>
          <w:lang w:val="en-US"/>
        </w:rPr>
      </w:pPr>
    </w:p>
    <w:tbl>
      <w:tblPr>
        <w:tblStyle w:val="TableGrid"/>
        <w:tblW w:w="15026" w:type="dxa"/>
        <w:tblInd w:w="-176" w:type="dxa"/>
        <w:tblLayout w:type="fixed"/>
        <w:tblLook w:val="04A0" w:firstRow="1" w:lastRow="0" w:firstColumn="1" w:lastColumn="0" w:noHBand="0" w:noVBand="1"/>
      </w:tblPr>
      <w:tblGrid>
        <w:gridCol w:w="1844"/>
        <w:gridCol w:w="1275"/>
        <w:gridCol w:w="1276"/>
        <w:gridCol w:w="885"/>
        <w:gridCol w:w="886"/>
        <w:gridCol w:w="886"/>
        <w:gridCol w:w="886"/>
        <w:gridCol w:w="886"/>
        <w:gridCol w:w="886"/>
        <w:gridCol w:w="886"/>
        <w:gridCol w:w="886"/>
        <w:gridCol w:w="886"/>
        <w:gridCol w:w="886"/>
        <w:gridCol w:w="886"/>
        <w:gridCol w:w="886"/>
      </w:tblGrid>
      <w:tr w:rsidR="007C25F8" w:rsidRPr="00BF210F" w14:paraId="5623C6C4" w14:textId="77777777" w:rsidTr="00846D54">
        <w:trPr>
          <w:tblHeader/>
        </w:trPr>
        <w:tc>
          <w:tcPr>
            <w:tcW w:w="1844" w:type="dxa"/>
            <w:tcBorders>
              <w:left w:val="nil"/>
              <w:right w:val="nil"/>
            </w:tcBorders>
            <w:vAlign w:val="center"/>
          </w:tcPr>
          <w:p w14:paraId="79F0AEE1" w14:textId="77777777" w:rsidR="007C25F8" w:rsidRPr="00BF210F" w:rsidRDefault="007C25F8" w:rsidP="00D66A20">
            <w:pPr>
              <w:jc w:val="center"/>
              <w:rPr>
                <w:rFonts w:cs="Arial"/>
                <w:b/>
                <w:sz w:val="18"/>
                <w:szCs w:val="20"/>
                <w:lang w:val="en-US"/>
              </w:rPr>
            </w:pPr>
          </w:p>
        </w:tc>
        <w:tc>
          <w:tcPr>
            <w:tcW w:w="2551" w:type="dxa"/>
            <w:gridSpan w:val="2"/>
            <w:tcBorders>
              <w:left w:val="nil"/>
              <w:right w:val="nil"/>
            </w:tcBorders>
            <w:vAlign w:val="center"/>
          </w:tcPr>
          <w:p w14:paraId="2171DFC8" w14:textId="06D6B4B5" w:rsidR="007C25F8" w:rsidRPr="00BF210F" w:rsidRDefault="007C25F8" w:rsidP="00D66A20">
            <w:pPr>
              <w:jc w:val="center"/>
              <w:rPr>
                <w:rFonts w:cs="Arial"/>
                <w:b/>
                <w:sz w:val="18"/>
                <w:szCs w:val="20"/>
                <w:lang w:val="en-US"/>
              </w:rPr>
            </w:pPr>
            <w:r w:rsidRPr="00BF210F">
              <w:rPr>
                <w:rFonts w:cs="Arial"/>
                <w:b/>
                <w:sz w:val="18"/>
                <w:szCs w:val="20"/>
                <w:lang w:val="en-US"/>
              </w:rPr>
              <w:t xml:space="preserve"> Age at diagnosis</w:t>
            </w:r>
          </w:p>
        </w:tc>
        <w:tc>
          <w:tcPr>
            <w:tcW w:w="5315" w:type="dxa"/>
            <w:gridSpan w:val="6"/>
            <w:tcBorders>
              <w:left w:val="nil"/>
              <w:right w:val="nil"/>
            </w:tcBorders>
            <w:shd w:val="clear" w:color="auto" w:fill="F2F2F2" w:themeFill="background1" w:themeFillShade="F2"/>
            <w:vAlign w:val="center"/>
          </w:tcPr>
          <w:p w14:paraId="28A2C0D1" w14:textId="5D6AE8D1" w:rsidR="007C25F8" w:rsidRPr="00BF210F" w:rsidRDefault="007414AF" w:rsidP="00267E4A">
            <w:pPr>
              <w:jc w:val="center"/>
              <w:rPr>
                <w:rFonts w:cs="Arial"/>
                <w:b/>
                <w:bCs/>
                <w:sz w:val="18"/>
                <w:szCs w:val="20"/>
              </w:rPr>
            </w:pPr>
            <w:r w:rsidRPr="00BF210F">
              <w:rPr>
                <w:rFonts w:cs="Arial"/>
                <w:b/>
                <w:bCs/>
                <w:sz w:val="18"/>
                <w:szCs w:val="20"/>
              </w:rPr>
              <w:t>Anti-cancer t</w:t>
            </w:r>
            <w:r w:rsidR="007C25F8" w:rsidRPr="00BF210F">
              <w:rPr>
                <w:rFonts w:cs="Arial"/>
                <w:b/>
                <w:bCs/>
                <w:sz w:val="18"/>
                <w:szCs w:val="20"/>
              </w:rPr>
              <w:t xml:space="preserve">reatment received by </w:t>
            </w:r>
            <w:r w:rsidR="00267E4A">
              <w:rPr>
                <w:rFonts w:cs="Arial"/>
                <w:b/>
                <w:bCs/>
                <w:sz w:val="18"/>
                <w:szCs w:val="20"/>
              </w:rPr>
              <w:t>WLWH</w:t>
            </w:r>
            <w:r w:rsidR="007C25F8" w:rsidRPr="00BF210F">
              <w:rPr>
                <w:rFonts w:cs="Arial"/>
                <w:b/>
                <w:bCs/>
                <w:sz w:val="18"/>
                <w:szCs w:val="20"/>
              </w:rPr>
              <w:t xml:space="preserve"> (n, %)</w:t>
            </w:r>
          </w:p>
        </w:tc>
        <w:tc>
          <w:tcPr>
            <w:tcW w:w="5316" w:type="dxa"/>
            <w:gridSpan w:val="6"/>
            <w:tcBorders>
              <w:left w:val="nil"/>
              <w:right w:val="nil"/>
            </w:tcBorders>
            <w:shd w:val="clear" w:color="auto" w:fill="auto"/>
            <w:vAlign w:val="center"/>
          </w:tcPr>
          <w:p w14:paraId="06CBDE82" w14:textId="67657126" w:rsidR="007C25F8" w:rsidRPr="00BF210F" w:rsidRDefault="007414AF" w:rsidP="00267E4A">
            <w:pPr>
              <w:jc w:val="center"/>
              <w:rPr>
                <w:rFonts w:cs="Arial"/>
                <w:b/>
                <w:bCs/>
                <w:sz w:val="18"/>
                <w:szCs w:val="20"/>
              </w:rPr>
            </w:pPr>
            <w:r w:rsidRPr="00BF210F">
              <w:rPr>
                <w:rFonts w:cs="Arial"/>
                <w:b/>
                <w:bCs/>
                <w:sz w:val="18"/>
                <w:szCs w:val="20"/>
              </w:rPr>
              <w:t>Anti-cancer t</w:t>
            </w:r>
            <w:r w:rsidR="007C25F8" w:rsidRPr="00BF210F">
              <w:rPr>
                <w:rFonts w:cs="Arial"/>
                <w:b/>
                <w:bCs/>
                <w:sz w:val="18"/>
                <w:szCs w:val="20"/>
              </w:rPr>
              <w:t xml:space="preserve">reatment received by HIV-negative </w:t>
            </w:r>
            <w:r w:rsidR="00267E4A">
              <w:rPr>
                <w:rFonts w:cs="Arial"/>
                <w:b/>
                <w:bCs/>
                <w:sz w:val="18"/>
                <w:szCs w:val="20"/>
              </w:rPr>
              <w:t>women</w:t>
            </w:r>
            <w:r w:rsidR="007C25F8" w:rsidRPr="00BF210F">
              <w:rPr>
                <w:rFonts w:cs="Arial"/>
                <w:b/>
                <w:bCs/>
                <w:sz w:val="18"/>
                <w:szCs w:val="20"/>
              </w:rPr>
              <w:t xml:space="preserve"> (n, %)</w:t>
            </w:r>
          </w:p>
        </w:tc>
      </w:tr>
      <w:tr w:rsidR="007C25F8" w:rsidRPr="00BF210F" w14:paraId="0A06309F" w14:textId="77777777" w:rsidTr="00846D54">
        <w:trPr>
          <w:tblHeader/>
        </w:trPr>
        <w:tc>
          <w:tcPr>
            <w:tcW w:w="1844" w:type="dxa"/>
            <w:tcBorders>
              <w:left w:val="nil"/>
              <w:right w:val="nil"/>
            </w:tcBorders>
            <w:vAlign w:val="center"/>
          </w:tcPr>
          <w:p w14:paraId="358D271E" w14:textId="77777777" w:rsidR="007C25F8" w:rsidRPr="00BF210F" w:rsidRDefault="007C25F8" w:rsidP="00D66A20">
            <w:pPr>
              <w:jc w:val="center"/>
              <w:rPr>
                <w:rFonts w:cs="Arial"/>
                <w:b/>
                <w:sz w:val="18"/>
                <w:szCs w:val="20"/>
                <w:lang w:val="en-US"/>
              </w:rPr>
            </w:pPr>
            <w:r w:rsidRPr="00BF210F">
              <w:rPr>
                <w:rFonts w:cs="Arial"/>
                <w:b/>
                <w:sz w:val="18"/>
                <w:szCs w:val="20"/>
                <w:lang w:val="en-US"/>
              </w:rPr>
              <w:t>Author (Year)</w:t>
            </w:r>
          </w:p>
        </w:tc>
        <w:tc>
          <w:tcPr>
            <w:tcW w:w="1275" w:type="dxa"/>
            <w:tcBorders>
              <w:left w:val="nil"/>
              <w:right w:val="nil"/>
            </w:tcBorders>
            <w:vAlign w:val="center"/>
          </w:tcPr>
          <w:p w14:paraId="41ED9B9B" w14:textId="15E6E8FA" w:rsidR="007C25F8" w:rsidRPr="00BF210F" w:rsidRDefault="00267E4A" w:rsidP="00D66A20">
            <w:pPr>
              <w:jc w:val="center"/>
              <w:rPr>
                <w:rFonts w:cs="Arial"/>
                <w:b/>
                <w:sz w:val="18"/>
                <w:szCs w:val="20"/>
                <w:lang w:val="en-US"/>
              </w:rPr>
            </w:pPr>
            <w:r>
              <w:rPr>
                <w:rFonts w:cs="Arial"/>
                <w:b/>
                <w:bCs/>
                <w:sz w:val="18"/>
                <w:szCs w:val="20"/>
              </w:rPr>
              <w:t>WLWH</w:t>
            </w:r>
          </w:p>
        </w:tc>
        <w:tc>
          <w:tcPr>
            <w:tcW w:w="1276" w:type="dxa"/>
            <w:tcBorders>
              <w:left w:val="nil"/>
              <w:right w:val="nil"/>
            </w:tcBorders>
            <w:vAlign w:val="center"/>
          </w:tcPr>
          <w:p w14:paraId="0322828B" w14:textId="3152A898" w:rsidR="007C25F8" w:rsidRPr="00BF210F" w:rsidRDefault="007C25F8" w:rsidP="00267E4A">
            <w:pPr>
              <w:jc w:val="center"/>
              <w:rPr>
                <w:rFonts w:cs="Arial"/>
                <w:b/>
                <w:sz w:val="18"/>
                <w:szCs w:val="20"/>
                <w:lang w:val="en-US"/>
              </w:rPr>
            </w:pPr>
            <w:r w:rsidRPr="00BF210F">
              <w:rPr>
                <w:rFonts w:cs="Arial"/>
                <w:b/>
                <w:bCs/>
                <w:sz w:val="18"/>
                <w:szCs w:val="20"/>
              </w:rPr>
              <w:t xml:space="preserve">HIV-negative </w:t>
            </w:r>
            <w:r w:rsidR="00267E4A">
              <w:rPr>
                <w:rFonts w:cs="Arial"/>
                <w:b/>
                <w:bCs/>
                <w:sz w:val="18"/>
                <w:szCs w:val="20"/>
              </w:rPr>
              <w:t>women</w:t>
            </w:r>
          </w:p>
        </w:tc>
        <w:tc>
          <w:tcPr>
            <w:tcW w:w="885" w:type="dxa"/>
            <w:tcBorders>
              <w:left w:val="nil"/>
              <w:right w:val="nil"/>
            </w:tcBorders>
            <w:shd w:val="clear" w:color="auto" w:fill="F2F2F2" w:themeFill="background1" w:themeFillShade="F2"/>
            <w:vAlign w:val="center"/>
          </w:tcPr>
          <w:p w14:paraId="5DF6BD66" w14:textId="5198DAFB" w:rsidR="007C25F8" w:rsidRPr="00BF210F" w:rsidRDefault="007C25F8" w:rsidP="00FC10F5">
            <w:pPr>
              <w:jc w:val="center"/>
              <w:rPr>
                <w:rFonts w:cs="Arial"/>
                <w:b/>
                <w:bCs/>
                <w:sz w:val="18"/>
                <w:szCs w:val="20"/>
              </w:rPr>
            </w:pPr>
            <w:r w:rsidRPr="00BF210F">
              <w:rPr>
                <w:rFonts w:cs="Arial"/>
                <w:b/>
                <w:bCs/>
                <w:sz w:val="18"/>
                <w:szCs w:val="20"/>
              </w:rPr>
              <w:t>Total nb p</w:t>
            </w:r>
            <w:r w:rsidR="00FC10F5" w:rsidRPr="00BF210F">
              <w:rPr>
                <w:rFonts w:cs="Arial"/>
                <w:b/>
                <w:bCs/>
                <w:sz w:val="18"/>
                <w:szCs w:val="20"/>
              </w:rPr>
              <w:t>ts</w:t>
            </w:r>
          </w:p>
        </w:tc>
        <w:tc>
          <w:tcPr>
            <w:tcW w:w="886" w:type="dxa"/>
            <w:tcBorders>
              <w:left w:val="nil"/>
              <w:right w:val="nil"/>
            </w:tcBorders>
            <w:shd w:val="clear" w:color="auto" w:fill="F2F2F2" w:themeFill="background1" w:themeFillShade="F2"/>
            <w:vAlign w:val="center"/>
          </w:tcPr>
          <w:p w14:paraId="5DCCE705" w14:textId="41DEE8CC" w:rsidR="007C25F8" w:rsidRPr="00BF210F" w:rsidRDefault="007C25F8" w:rsidP="00BF210F">
            <w:pPr>
              <w:jc w:val="center"/>
              <w:rPr>
                <w:rFonts w:cs="Arial"/>
                <w:b/>
                <w:bCs/>
                <w:sz w:val="18"/>
                <w:szCs w:val="20"/>
              </w:rPr>
            </w:pPr>
            <w:r w:rsidRPr="00BF210F">
              <w:rPr>
                <w:rFonts w:cs="Arial"/>
                <w:b/>
                <w:bCs/>
                <w:sz w:val="18"/>
                <w:szCs w:val="20"/>
              </w:rPr>
              <w:t>Any tx received</w:t>
            </w:r>
          </w:p>
        </w:tc>
        <w:tc>
          <w:tcPr>
            <w:tcW w:w="886" w:type="dxa"/>
            <w:tcBorders>
              <w:left w:val="nil"/>
              <w:right w:val="nil"/>
            </w:tcBorders>
            <w:shd w:val="clear" w:color="auto" w:fill="F2F2F2" w:themeFill="background1" w:themeFillShade="F2"/>
            <w:vAlign w:val="center"/>
          </w:tcPr>
          <w:p w14:paraId="18C78A0E" w14:textId="09F61DB9" w:rsidR="007C25F8" w:rsidRPr="00BF210F" w:rsidRDefault="007C25F8" w:rsidP="00BF210F">
            <w:pPr>
              <w:jc w:val="center"/>
              <w:rPr>
                <w:rFonts w:cs="Arial"/>
                <w:b/>
                <w:bCs/>
                <w:sz w:val="18"/>
                <w:szCs w:val="20"/>
              </w:rPr>
            </w:pPr>
            <w:r w:rsidRPr="00BF210F">
              <w:rPr>
                <w:rFonts w:cs="Arial"/>
                <w:b/>
                <w:bCs/>
                <w:sz w:val="18"/>
                <w:szCs w:val="20"/>
              </w:rPr>
              <w:t>Surgery</w:t>
            </w:r>
          </w:p>
        </w:tc>
        <w:tc>
          <w:tcPr>
            <w:tcW w:w="886" w:type="dxa"/>
            <w:tcBorders>
              <w:left w:val="nil"/>
              <w:right w:val="nil"/>
            </w:tcBorders>
            <w:shd w:val="clear" w:color="auto" w:fill="F2F2F2" w:themeFill="background1" w:themeFillShade="F2"/>
            <w:vAlign w:val="center"/>
          </w:tcPr>
          <w:p w14:paraId="3A07E964" w14:textId="2B4A1453" w:rsidR="007C25F8" w:rsidRPr="00BF210F" w:rsidRDefault="00FC10F5" w:rsidP="00D66A20">
            <w:pPr>
              <w:jc w:val="center"/>
              <w:rPr>
                <w:rFonts w:cs="Arial"/>
                <w:b/>
                <w:bCs/>
                <w:sz w:val="18"/>
                <w:szCs w:val="20"/>
              </w:rPr>
            </w:pPr>
            <w:r w:rsidRPr="00BF210F">
              <w:rPr>
                <w:rFonts w:cs="Arial"/>
                <w:b/>
                <w:bCs/>
                <w:sz w:val="18"/>
                <w:szCs w:val="20"/>
              </w:rPr>
              <w:t>CT</w:t>
            </w:r>
          </w:p>
        </w:tc>
        <w:tc>
          <w:tcPr>
            <w:tcW w:w="886" w:type="dxa"/>
            <w:tcBorders>
              <w:left w:val="nil"/>
              <w:right w:val="nil"/>
            </w:tcBorders>
            <w:shd w:val="clear" w:color="auto" w:fill="F2F2F2" w:themeFill="background1" w:themeFillShade="F2"/>
            <w:vAlign w:val="center"/>
          </w:tcPr>
          <w:p w14:paraId="5C9184E8" w14:textId="4B6FDD24" w:rsidR="007C25F8" w:rsidRPr="00BF210F" w:rsidRDefault="007C25F8" w:rsidP="00BF210F">
            <w:pPr>
              <w:jc w:val="center"/>
              <w:rPr>
                <w:rFonts w:cs="Arial"/>
                <w:b/>
                <w:bCs/>
                <w:sz w:val="18"/>
                <w:szCs w:val="20"/>
              </w:rPr>
            </w:pPr>
            <w:r w:rsidRPr="00BF210F">
              <w:rPr>
                <w:rFonts w:cs="Arial"/>
                <w:b/>
                <w:bCs/>
                <w:sz w:val="18"/>
                <w:szCs w:val="20"/>
              </w:rPr>
              <w:t>Comple</w:t>
            </w:r>
            <w:r w:rsidR="00BF210F">
              <w:rPr>
                <w:rFonts w:cs="Arial"/>
                <w:b/>
                <w:bCs/>
                <w:sz w:val="18"/>
                <w:szCs w:val="20"/>
              </w:rPr>
              <w:t>-</w:t>
            </w:r>
            <w:r w:rsidRPr="00BF210F">
              <w:rPr>
                <w:rFonts w:cs="Arial"/>
                <w:b/>
                <w:bCs/>
                <w:sz w:val="18"/>
                <w:szCs w:val="20"/>
              </w:rPr>
              <w:t>ting CT</w:t>
            </w:r>
          </w:p>
        </w:tc>
        <w:tc>
          <w:tcPr>
            <w:tcW w:w="886" w:type="dxa"/>
            <w:tcBorders>
              <w:left w:val="nil"/>
              <w:right w:val="nil"/>
            </w:tcBorders>
            <w:shd w:val="clear" w:color="auto" w:fill="F2F2F2" w:themeFill="background1" w:themeFillShade="F2"/>
            <w:vAlign w:val="center"/>
          </w:tcPr>
          <w:p w14:paraId="55A4A17B" w14:textId="5E158D86" w:rsidR="007C25F8" w:rsidRPr="00BF210F" w:rsidRDefault="00FC10F5" w:rsidP="00D66A20">
            <w:pPr>
              <w:jc w:val="center"/>
              <w:rPr>
                <w:rFonts w:cs="Arial"/>
                <w:b/>
                <w:bCs/>
                <w:sz w:val="18"/>
                <w:szCs w:val="20"/>
              </w:rPr>
            </w:pPr>
            <w:r w:rsidRPr="00BF210F">
              <w:rPr>
                <w:rFonts w:cs="Arial"/>
                <w:b/>
                <w:bCs/>
                <w:sz w:val="18"/>
                <w:szCs w:val="20"/>
              </w:rPr>
              <w:t>RT</w:t>
            </w:r>
          </w:p>
        </w:tc>
        <w:tc>
          <w:tcPr>
            <w:tcW w:w="886" w:type="dxa"/>
            <w:tcBorders>
              <w:left w:val="nil"/>
              <w:right w:val="nil"/>
            </w:tcBorders>
            <w:shd w:val="clear" w:color="auto" w:fill="auto"/>
            <w:vAlign w:val="center"/>
          </w:tcPr>
          <w:p w14:paraId="27D3C66C" w14:textId="57129428" w:rsidR="007C25F8" w:rsidRPr="00BF210F" w:rsidRDefault="007C25F8" w:rsidP="00FC10F5">
            <w:pPr>
              <w:jc w:val="center"/>
              <w:rPr>
                <w:rFonts w:cs="Arial"/>
                <w:b/>
                <w:bCs/>
                <w:sz w:val="18"/>
                <w:szCs w:val="20"/>
              </w:rPr>
            </w:pPr>
            <w:r w:rsidRPr="00BF210F">
              <w:rPr>
                <w:rFonts w:cs="Arial"/>
                <w:b/>
                <w:bCs/>
                <w:sz w:val="18"/>
                <w:szCs w:val="20"/>
              </w:rPr>
              <w:t xml:space="preserve">Total nb </w:t>
            </w:r>
            <w:r w:rsidR="00FC10F5" w:rsidRPr="00BF210F">
              <w:rPr>
                <w:rFonts w:cs="Arial"/>
                <w:b/>
                <w:bCs/>
                <w:sz w:val="18"/>
                <w:szCs w:val="20"/>
              </w:rPr>
              <w:t>pts</w:t>
            </w:r>
          </w:p>
        </w:tc>
        <w:tc>
          <w:tcPr>
            <w:tcW w:w="886" w:type="dxa"/>
            <w:tcBorders>
              <w:left w:val="nil"/>
              <w:right w:val="nil"/>
            </w:tcBorders>
            <w:shd w:val="clear" w:color="auto" w:fill="auto"/>
            <w:vAlign w:val="center"/>
          </w:tcPr>
          <w:p w14:paraId="026FF5CE" w14:textId="6139ECE1" w:rsidR="007C25F8" w:rsidRPr="00BF210F" w:rsidRDefault="007C25F8" w:rsidP="00BF210F">
            <w:pPr>
              <w:jc w:val="center"/>
              <w:rPr>
                <w:rFonts w:cs="Arial"/>
                <w:b/>
                <w:bCs/>
                <w:sz w:val="18"/>
                <w:szCs w:val="20"/>
              </w:rPr>
            </w:pPr>
            <w:r w:rsidRPr="00BF210F">
              <w:rPr>
                <w:rFonts w:cs="Arial"/>
                <w:b/>
                <w:bCs/>
                <w:sz w:val="18"/>
                <w:szCs w:val="20"/>
              </w:rPr>
              <w:t>Any tx received</w:t>
            </w:r>
          </w:p>
        </w:tc>
        <w:tc>
          <w:tcPr>
            <w:tcW w:w="886" w:type="dxa"/>
            <w:tcBorders>
              <w:left w:val="nil"/>
              <w:right w:val="nil"/>
            </w:tcBorders>
            <w:shd w:val="clear" w:color="auto" w:fill="auto"/>
            <w:vAlign w:val="center"/>
          </w:tcPr>
          <w:p w14:paraId="1C3587C6" w14:textId="026B160F" w:rsidR="007C25F8" w:rsidRPr="00BF210F" w:rsidRDefault="007C25F8" w:rsidP="00BF210F">
            <w:pPr>
              <w:jc w:val="center"/>
              <w:rPr>
                <w:rFonts w:cs="Arial"/>
                <w:b/>
                <w:bCs/>
                <w:sz w:val="18"/>
                <w:szCs w:val="20"/>
              </w:rPr>
            </w:pPr>
            <w:r w:rsidRPr="00BF210F">
              <w:rPr>
                <w:rFonts w:cs="Arial"/>
                <w:b/>
                <w:bCs/>
                <w:sz w:val="18"/>
                <w:szCs w:val="20"/>
              </w:rPr>
              <w:t>Surgery</w:t>
            </w:r>
          </w:p>
        </w:tc>
        <w:tc>
          <w:tcPr>
            <w:tcW w:w="886" w:type="dxa"/>
            <w:tcBorders>
              <w:left w:val="nil"/>
              <w:right w:val="nil"/>
            </w:tcBorders>
            <w:shd w:val="clear" w:color="auto" w:fill="auto"/>
            <w:vAlign w:val="center"/>
          </w:tcPr>
          <w:p w14:paraId="4CA689A7" w14:textId="144AB566" w:rsidR="007C25F8" w:rsidRPr="00BF210F" w:rsidRDefault="00FC10F5" w:rsidP="00D66A20">
            <w:pPr>
              <w:jc w:val="center"/>
              <w:rPr>
                <w:rFonts w:cs="Arial"/>
                <w:b/>
                <w:bCs/>
                <w:sz w:val="18"/>
                <w:szCs w:val="20"/>
              </w:rPr>
            </w:pPr>
            <w:r w:rsidRPr="00BF210F">
              <w:rPr>
                <w:rFonts w:cs="Arial"/>
                <w:b/>
                <w:bCs/>
                <w:sz w:val="18"/>
                <w:szCs w:val="20"/>
              </w:rPr>
              <w:t>CT</w:t>
            </w:r>
          </w:p>
        </w:tc>
        <w:tc>
          <w:tcPr>
            <w:tcW w:w="886" w:type="dxa"/>
            <w:tcBorders>
              <w:left w:val="nil"/>
              <w:right w:val="nil"/>
            </w:tcBorders>
            <w:shd w:val="clear" w:color="auto" w:fill="auto"/>
            <w:vAlign w:val="center"/>
          </w:tcPr>
          <w:p w14:paraId="2BFBAA87" w14:textId="1D83981B" w:rsidR="007C25F8" w:rsidRPr="00BF210F" w:rsidRDefault="007C25F8" w:rsidP="00BF210F">
            <w:pPr>
              <w:jc w:val="center"/>
              <w:rPr>
                <w:rFonts w:cs="Arial"/>
                <w:b/>
                <w:bCs/>
                <w:sz w:val="18"/>
                <w:szCs w:val="20"/>
              </w:rPr>
            </w:pPr>
            <w:r w:rsidRPr="00BF210F">
              <w:rPr>
                <w:rFonts w:cs="Arial"/>
                <w:b/>
                <w:bCs/>
                <w:sz w:val="18"/>
                <w:szCs w:val="20"/>
              </w:rPr>
              <w:t>Comple</w:t>
            </w:r>
            <w:r w:rsidR="00BF210F">
              <w:rPr>
                <w:rFonts w:cs="Arial"/>
                <w:b/>
                <w:bCs/>
                <w:sz w:val="18"/>
                <w:szCs w:val="20"/>
              </w:rPr>
              <w:t>-</w:t>
            </w:r>
            <w:r w:rsidRPr="00BF210F">
              <w:rPr>
                <w:rFonts w:cs="Arial"/>
                <w:b/>
                <w:bCs/>
                <w:sz w:val="18"/>
                <w:szCs w:val="20"/>
              </w:rPr>
              <w:t>ting CT</w:t>
            </w:r>
          </w:p>
        </w:tc>
        <w:tc>
          <w:tcPr>
            <w:tcW w:w="886" w:type="dxa"/>
            <w:tcBorders>
              <w:left w:val="nil"/>
              <w:right w:val="nil"/>
            </w:tcBorders>
            <w:shd w:val="clear" w:color="auto" w:fill="auto"/>
            <w:vAlign w:val="center"/>
          </w:tcPr>
          <w:p w14:paraId="70C9D53B" w14:textId="21771BC2" w:rsidR="007C25F8" w:rsidRPr="00BF210F" w:rsidRDefault="00FC10F5" w:rsidP="00D66A20">
            <w:pPr>
              <w:jc w:val="center"/>
              <w:rPr>
                <w:rFonts w:cs="Arial"/>
                <w:b/>
                <w:bCs/>
                <w:sz w:val="18"/>
                <w:szCs w:val="20"/>
              </w:rPr>
            </w:pPr>
            <w:r w:rsidRPr="00BF210F">
              <w:rPr>
                <w:rFonts w:cs="Arial"/>
                <w:b/>
                <w:bCs/>
                <w:sz w:val="18"/>
                <w:szCs w:val="20"/>
              </w:rPr>
              <w:t>RT</w:t>
            </w:r>
          </w:p>
        </w:tc>
      </w:tr>
      <w:tr w:rsidR="007C25F8" w:rsidRPr="00BF210F" w14:paraId="37D9D4CC" w14:textId="77777777" w:rsidTr="007C25F8">
        <w:tc>
          <w:tcPr>
            <w:tcW w:w="1844" w:type="dxa"/>
            <w:tcBorders>
              <w:left w:val="nil"/>
              <w:right w:val="nil"/>
            </w:tcBorders>
            <w:vAlign w:val="center"/>
          </w:tcPr>
          <w:p w14:paraId="2A8404BA" w14:textId="33377E73" w:rsidR="007C25F8" w:rsidRPr="00BF210F" w:rsidRDefault="007C25F8" w:rsidP="00D66A20">
            <w:pPr>
              <w:rPr>
                <w:rFonts w:cs="Arial"/>
                <w:sz w:val="18"/>
                <w:szCs w:val="20"/>
                <w:lang w:val="en-US"/>
              </w:rPr>
            </w:pPr>
            <w:r w:rsidRPr="00BF210F">
              <w:rPr>
                <w:rFonts w:cs="Arial"/>
                <w:sz w:val="18"/>
                <w:szCs w:val="20"/>
                <w:lang w:val="en-US"/>
              </w:rPr>
              <w:t>Biggar et al (2005)</w:t>
            </w:r>
            <w:r w:rsidRPr="00BF210F">
              <w:rPr>
                <w:rFonts w:cs="Arial"/>
                <w:sz w:val="18"/>
                <w:szCs w:val="20"/>
                <w:lang w:val="en-US"/>
              </w:rPr>
              <w:fldChar w:fldCharType="begin"/>
            </w:r>
            <w:r w:rsidR="0064139E">
              <w:rPr>
                <w:rFonts w:cs="Arial"/>
                <w:sz w:val="18"/>
                <w:szCs w:val="20"/>
                <w:lang w:val="en-US"/>
              </w:rPr>
              <w:instrText xml:space="preserve"> ADDIN ZOTERO_ITEM CSL_CITATION {"citationID":"R8KAyX1C","properties":{"formattedCitation":"[1]","plainCitation":"[1]","noteIndex":0},"citationItems":[{"id":3402,"uris":["http://zotero.org/users/4481446/items/I486A2IC"],"uri":["http://zotero.org/users/4481446/items/I486A2IC"],"itemData":{"id":3402,"type":"article-journal","abstract":"Summary:The survival of persons with AIDS (PWA) has recently improved because of better antiretroviral therapies. Similarly, the prognosis of cancer has also improved. To determine if survival in PWA with cancer has also improved, we compared cancer survival in adults with and without AIDS using dat","container-title":"Jaids Journal of Acquired Immune Deficiency Syndromes","DOI":"10.1097/01.qai.0000164033.02947.e3","ISSN":"1525-4135","issue":"3","language":"ENGLISH","note":"PMID: 15980688","page":"293-299","source":"insights.ovid.com","title":"Survival After Cancer Diagnosis in Persons With AIDS","volume":"39","author":[{"family":"Biggar","given":"Robert"},{"family":"Engels","given":"Eric"},{"family":"Ly","given":"Sonny"},{"family":"Kahn","given":"Amy"},{"family":"Schymura","given":"Maria"},{"family":"Sackoff","given":"Judith"},{"family":"Virgo","given":"Phillip"},{"family":"Pfeiffer","given":"Ruth"}],"issued":{"date-parts":[["2005",7,1]]}}}],"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[1]</w:t>
            </w:r>
            <w:r w:rsidRPr="00BF210F">
              <w:rPr>
                <w:rFonts w:cs="Arial"/>
                <w:sz w:val="18"/>
                <w:szCs w:val="20"/>
                <w:lang w:val="en-US"/>
              </w:rPr>
              <w:fldChar w:fldCharType="end"/>
            </w:r>
          </w:p>
        </w:tc>
        <w:tc>
          <w:tcPr>
            <w:tcW w:w="1275" w:type="dxa"/>
            <w:tcBorders>
              <w:left w:val="nil"/>
              <w:right w:val="nil"/>
            </w:tcBorders>
            <w:vAlign w:val="center"/>
          </w:tcPr>
          <w:p w14:paraId="78B1589E" w14:textId="774BCF8F" w:rsidR="007C25F8" w:rsidRPr="00BF210F" w:rsidRDefault="007C25F8" w:rsidP="00D66A20">
            <w:pPr>
              <w:rPr>
                <w:rFonts w:cs="Arial"/>
                <w:sz w:val="18"/>
                <w:szCs w:val="20"/>
              </w:rPr>
            </w:pPr>
            <w:r w:rsidRPr="00BF210F">
              <w:rPr>
                <w:rFonts w:cs="Arial"/>
                <w:sz w:val="18"/>
                <w:szCs w:val="20"/>
              </w:rPr>
              <w:t>NR</w:t>
            </w:r>
          </w:p>
        </w:tc>
        <w:tc>
          <w:tcPr>
            <w:tcW w:w="1276" w:type="dxa"/>
            <w:tcBorders>
              <w:left w:val="nil"/>
              <w:right w:val="nil"/>
            </w:tcBorders>
            <w:vAlign w:val="center"/>
          </w:tcPr>
          <w:p w14:paraId="25B6198E" w14:textId="44922DB0" w:rsidR="007C25F8" w:rsidRPr="00BF210F" w:rsidRDefault="007C25F8" w:rsidP="00D66A20">
            <w:pPr>
              <w:rPr>
                <w:rFonts w:cs="Arial"/>
                <w:sz w:val="18"/>
                <w:szCs w:val="20"/>
              </w:rPr>
            </w:pPr>
            <w:r w:rsidRPr="00BF210F">
              <w:rPr>
                <w:rFonts w:cs="Arial"/>
                <w:sz w:val="18"/>
                <w:szCs w:val="20"/>
              </w:rPr>
              <w:t>NR</w:t>
            </w:r>
          </w:p>
        </w:tc>
        <w:tc>
          <w:tcPr>
            <w:tcW w:w="885" w:type="dxa"/>
            <w:tcBorders>
              <w:left w:val="nil"/>
              <w:right w:val="nil"/>
            </w:tcBorders>
            <w:shd w:val="clear" w:color="auto" w:fill="F2F2F2" w:themeFill="background1" w:themeFillShade="F2"/>
            <w:vAlign w:val="center"/>
          </w:tcPr>
          <w:p w14:paraId="55FF2916"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38D81C4A"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55C220EB"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1375AFA4"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24DFD902"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3A94DE92"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7C2B4D65"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24450B09"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07C52F1D"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32AD3305"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398B053B"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25548E0A" w14:textId="77777777" w:rsidR="007C25F8" w:rsidRPr="00BF210F" w:rsidRDefault="007C25F8" w:rsidP="00D66A20">
            <w:pPr>
              <w:jc w:val="center"/>
              <w:rPr>
                <w:rFonts w:cs="Arial"/>
                <w:sz w:val="18"/>
                <w:szCs w:val="20"/>
              </w:rPr>
            </w:pPr>
            <w:r w:rsidRPr="00BF210F">
              <w:rPr>
                <w:rFonts w:cs="Arial"/>
                <w:sz w:val="18"/>
                <w:szCs w:val="20"/>
              </w:rPr>
              <w:t>NR</w:t>
            </w:r>
          </w:p>
        </w:tc>
      </w:tr>
      <w:tr w:rsidR="007C25F8" w:rsidRPr="00BF210F" w14:paraId="7BE27DBB" w14:textId="77777777" w:rsidTr="007C25F8">
        <w:tc>
          <w:tcPr>
            <w:tcW w:w="1844" w:type="dxa"/>
            <w:tcBorders>
              <w:left w:val="nil"/>
              <w:right w:val="nil"/>
            </w:tcBorders>
            <w:vAlign w:val="center"/>
          </w:tcPr>
          <w:p w14:paraId="3AC574AB" w14:textId="7B99BE14" w:rsidR="007C25F8" w:rsidRPr="00BF210F" w:rsidRDefault="007C25F8" w:rsidP="00D66A20">
            <w:pPr>
              <w:rPr>
                <w:rFonts w:cs="Arial"/>
                <w:color w:val="000000"/>
                <w:sz w:val="18"/>
                <w:szCs w:val="20"/>
                <w:lang w:val="en-US"/>
              </w:rPr>
            </w:pPr>
            <w:r w:rsidRPr="00BF210F">
              <w:rPr>
                <w:rFonts w:cs="Arial"/>
                <w:color w:val="000000"/>
                <w:sz w:val="18"/>
                <w:szCs w:val="20"/>
                <w:lang w:val="en-US"/>
              </w:rPr>
              <w:t>Sseggwanyi et al (2011)</w:t>
            </w:r>
            <w:r w:rsidRPr="00BF210F">
              <w:rPr>
                <w:rFonts w:cs="Arial"/>
                <w:color w:val="000000"/>
                <w:sz w:val="18"/>
                <w:szCs w:val="20"/>
                <w:lang w:val="en-US"/>
              </w:rPr>
              <w:fldChar w:fldCharType="begin"/>
            </w:r>
            <w:r w:rsidR="0064139E">
              <w:rPr>
                <w:rFonts w:cs="Arial"/>
                <w:color w:val="000000"/>
                <w:sz w:val="18"/>
                <w:szCs w:val="20"/>
                <w:lang w:val="en-US"/>
              </w:rPr>
              <w:instrText xml:space="preserve"> ADDIN ZOTERO_ITEM CSL_CITATION {"citationID":"bEhVaM2l","properties":{"formattedCitation":"[2]","plainCitation":"[2]","noteIndex":0},"citationItems":[{"id":3405,"uris":["http://zotero.org/users/4481446/items/EKUMNTUM"],"uri":["http://zotero.org/users/4481446/items/EKUMNTUM"],"itemData":{"id":3405,"type":"article-journal","abstract":"Introduction: There is uncertainty as to the exact interaction between HIV and Breast Cancer. Available studies are inconclusive about any relation whether causal or protective and the number of patients in these studies small.Objective: To determine the prevalence of HIV among confirmed incidentbreast cancer cases and to describe the associated clinico-pathologicalfeatures.Design: Analytical cross sectional studyMethods: Over a period of 6 months consecutively eligible patients wererecruited from the Mulago Hospital breast clinic. Breast lesions were biopsied and blood withdrawn for HIV sero-survey. Collected data wasdouble entered into Epidata version v 3.1.1, exported to STATA 10.0 foranalysis.Results: Sixty two breast cancer patients consented to participate in thestudy and of these, 22(35.48%) were positive for HIV compared to HIVprevalence in the general population of 6-7%. All the participants werefemale. The mean age of HIV negative subjects was 45 years (range:21-80 years) and for HIV positive subjects was 32.4 years (range 18-52years). There was a signifi cant association between HIV status and age,BMI and CD4 Counts as well as for histological grade and stage (P&lt; 0.024).Conclusion: The prevalence of HIV among the studied breast cancer group was signifi cantly higher than that in the general population. HIV was associated with poor prognostic factors. A high index of suspicion of the co-existence of these two diseases in a context of high HIV prevalence is warranted. Future studies should explore for a causal association.","container-title":"Annals of African Surgery","ISSN":"2523-0816","issue":"0","language":"en","source":"www.ajol.info","title":"Prevalence of HIV/AIDS among Breast Cancer Patients and the associated Clinico-pathological features","URL":"https://www.ajol.info/index.php/aas/article/view/73526","volume":"8","author":[{"family":"Sseggwanyi","given":"J."},{"family":"Galukande","given":"M."},{"family":"Fualal","given":"J."},{"family":"Jombwe","given":"J."}],"accessed":{"date-parts":[["2019",8,28]]},"issued":{"date-parts":[["2011",1,1]]}}}],"schema":"https://github.com/citation-style-language/schema/raw/master/csl-citation.json"} </w:instrText>
            </w:r>
            <w:r w:rsidRPr="00BF210F">
              <w:rPr>
                <w:rFonts w:cs="Arial"/>
                <w:color w:val="000000"/>
                <w:sz w:val="18"/>
                <w:szCs w:val="20"/>
                <w:lang w:val="en-US"/>
              </w:rPr>
              <w:fldChar w:fldCharType="separate"/>
            </w:r>
            <w:r w:rsidR="0064139E" w:rsidRPr="0064139E">
              <w:rPr>
                <w:rFonts w:ascii="Calibri" w:hAnsi="Calibri"/>
                <w:sz w:val="18"/>
              </w:rPr>
              <w:t>[2]</w:t>
            </w:r>
            <w:r w:rsidRPr="00BF210F">
              <w:rPr>
                <w:rFonts w:cs="Arial"/>
                <w:color w:val="000000"/>
                <w:sz w:val="18"/>
                <w:szCs w:val="20"/>
                <w:lang w:val="en-US"/>
              </w:rPr>
              <w:fldChar w:fldCharType="end"/>
            </w:r>
          </w:p>
        </w:tc>
        <w:tc>
          <w:tcPr>
            <w:tcW w:w="1275" w:type="dxa"/>
            <w:tcBorders>
              <w:left w:val="nil"/>
              <w:right w:val="nil"/>
            </w:tcBorders>
            <w:vAlign w:val="center"/>
          </w:tcPr>
          <w:p w14:paraId="56160850" w14:textId="2698CCD9" w:rsidR="007C25F8" w:rsidRPr="00BF210F" w:rsidRDefault="00D47E85" w:rsidP="00D66A20">
            <w:pPr>
              <w:rPr>
                <w:rFonts w:cs="Arial"/>
                <w:color w:val="000000"/>
                <w:sz w:val="18"/>
                <w:szCs w:val="20"/>
              </w:rPr>
            </w:pPr>
            <w:r w:rsidRPr="00BF210F">
              <w:rPr>
                <w:rFonts w:cs="Arial"/>
                <w:color w:val="000000"/>
                <w:sz w:val="18"/>
                <w:szCs w:val="20"/>
              </w:rPr>
              <w:t>Mean: 32.4 (range 18-52)</w:t>
            </w:r>
          </w:p>
        </w:tc>
        <w:tc>
          <w:tcPr>
            <w:tcW w:w="1276" w:type="dxa"/>
            <w:tcBorders>
              <w:left w:val="nil"/>
              <w:right w:val="nil"/>
            </w:tcBorders>
            <w:vAlign w:val="center"/>
          </w:tcPr>
          <w:p w14:paraId="4419A6CD" w14:textId="08DD4910" w:rsidR="007C25F8" w:rsidRPr="00BF210F" w:rsidRDefault="00D47E85" w:rsidP="00D66A20">
            <w:pPr>
              <w:rPr>
                <w:rFonts w:cs="Arial"/>
                <w:color w:val="000000"/>
                <w:sz w:val="18"/>
                <w:szCs w:val="20"/>
              </w:rPr>
            </w:pPr>
            <w:r w:rsidRPr="00BF210F">
              <w:rPr>
                <w:rFonts w:cs="Arial"/>
                <w:color w:val="000000"/>
                <w:sz w:val="18"/>
                <w:szCs w:val="20"/>
              </w:rPr>
              <w:t>Mean: 45.0 (range 21-80)</w:t>
            </w:r>
          </w:p>
        </w:tc>
        <w:tc>
          <w:tcPr>
            <w:tcW w:w="885" w:type="dxa"/>
            <w:tcBorders>
              <w:left w:val="nil"/>
              <w:right w:val="nil"/>
            </w:tcBorders>
            <w:shd w:val="clear" w:color="auto" w:fill="F2F2F2" w:themeFill="background1" w:themeFillShade="F2"/>
            <w:vAlign w:val="center"/>
          </w:tcPr>
          <w:p w14:paraId="2720E8C8"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348F001F"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6D047954"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5FAF8413"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6B6AB0C8"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770CC75D"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40492B67"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5212E88E"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3A707D22"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087D4A43"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499695B3"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30F9D80F" w14:textId="77777777" w:rsidR="007C25F8" w:rsidRPr="00BF210F" w:rsidRDefault="007C25F8" w:rsidP="00D66A20">
            <w:pPr>
              <w:jc w:val="center"/>
              <w:rPr>
                <w:rFonts w:cs="Arial"/>
                <w:sz w:val="18"/>
                <w:szCs w:val="20"/>
              </w:rPr>
            </w:pPr>
            <w:r w:rsidRPr="00BF210F">
              <w:rPr>
                <w:rFonts w:cs="Arial"/>
                <w:sz w:val="18"/>
                <w:szCs w:val="20"/>
              </w:rPr>
              <w:t>NR</w:t>
            </w:r>
          </w:p>
        </w:tc>
      </w:tr>
      <w:tr w:rsidR="002775E5" w:rsidRPr="00BF210F" w14:paraId="27B9033A" w14:textId="77777777" w:rsidTr="00527DD9">
        <w:tc>
          <w:tcPr>
            <w:tcW w:w="1844" w:type="dxa"/>
            <w:tcBorders>
              <w:left w:val="nil"/>
              <w:bottom w:val="single" w:sz="4" w:space="0" w:color="auto"/>
              <w:right w:val="nil"/>
            </w:tcBorders>
            <w:vAlign w:val="center"/>
          </w:tcPr>
          <w:p w14:paraId="3AFE574F" w14:textId="164B5D67" w:rsidR="002775E5" w:rsidRPr="00BF210F" w:rsidRDefault="002775E5" w:rsidP="002775E5">
            <w:pPr>
              <w:rPr>
                <w:rFonts w:cs="Arial"/>
                <w:sz w:val="18"/>
                <w:szCs w:val="20"/>
                <w:lang w:val="en-US"/>
              </w:rPr>
            </w:pPr>
            <w:r w:rsidRPr="00BF210F">
              <w:rPr>
                <w:rFonts w:cs="Arial"/>
                <w:sz w:val="18"/>
                <w:szCs w:val="20"/>
                <w:lang w:val="en-US"/>
              </w:rPr>
              <w:t>Coghill et al (2013)</w:t>
            </w:r>
            <w:r w:rsidRPr="00BF210F">
              <w:rPr>
                <w:rFonts w:cs="Arial"/>
                <w:sz w:val="18"/>
                <w:szCs w:val="20"/>
                <w:lang w:val="en-US"/>
              </w:rPr>
              <w:fldChar w:fldCharType="begin"/>
            </w:r>
            <w:r w:rsidR="0064139E">
              <w:rPr>
                <w:rFonts w:cs="Arial"/>
                <w:sz w:val="18"/>
                <w:szCs w:val="20"/>
                <w:lang w:val="en-US"/>
              </w:rPr>
              <w:instrText xml:space="preserve"> ADDIN ZOTERO_ITEM CSL_CITATION {"citationID":"6ep6WFZJ","properties":{"formattedCitation":"[3]","plainCitation":"[3]","noteIndex":0},"citationItems":[{"id":2144,"uris":["http://zotero.org/users/4481446/items/QS3PYMUJ"],"uri":["http://zotero.org/users/4481446/items/QS3PYMUJ"],"itemData":{"id":2144,"type":"article-journal","abstract":"Objective\nHIV infection is associated with cancer risk. This relationship has resulted in a growing cancer burden, especially in resource-limited countries where HIV is highly prevalent. Little is known, however, about how HIV affects cancer survival in these settings. We therefore investigated the role of HIV in cancer survival in Uganda.\n\nDesign\nRetrospective cohort (N = 802).\n\nMethods\nEligible cancer patients were residents of Kyadondo County, at least 18 years of age at cancer diagnosis, and diagnosed between 2003 and 2010 with one of the following: breast cancer, cervical cancer, non-Hodgkin’s lymphoma, Hodgkin’s lymphoma, or esophageal cancer. Patients were classified as HIV-infected at cancer diagnosis based on a documented positive HIV antibody test, medical history indicating HIV infection, or an HIV clinic referral letter. The primary outcome, vital status at 1 year following cancer diagnosis, was abstracted from the medical record or determined through linkage to the national hospice database. The risk of death during the year after cancer diagnosis was compared between cancer patients with and without evidence of HIV infection using Cox proportional hazards regression.\n\nResults\nHIV-infected cancer patients in Uganda experienced a more than two-fold increased risk of death during the year following cancer diagnosis compared to HIV-uninfected cancer patients [hazard ratio 2.28; 95% confidence interval (CI) 1.61–3.23]. This association between HIV and 1-year cancer survival was observed for both cancers with (hazard ratio 1.56; 95% CI 1.04–2.34) and without (hazard ratio 2.68; 95% CI 1.20–5.99) an infectious cause.\n\nConclusion\nThis study demonstrates the role of HIV in cancer survival for both cancers with and without an infectious cause in a resource-limited, HIV-endemic setting.","container-title":"AIDS (London, England)","DOI":"10.1097/01.aids.0000433236.55937.cb","ISSN":"0269-9370","issue":"18","journalAbbreviation":"AIDS","note":"PMID: 23921614\nPMCID: PMC4319357","page":"2933-2942","source":"PubMed Central","title":"Contribution of HIV infection to mortality among cancer patients in Uganda","volume":"27","author":[{"family":"Coghill","given":"Anna E."},{"family":"Newcomb","given":"Polly A."},{"family":"Madeleine","given":"Margaret M."},{"family":"Richardson","given":"Barbra A."},{"family":"Mutyaba","given":"Innocent"},{"family":"Okuku","given":"Fred"},{"family":"Phipps","given":"Warren"},{"family":"Wabinga","given":"Henry"},{"family":"Orem","given":"Jackson"},{"family":"Casper","given":"Corey"}],"issued":{"date-parts":[["2013",11,28]]}}}],"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[3]</w:t>
            </w:r>
            <w:r w:rsidRPr="00BF210F">
              <w:rPr>
                <w:rFonts w:cs="Arial"/>
                <w:sz w:val="18"/>
                <w:szCs w:val="20"/>
                <w:lang w:val="en-US"/>
              </w:rPr>
              <w:fldChar w:fldCharType="end"/>
            </w:r>
          </w:p>
        </w:tc>
        <w:tc>
          <w:tcPr>
            <w:tcW w:w="1275" w:type="dxa"/>
            <w:tcBorders>
              <w:left w:val="nil"/>
              <w:bottom w:val="single" w:sz="4" w:space="0" w:color="auto"/>
              <w:right w:val="nil"/>
            </w:tcBorders>
          </w:tcPr>
          <w:p w14:paraId="318105FC" w14:textId="4E2D8E6C" w:rsidR="002775E5" w:rsidRPr="00BF210F" w:rsidRDefault="002775E5" w:rsidP="002775E5">
            <w:pPr>
              <w:rPr>
                <w:rFonts w:cs="Arial"/>
                <w:sz w:val="18"/>
                <w:szCs w:val="20"/>
              </w:rPr>
            </w:pPr>
            <w:r w:rsidRPr="00BF210F">
              <w:rPr>
                <w:rFonts w:cs="Arial"/>
                <w:sz w:val="18"/>
                <w:szCs w:val="20"/>
              </w:rPr>
              <w:t>NR</w:t>
            </w:r>
            <w:r w:rsidRPr="00BF210F">
              <w:rPr>
                <w:rFonts w:cs="Arial"/>
                <w:sz w:val="18"/>
                <w:szCs w:val="20"/>
                <w:vertAlign w:val="superscript"/>
              </w:rPr>
              <w:t>¥</w:t>
            </w:r>
          </w:p>
        </w:tc>
        <w:tc>
          <w:tcPr>
            <w:tcW w:w="1276" w:type="dxa"/>
            <w:tcBorders>
              <w:left w:val="nil"/>
              <w:bottom w:val="single" w:sz="4" w:space="0" w:color="auto"/>
              <w:right w:val="nil"/>
            </w:tcBorders>
          </w:tcPr>
          <w:p w14:paraId="4A684C96" w14:textId="44BDADC2" w:rsidR="002775E5" w:rsidRPr="00BF210F" w:rsidRDefault="002775E5" w:rsidP="002775E5">
            <w:pPr>
              <w:rPr>
                <w:rFonts w:cs="Arial"/>
                <w:sz w:val="18"/>
                <w:szCs w:val="20"/>
              </w:rPr>
            </w:pPr>
            <w:r w:rsidRPr="00BF210F">
              <w:rPr>
                <w:rFonts w:cs="Arial"/>
                <w:sz w:val="18"/>
                <w:szCs w:val="20"/>
              </w:rPr>
              <w:t>NR</w:t>
            </w:r>
            <w:r w:rsidRPr="00BF210F">
              <w:rPr>
                <w:rFonts w:cs="Arial"/>
                <w:sz w:val="18"/>
                <w:szCs w:val="20"/>
                <w:vertAlign w:val="superscript"/>
              </w:rPr>
              <w:t>¥</w:t>
            </w:r>
          </w:p>
        </w:tc>
        <w:tc>
          <w:tcPr>
            <w:tcW w:w="885" w:type="dxa"/>
            <w:tcBorders>
              <w:left w:val="nil"/>
              <w:bottom w:val="single" w:sz="4" w:space="0" w:color="auto"/>
              <w:right w:val="nil"/>
            </w:tcBorders>
            <w:shd w:val="clear" w:color="auto" w:fill="F2F2F2" w:themeFill="background1" w:themeFillShade="F2"/>
            <w:vAlign w:val="center"/>
          </w:tcPr>
          <w:p w14:paraId="1E4EFCFF"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bottom w:val="single" w:sz="4" w:space="0" w:color="auto"/>
              <w:right w:val="nil"/>
            </w:tcBorders>
            <w:shd w:val="clear" w:color="auto" w:fill="F2F2F2" w:themeFill="background1" w:themeFillShade="F2"/>
            <w:vAlign w:val="center"/>
          </w:tcPr>
          <w:p w14:paraId="574C88B2"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bottom w:val="single" w:sz="4" w:space="0" w:color="auto"/>
              <w:right w:val="nil"/>
            </w:tcBorders>
            <w:shd w:val="clear" w:color="auto" w:fill="F2F2F2" w:themeFill="background1" w:themeFillShade="F2"/>
            <w:vAlign w:val="center"/>
          </w:tcPr>
          <w:p w14:paraId="2E24E823"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bottom w:val="single" w:sz="4" w:space="0" w:color="auto"/>
              <w:right w:val="nil"/>
            </w:tcBorders>
            <w:shd w:val="clear" w:color="auto" w:fill="F2F2F2" w:themeFill="background1" w:themeFillShade="F2"/>
            <w:vAlign w:val="center"/>
          </w:tcPr>
          <w:p w14:paraId="58EA4787"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bottom w:val="single" w:sz="4" w:space="0" w:color="auto"/>
              <w:right w:val="nil"/>
            </w:tcBorders>
            <w:shd w:val="clear" w:color="auto" w:fill="F2F2F2" w:themeFill="background1" w:themeFillShade="F2"/>
            <w:vAlign w:val="center"/>
          </w:tcPr>
          <w:p w14:paraId="2EC6E474"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bottom w:val="single" w:sz="4" w:space="0" w:color="auto"/>
              <w:right w:val="nil"/>
            </w:tcBorders>
            <w:shd w:val="clear" w:color="auto" w:fill="F2F2F2" w:themeFill="background1" w:themeFillShade="F2"/>
            <w:vAlign w:val="center"/>
          </w:tcPr>
          <w:p w14:paraId="1F370AE3"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bottom w:val="single" w:sz="4" w:space="0" w:color="auto"/>
              <w:right w:val="nil"/>
            </w:tcBorders>
            <w:vAlign w:val="center"/>
          </w:tcPr>
          <w:p w14:paraId="1DA96AA7"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bottom w:val="single" w:sz="4" w:space="0" w:color="auto"/>
              <w:right w:val="nil"/>
            </w:tcBorders>
            <w:vAlign w:val="center"/>
          </w:tcPr>
          <w:p w14:paraId="076D4763"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bottom w:val="single" w:sz="4" w:space="0" w:color="auto"/>
              <w:right w:val="nil"/>
            </w:tcBorders>
            <w:vAlign w:val="center"/>
          </w:tcPr>
          <w:p w14:paraId="065855B8"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bottom w:val="single" w:sz="4" w:space="0" w:color="auto"/>
              <w:right w:val="nil"/>
            </w:tcBorders>
            <w:vAlign w:val="center"/>
          </w:tcPr>
          <w:p w14:paraId="05DD2287"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bottom w:val="single" w:sz="4" w:space="0" w:color="auto"/>
              <w:right w:val="nil"/>
            </w:tcBorders>
            <w:vAlign w:val="center"/>
          </w:tcPr>
          <w:p w14:paraId="0F824EBE"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bottom w:val="single" w:sz="4" w:space="0" w:color="auto"/>
              <w:right w:val="nil"/>
            </w:tcBorders>
            <w:vAlign w:val="center"/>
          </w:tcPr>
          <w:p w14:paraId="15137D42" w14:textId="77777777" w:rsidR="002775E5" w:rsidRPr="00BF210F" w:rsidRDefault="002775E5" w:rsidP="002775E5">
            <w:pPr>
              <w:jc w:val="center"/>
              <w:rPr>
                <w:rFonts w:cs="Arial"/>
                <w:sz w:val="18"/>
                <w:szCs w:val="20"/>
              </w:rPr>
            </w:pPr>
            <w:r w:rsidRPr="00BF210F">
              <w:rPr>
                <w:rFonts w:cs="Arial"/>
                <w:sz w:val="18"/>
                <w:szCs w:val="20"/>
              </w:rPr>
              <w:t>NR</w:t>
            </w:r>
          </w:p>
        </w:tc>
      </w:tr>
      <w:tr w:rsidR="007C25F8" w:rsidRPr="00BF210F" w14:paraId="24DF321B" w14:textId="77777777" w:rsidTr="00CE35CA">
        <w:tc>
          <w:tcPr>
            <w:tcW w:w="1844" w:type="dxa"/>
            <w:tcBorders>
              <w:left w:val="nil"/>
              <w:bottom w:val="nil"/>
              <w:right w:val="nil"/>
            </w:tcBorders>
            <w:vAlign w:val="center"/>
          </w:tcPr>
          <w:p w14:paraId="7FBD8F06" w14:textId="66EB0DBB" w:rsidR="007C25F8" w:rsidRPr="00BF210F" w:rsidRDefault="007C25F8" w:rsidP="00D66A20">
            <w:pPr>
              <w:rPr>
                <w:rFonts w:cs="Arial"/>
                <w:sz w:val="18"/>
                <w:szCs w:val="20"/>
                <w:lang w:val="en-US"/>
              </w:rPr>
            </w:pPr>
            <w:r w:rsidRPr="00BF210F">
              <w:rPr>
                <w:rFonts w:cs="Arial"/>
                <w:sz w:val="18"/>
                <w:szCs w:val="20"/>
                <w:lang w:val="en-US"/>
              </w:rPr>
              <w:t>Cubasch et al (2013)</w:t>
            </w:r>
            <w:r w:rsidRPr="00BF210F">
              <w:rPr>
                <w:rFonts w:cs="Arial"/>
                <w:sz w:val="18"/>
                <w:szCs w:val="20"/>
                <w:lang w:val="en-US"/>
              </w:rPr>
              <w:fldChar w:fldCharType="begin"/>
            </w:r>
            <w:r w:rsidR="0064139E">
              <w:rPr>
                <w:rFonts w:cs="Arial"/>
                <w:sz w:val="18"/>
                <w:szCs w:val="20"/>
                <w:lang w:val="en-US"/>
              </w:rPr>
              <w:instrText xml:space="preserve"> ADDIN ZOTERO_ITEM CSL_CITATION {"citationID":"6Qa0sQku","properties":{"formattedCitation":"[4]","plainCitation":"[4]","noteIndex":0},"citationItems":[{"id":446,"uris":["http://zotero.org/users/4481446/items/HL586IJE"],"uri":["http://zotero.org/users/4481446/items/HL586IJE"],"itemData":{"id":446,"type":"article-journal","abstract":"In the low-income HIV-endemic regions of sub-Saharan Africa, malignancies related to HIV have long been recognized as a major public health problem. However, epithelial malignancies associated with older age, such as breast cancer, are also rising dramatically in those regions. We compared consecutive HIV-positive and -negative black women diagnosed with breast cancer at a large public hospital in Soweto, South Africa, on age, year of diagnosis, stage, grade, and receptor status, and grouped HIV-positive patients by CD4 cell counts. We computed prevalence ratios of the associations of HIV status and CD4 category with stage, grade, receptor status, and among the HIV-positive patients, receipt of ART, controlling for age and year of diagnosis. Of 1,092 patients, 765 were tested for HIV; 151 (19.7 %) tested positive, a prevalence similar to that in the source population. Although, HIV-positive patients were younger than HIV-negative patients (p &lt; 0.001), HIV status was not associated with the tumor characteristics. Thirty-seven women (25.9 %) had CD4 cell counts &lt;200 cells/μl. Patients in that severely immunocompromised group were older than those in the other groups (p = 0.01). This study is the first to analyze the association of HIV with breast cancer in a large sample. Based on similar HIV prevalence in our sample and the population of the hospital's catchment area, clinicians serving HIV-endemic communities should promote routine HIV testing of younger breast cancer patients and immediate treatment of those who test positive, prior to the initiation of chemotherapy. Research is needed on treatment and outcomes given HIV and low CD4 cell count.","container-title":"Breast Cancer Research and Treatment","DOI":"10.1007/s10549-013-2606-y","ISSN":"1573-7217","issue":"1","journalAbbreviation":"Breast Cancer Res. Treat.","language":"eng","note":"PMID: 23801159\nPMCID: PMC3706733","page":"177-186","source":"PubMed","title":"Breast cancer characteristics and HIV among 1,092 women in Soweto, South Africa","volume":"140","author":[{"family":"Cubasch","given":"Herbert"},{"family":"Joffe","given":"Maureen"},{"family":"Hanisch","given":"Rachel"},{"family":"Schuz","given":"Joachim"},{"family":"Neugut","given":"Alfred I."},{"family":"Karstaedt","given":"Alan"},{"family":"Broeze","given":"Nadine"},{"family":"Berg","given":"Eunice","non-dropping-particle":"van den"},{"family":"McCormack","given":"Valerie"},{"family":"Jacobson","given":"Judith S."}],"issued":{"date-parts":[["2013",7]]}}}],"schema":"https://github.com/citation-style-language/schema/raw/master/csl-citation.json"}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[4]</w:t>
            </w:r>
            <w:r w:rsidRPr="00BF210F">
              <w:rPr>
                <w:rFonts w:cs="Arial"/>
                <w:sz w:val="18"/>
                <w:szCs w:val="20"/>
                <w:lang w:val="en-US"/>
              </w:rPr>
              <w:fldChar w:fldCharType="end"/>
            </w:r>
          </w:p>
        </w:tc>
        <w:tc>
          <w:tcPr>
            <w:tcW w:w="1275" w:type="dxa"/>
            <w:tcBorders>
              <w:left w:val="nil"/>
              <w:bottom w:val="nil"/>
              <w:right w:val="nil"/>
            </w:tcBorders>
            <w:vAlign w:val="center"/>
          </w:tcPr>
          <w:p w14:paraId="38F55A69" w14:textId="2133F57D" w:rsidR="007C25F8" w:rsidRPr="00BF210F" w:rsidRDefault="00521297" w:rsidP="00D66A20">
            <w:pPr>
              <w:rPr>
                <w:rFonts w:cs="Arial"/>
                <w:sz w:val="18"/>
                <w:szCs w:val="20"/>
              </w:rPr>
            </w:pPr>
            <w:r w:rsidRPr="00BF210F">
              <w:rPr>
                <w:rFonts w:cs="Arial"/>
                <w:sz w:val="18"/>
                <w:szCs w:val="20"/>
              </w:rPr>
              <w:t>NR</w:t>
            </w:r>
            <w:r w:rsidRPr="00BF210F">
              <w:rPr>
                <w:rFonts w:cs="Arial"/>
                <w:sz w:val="18"/>
                <w:szCs w:val="20"/>
                <w:vertAlign w:val="superscript"/>
              </w:rPr>
              <w:t>¥</w:t>
            </w:r>
          </w:p>
        </w:tc>
        <w:tc>
          <w:tcPr>
            <w:tcW w:w="1276" w:type="dxa"/>
            <w:tcBorders>
              <w:left w:val="nil"/>
              <w:bottom w:val="nil"/>
              <w:right w:val="nil"/>
            </w:tcBorders>
            <w:vAlign w:val="center"/>
          </w:tcPr>
          <w:p w14:paraId="2624D9E9" w14:textId="7AA0EE31" w:rsidR="007C25F8" w:rsidRPr="00BF210F" w:rsidRDefault="00521297" w:rsidP="00D66A20">
            <w:pPr>
              <w:rPr>
                <w:rFonts w:cs="Arial"/>
                <w:sz w:val="18"/>
                <w:szCs w:val="20"/>
              </w:rPr>
            </w:pPr>
            <w:r w:rsidRPr="00BF210F">
              <w:rPr>
                <w:rFonts w:cs="Arial"/>
                <w:sz w:val="18"/>
                <w:szCs w:val="20"/>
              </w:rPr>
              <w:t>NR</w:t>
            </w:r>
            <w:r w:rsidRPr="00BF210F">
              <w:rPr>
                <w:rFonts w:cs="Arial"/>
                <w:sz w:val="18"/>
                <w:szCs w:val="20"/>
                <w:vertAlign w:val="superscript"/>
              </w:rPr>
              <w:t>¥</w:t>
            </w:r>
          </w:p>
        </w:tc>
        <w:tc>
          <w:tcPr>
            <w:tcW w:w="885" w:type="dxa"/>
            <w:tcBorders>
              <w:left w:val="nil"/>
              <w:bottom w:val="nil"/>
              <w:right w:val="nil"/>
            </w:tcBorders>
            <w:shd w:val="clear" w:color="auto" w:fill="F2F2F2" w:themeFill="background1" w:themeFillShade="F2"/>
            <w:vAlign w:val="center"/>
          </w:tcPr>
          <w:p w14:paraId="6EC87584"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bottom w:val="nil"/>
              <w:right w:val="nil"/>
            </w:tcBorders>
            <w:shd w:val="clear" w:color="auto" w:fill="F2F2F2" w:themeFill="background1" w:themeFillShade="F2"/>
            <w:vAlign w:val="center"/>
          </w:tcPr>
          <w:p w14:paraId="1B5139CC"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bottom w:val="nil"/>
              <w:right w:val="nil"/>
            </w:tcBorders>
            <w:shd w:val="clear" w:color="auto" w:fill="F2F2F2" w:themeFill="background1" w:themeFillShade="F2"/>
            <w:vAlign w:val="center"/>
          </w:tcPr>
          <w:p w14:paraId="16230FDE"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bottom w:val="nil"/>
              <w:right w:val="nil"/>
            </w:tcBorders>
            <w:shd w:val="clear" w:color="auto" w:fill="F2F2F2" w:themeFill="background1" w:themeFillShade="F2"/>
            <w:vAlign w:val="center"/>
          </w:tcPr>
          <w:p w14:paraId="5A24796F"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bottom w:val="nil"/>
              <w:right w:val="nil"/>
            </w:tcBorders>
            <w:shd w:val="clear" w:color="auto" w:fill="F2F2F2" w:themeFill="background1" w:themeFillShade="F2"/>
            <w:vAlign w:val="center"/>
          </w:tcPr>
          <w:p w14:paraId="44538398"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bottom w:val="nil"/>
              <w:right w:val="nil"/>
            </w:tcBorders>
            <w:shd w:val="clear" w:color="auto" w:fill="F2F2F2" w:themeFill="background1" w:themeFillShade="F2"/>
            <w:vAlign w:val="center"/>
          </w:tcPr>
          <w:p w14:paraId="52EC4A1D"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bottom w:val="nil"/>
              <w:right w:val="nil"/>
            </w:tcBorders>
            <w:vAlign w:val="center"/>
          </w:tcPr>
          <w:p w14:paraId="4DE429F4"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bottom w:val="nil"/>
              <w:right w:val="nil"/>
            </w:tcBorders>
            <w:vAlign w:val="center"/>
          </w:tcPr>
          <w:p w14:paraId="452A534D"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bottom w:val="nil"/>
              <w:right w:val="nil"/>
            </w:tcBorders>
            <w:vAlign w:val="center"/>
          </w:tcPr>
          <w:p w14:paraId="03CA8CC4"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bottom w:val="nil"/>
              <w:right w:val="nil"/>
            </w:tcBorders>
            <w:vAlign w:val="center"/>
          </w:tcPr>
          <w:p w14:paraId="0C86DBE0"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bottom w:val="nil"/>
              <w:right w:val="nil"/>
            </w:tcBorders>
            <w:vAlign w:val="center"/>
          </w:tcPr>
          <w:p w14:paraId="2CADDB58"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left w:val="nil"/>
              <w:bottom w:val="nil"/>
              <w:right w:val="nil"/>
            </w:tcBorders>
            <w:vAlign w:val="center"/>
          </w:tcPr>
          <w:p w14:paraId="24C496F0" w14:textId="77777777" w:rsidR="007C25F8" w:rsidRPr="00BF210F" w:rsidRDefault="007C25F8" w:rsidP="00D66A20">
            <w:pPr>
              <w:jc w:val="center"/>
              <w:rPr>
                <w:rFonts w:cs="Arial"/>
                <w:sz w:val="18"/>
                <w:szCs w:val="20"/>
              </w:rPr>
            </w:pPr>
            <w:r w:rsidRPr="00BF210F">
              <w:rPr>
                <w:rFonts w:cs="Arial"/>
                <w:sz w:val="18"/>
                <w:szCs w:val="20"/>
              </w:rPr>
              <w:t>NR</w:t>
            </w:r>
          </w:p>
        </w:tc>
      </w:tr>
      <w:tr w:rsidR="007C25F8" w:rsidRPr="00BF210F" w14:paraId="4FF2090B" w14:textId="77777777" w:rsidTr="00CE35CA">
        <w:tc>
          <w:tcPr>
            <w:tcW w:w="1844" w:type="dxa"/>
            <w:tcBorders>
              <w:top w:val="nil"/>
              <w:left w:val="nil"/>
              <w:bottom w:val="single" w:sz="4" w:space="0" w:color="auto"/>
              <w:right w:val="nil"/>
            </w:tcBorders>
            <w:vAlign w:val="center"/>
          </w:tcPr>
          <w:p w14:paraId="21920323" w14:textId="744EA4A4" w:rsidR="007C25F8" w:rsidRPr="00BF210F" w:rsidRDefault="007C25F8" w:rsidP="00D66A20">
            <w:pPr>
              <w:rPr>
                <w:rFonts w:cs="Arial"/>
                <w:sz w:val="18"/>
                <w:szCs w:val="20"/>
                <w:lang w:val="en-US"/>
              </w:rPr>
            </w:pPr>
            <w:r w:rsidRPr="00BF210F">
              <w:rPr>
                <w:rFonts w:cs="Arial"/>
                <w:sz w:val="18"/>
                <w:szCs w:val="20"/>
                <w:lang w:val="en-US"/>
              </w:rPr>
              <w:t>Cubasch et al (2018)</w:t>
            </w:r>
            <w:r w:rsidRPr="00BF210F">
              <w:rPr>
                <w:rFonts w:cs="Arial"/>
                <w:sz w:val="18"/>
                <w:szCs w:val="20"/>
                <w:lang w:val="en-US"/>
              </w:rPr>
              <w:fldChar w:fldCharType="begin"/>
            </w:r>
            <w:r w:rsidR="0064139E">
              <w:rPr>
                <w:rFonts w:cs="Arial"/>
                <w:sz w:val="18"/>
                <w:szCs w:val="20"/>
                <w:lang w:val="en-US"/>
              </w:rPr>
              <w:instrText xml:space="preserve"> ADDIN ZOTERO_ITEM CSL_CITATION {"citationID":"FD1kWOHG","properties":{"formattedCitation":"[5]","plainCitation":"[5]","noteIndex":0},"citationItems":[{"id":1959,"uris":["http://zotero.org/users/4481446/items/WP8TH9PG"],"uri":["http://zotero.org/users/4481446/items/WP8TH9PG"],"itemData":{"id":1959,"type":"article-journal","abstract":"Background\nSouth Africa’s public healthcare system is better equipped to manage breast cancer than most other SSA countries, but survival rates are unknown.\nMethods\nA historical cohort of 602 women newly diagnosed with invasive breast carcinoma during 2009–2011 at Chris Hani Baragwanath Academic Hospital, Soweto, Johannesburg, was followed using health systems data to December 2014. ‘Overall survival’ time was defined from diagnosis to death or terminal illness. Cox regression was used to estimate hazard ratios (HR) associated with woman and tumour characteristics.\nResults\nDuring a median 2.1 years follow-up (IQR 0.5–3.8), 149 women died or were classified terminally ill; 287 were lost-to-follow-up. 3-year survival was 84% for early stage (I/II) and 56% for late stage (III/IV) tumours (late v early: HR 2.8 (95% confidence interval (CI): 1.9–4.1), however the 42% cumulative losses to follow-up over this period were greater for late stage, half of which occurred within 6 months of diagnosis. After mutual adjustment for stage, grade, age, receptor subtype and HIV status, lower survival was also associated with triple negative (HR 3.1 (95% CI: 1.9–5.0)) and HER2-enriched (2.5 (95% CI: 1.4–4.5)) compared to ER/PR+ HER2- tumours, but not with age or HIV-infection (1.4 (95% CI: 0.8, 2.3)).\nConclusion\nIn this South African cohort, breast cancer survival is suboptimal, but was better for early stage and hormone receptor-positive tumours. Efforts to reduce clinic losses in the immediate post-diagnosis period, in addition to early presentation and accelerated diagnosis and treatment, are needed to prevent breast cancer deaths, and survival improvements need to be monitored using prospective studies with active follow-up.","container-title":"Cancer Epidemiology","DOI":"10.1016/j.canep.2017.12.007","ISSN":"1877-7821","journalAbbreviation":"Cancer Epidemiology","page":"120-127","source":"ScienceDirect","title":"Breast cancer survival in Soweto, Johannesburg, South Africa: A receptor-defined cohort of women diagnosed from 2009 to 11","title-short":"Breast cancer survival in Soweto, Johannesburg, South Africa","volume":"52","author":[{"family":"Cubasch","given":"Herbert"},{"family":"Dickens","given":"Caroline"},{"family":"Joffe","given":"Maureen"},{"family":"Duarte","given":"Raquel"},{"family":"Murugan","given":"Nivashni"},{"family":"Tsai Chih","given":"Ming"},{"family":"Moodley","given":"Kiashanee"},{"family":"Sharma","given":"Vinay"},{"family":"Ayeni","given":"Oluwatosin"},{"family":"Jacobson","given":"Judith S."},{"family":"Neugut","given":"Alfred I"},{"family":"McCormack","given":"Valerie"},{"family":"Ruff","given":"Paul"}],"issued":{"date-parts":[["2018",2,1]]}}}],"schema":"https://github.com/citation-style-language/schema/raw/master/csl-citation.json"}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[5]</w:t>
            </w:r>
            <w:r w:rsidRPr="00BF210F">
              <w:rPr>
                <w:rFonts w:cs="Arial"/>
                <w:sz w:val="18"/>
                <w:szCs w:val="20"/>
                <w:lang w:val="en-US"/>
              </w:rPr>
              <w:fldChar w:fldCharType="end"/>
            </w:r>
          </w:p>
        </w:tc>
        <w:tc>
          <w:tcPr>
            <w:tcW w:w="1275" w:type="dxa"/>
            <w:tcBorders>
              <w:top w:val="nil"/>
              <w:left w:val="nil"/>
              <w:bottom w:val="single" w:sz="4" w:space="0" w:color="auto"/>
              <w:right w:val="nil"/>
            </w:tcBorders>
            <w:vAlign w:val="center"/>
          </w:tcPr>
          <w:p w14:paraId="699EBD7A" w14:textId="01C2CB65" w:rsidR="007C25F8" w:rsidRPr="00BF210F" w:rsidRDefault="002775E5" w:rsidP="00D66A20">
            <w:pPr>
              <w:rPr>
                <w:rFonts w:cs="Arial"/>
                <w:color w:val="000000"/>
                <w:sz w:val="18"/>
                <w:szCs w:val="20"/>
              </w:rPr>
            </w:pPr>
            <w:r w:rsidRPr="00BF210F">
              <w:rPr>
                <w:rFonts w:cs="Arial"/>
                <w:color w:val="000000"/>
                <w:sz w:val="18"/>
                <w:szCs w:val="20"/>
              </w:rPr>
              <w:t>NR</w:t>
            </w:r>
          </w:p>
        </w:tc>
        <w:tc>
          <w:tcPr>
            <w:tcW w:w="1276" w:type="dxa"/>
            <w:tcBorders>
              <w:top w:val="nil"/>
              <w:left w:val="nil"/>
              <w:bottom w:val="single" w:sz="4" w:space="0" w:color="auto"/>
              <w:right w:val="nil"/>
            </w:tcBorders>
            <w:vAlign w:val="center"/>
          </w:tcPr>
          <w:p w14:paraId="798F1A92" w14:textId="37A05E30" w:rsidR="007C25F8" w:rsidRPr="00BF210F" w:rsidRDefault="002775E5" w:rsidP="00D66A20">
            <w:pPr>
              <w:rPr>
                <w:rFonts w:cs="Arial"/>
                <w:color w:val="000000"/>
                <w:sz w:val="18"/>
                <w:szCs w:val="20"/>
              </w:rPr>
            </w:pPr>
            <w:r w:rsidRPr="00BF210F">
              <w:rPr>
                <w:rFonts w:cs="Arial"/>
                <w:color w:val="000000"/>
                <w:sz w:val="18"/>
                <w:szCs w:val="20"/>
              </w:rPr>
              <w:t>NR</w:t>
            </w:r>
          </w:p>
        </w:tc>
        <w:tc>
          <w:tcPr>
            <w:tcW w:w="885" w:type="dxa"/>
            <w:tcBorders>
              <w:top w:val="nil"/>
              <w:left w:val="nil"/>
              <w:bottom w:val="single" w:sz="4" w:space="0" w:color="auto"/>
              <w:right w:val="nil"/>
            </w:tcBorders>
            <w:shd w:val="clear" w:color="auto" w:fill="F2F2F2" w:themeFill="background1" w:themeFillShade="F2"/>
            <w:vAlign w:val="center"/>
          </w:tcPr>
          <w:p w14:paraId="01FB5079"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top w:val="nil"/>
              <w:left w:val="nil"/>
              <w:bottom w:val="single" w:sz="4" w:space="0" w:color="auto"/>
              <w:right w:val="nil"/>
            </w:tcBorders>
            <w:shd w:val="clear" w:color="auto" w:fill="F2F2F2" w:themeFill="background1" w:themeFillShade="F2"/>
            <w:vAlign w:val="center"/>
          </w:tcPr>
          <w:p w14:paraId="214AE822"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top w:val="nil"/>
              <w:left w:val="nil"/>
              <w:bottom w:val="single" w:sz="4" w:space="0" w:color="auto"/>
              <w:right w:val="nil"/>
            </w:tcBorders>
            <w:shd w:val="clear" w:color="auto" w:fill="F2F2F2" w:themeFill="background1" w:themeFillShade="F2"/>
            <w:vAlign w:val="center"/>
          </w:tcPr>
          <w:p w14:paraId="51B82058"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top w:val="nil"/>
              <w:left w:val="nil"/>
              <w:bottom w:val="single" w:sz="4" w:space="0" w:color="auto"/>
              <w:right w:val="nil"/>
            </w:tcBorders>
            <w:shd w:val="clear" w:color="auto" w:fill="F2F2F2" w:themeFill="background1" w:themeFillShade="F2"/>
            <w:vAlign w:val="center"/>
          </w:tcPr>
          <w:p w14:paraId="1FBD9F18"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top w:val="nil"/>
              <w:left w:val="nil"/>
              <w:bottom w:val="single" w:sz="4" w:space="0" w:color="auto"/>
              <w:right w:val="nil"/>
            </w:tcBorders>
            <w:shd w:val="clear" w:color="auto" w:fill="F2F2F2" w:themeFill="background1" w:themeFillShade="F2"/>
            <w:vAlign w:val="center"/>
          </w:tcPr>
          <w:p w14:paraId="488D2E5D"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top w:val="nil"/>
              <w:left w:val="nil"/>
              <w:bottom w:val="single" w:sz="4" w:space="0" w:color="auto"/>
              <w:right w:val="nil"/>
            </w:tcBorders>
            <w:shd w:val="clear" w:color="auto" w:fill="F2F2F2" w:themeFill="background1" w:themeFillShade="F2"/>
            <w:vAlign w:val="center"/>
          </w:tcPr>
          <w:p w14:paraId="6B388D09"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top w:val="nil"/>
              <w:left w:val="nil"/>
              <w:bottom w:val="single" w:sz="4" w:space="0" w:color="auto"/>
              <w:right w:val="nil"/>
            </w:tcBorders>
            <w:vAlign w:val="center"/>
          </w:tcPr>
          <w:p w14:paraId="738777A5"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top w:val="nil"/>
              <w:left w:val="nil"/>
              <w:bottom w:val="single" w:sz="4" w:space="0" w:color="auto"/>
              <w:right w:val="nil"/>
            </w:tcBorders>
            <w:vAlign w:val="center"/>
          </w:tcPr>
          <w:p w14:paraId="2F05EC01"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top w:val="nil"/>
              <w:left w:val="nil"/>
              <w:bottom w:val="single" w:sz="4" w:space="0" w:color="auto"/>
              <w:right w:val="nil"/>
            </w:tcBorders>
            <w:vAlign w:val="center"/>
          </w:tcPr>
          <w:p w14:paraId="113BADF8"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top w:val="nil"/>
              <w:left w:val="nil"/>
              <w:bottom w:val="single" w:sz="4" w:space="0" w:color="auto"/>
              <w:right w:val="nil"/>
            </w:tcBorders>
            <w:vAlign w:val="center"/>
          </w:tcPr>
          <w:p w14:paraId="398DC123"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top w:val="nil"/>
              <w:left w:val="nil"/>
              <w:bottom w:val="single" w:sz="4" w:space="0" w:color="auto"/>
              <w:right w:val="nil"/>
            </w:tcBorders>
            <w:vAlign w:val="center"/>
          </w:tcPr>
          <w:p w14:paraId="0E371E7B" w14:textId="77777777" w:rsidR="007C25F8" w:rsidRPr="00BF210F" w:rsidRDefault="007C25F8" w:rsidP="00D66A20">
            <w:pPr>
              <w:jc w:val="center"/>
              <w:rPr>
                <w:rFonts w:cs="Arial"/>
                <w:sz w:val="18"/>
                <w:szCs w:val="20"/>
              </w:rPr>
            </w:pPr>
            <w:r w:rsidRPr="00BF210F">
              <w:rPr>
                <w:rFonts w:cs="Arial"/>
                <w:sz w:val="18"/>
                <w:szCs w:val="20"/>
              </w:rPr>
              <w:t>NR</w:t>
            </w:r>
          </w:p>
        </w:tc>
        <w:tc>
          <w:tcPr>
            <w:tcW w:w="886" w:type="dxa"/>
            <w:tcBorders>
              <w:top w:val="nil"/>
              <w:left w:val="nil"/>
              <w:bottom w:val="single" w:sz="4" w:space="0" w:color="auto"/>
              <w:right w:val="nil"/>
            </w:tcBorders>
            <w:vAlign w:val="center"/>
          </w:tcPr>
          <w:p w14:paraId="73990216" w14:textId="77777777" w:rsidR="007C25F8" w:rsidRPr="00BF210F" w:rsidRDefault="007C25F8" w:rsidP="00D66A20">
            <w:pPr>
              <w:jc w:val="center"/>
              <w:rPr>
                <w:rFonts w:cs="Arial"/>
                <w:sz w:val="18"/>
                <w:szCs w:val="20"/>
              </w:rPr>
            </w:pPr>
            <w:r w:rsidRPr="00BF210F">
              <w:rPr>
                <w:rFonts w:cs="Arial"/>
                <w:sz w:val="18"/>
                <w:szCs w:val="20"/>
              </w:rPr>
              <w:t>NR</w:t>
            </w:r>
          </w:p>
        </w:tc>
      </w:tr>
      <w:tr w:rsidR="00B74453" w:rsidRPr="00BF210F" w14:paraId="55AE93E9" w14:textId="77777777" w:rsidTr="00527DD9">
        <w:tc>
          <w:tcPr>
            <w:tcW w:w="1844" w:type="dxa"/>
            <w:tcBorders>
              <w:left w:val="nil"/>
              <w:bottom w:val="nil"/>
              <w:right w:val="nil"/>
            </w:tcBorders>
            <w:vAlign w:val="center"/>
          </w:tcPr>
          <w:p w14:paraId="1351B900" w14:textId="4A9BD30F" w:rsidR="00B74453" w:rsidRPr="00BF210F" w:rsidRDefault="00B74453" w:rsidP="00B74453">
            <w:pPr>
              <w:rPr>
                <w:rFonts w:cs="Arial"/>
                <w:sz w:val="18"/>
                <w:szCs w:val="20"/>
                <w:lang w:val="en-US"/>
              </w:rPr>
            </w:pPr>
            <w:r w:rsidRPr="00BF210F">
              <w:rPr>
                <w:rFonts w:cs="Arial"/>
                <w:sz w:val="18"/>
                <w:szCs w:val="20"/>
                <w:lang w:val="en-US"/>
              </w:rPr>
              <w:t>Shiels et al (2015)</w:t>
            </w:r>
            <w:r w:rsidRPr="00BF210F">
              <w:rPr>
                <w:rFonts w:cs="Arial"/>
                <w:sz w:val="18"/>
                <w:szCs w:val="20"/>
                <w:lang w:val="en-US"/>
              </w:rPr>
              <w:fldChar w:fldCharType="begin"/>
            </w:r>
            <w:r w:rsidR="0064139E">
              <w:rPr>
                <w:rFonts w:cs="Arial"/>
                <w:sz w:val="18"/>
                <w:szCs w:val="20"/>
                <w:lang w:val="en-US"/>
              </w:rPr>
              <w:instrText xml:space="preserve"> ADDIN ZOTERO_ITEM CSL_CITATION {"citationID":"KKht38z4","properties":{"formattedCitation":"[6]","plainCitation":"[6]","noteIndex":0},"citationItems":[{"id":2090,"uris":["http://zotero.org/users/4481446/items/2SMUPEJK"],"uri":["http://zotero.org/users/4481446/items/2SMUPEJK"],"itemData":{"id":2090,"type":"article-journal","abstract":"BACKGROUND: It is unknown whether immunosuppression results in more aggressive, advanced stage cancers. Because cancer stage is influenced both by tumor biology and medical surveillance, the authors assessed cancer stage in individuals infected with the human immunodeficiency virus (HIV) and solid organ transplant recipients, 2 immunosuppressed groups with differences in their health care use.\nMETHODS: The authors used data on all cases of 15 cancer types diagnosed during 1996 through 2010 in 2 studies that linked US cancer registries with HIV and transplant registries. Odds ratios (ORs) for advanced (vs local) disease were estimated comparing HIV and transplant populations with immunocompetent individuals in polytomous logistic regression models adjusted for age, sex, race, registry, and year.\nRESULTS: A total of 8411 of 4.5 million cancer cases occurred in HIV-infected individuals and 7322 of 6.4 million cancer cases occurred in transplant recipients. Compared with immunocompetent patients with cancer, those infected with HIV were more likely to be diagnosed with distant stage lung (OR, 1.13), female breast (OR, 1.99), and prostate (OR, 1.57) cancers, whereas transplant recipients had fewer distant stage lung (OR, 0.54), female breast (OR, 0.75), and prostate (OR, 0.72) cancers. Both immunosuppressed populations had a shift toward advanced stage melanoma (ORs of 1.97 for HIV-infected individuals and 1.82 for transplant recipients) and bladder cancer (ORs of 1.42 for HIV-infected individuals and 1.54 for transplant recipients).\nCONCLUSIONS: Bladder cancer and melanoma were more likely to be diagnosed at a nonlocal stage in both HIV-infected individuals and transplant recipients, suggesting a role for immunosuppression in their progression. In addition, we observed a shift for some common cancers toward later stages in HIV-infected individuals and toward earlier stages in transplant recipients, which is consistent with differential access to medical care or surveillance.","container-title":"Cancer","DOI":"10.1002/cncr.29324","ISSN":"1097-0142","issue":"12","journalAbbreviation":"Cancer","language":"eng","note":"PMID: 25739496\nPMCID: PMC4470321","page":"2063-2071","source":"PubMed","title":"Cancer stage at diagnosis in patients infected with the human immunodeficiency virus and transplant recipients","volume":"121","author":[{"family":"Shiels","given":"Meredith S."},{"family":"Copeland","given":"Glenn"},{"family":"Goodman","given":"Marc T."},{"family":"Harrell","given":"Janna"},{"family":"Lynch","given":"Charles F."},{"family":"Pawlish","given":"Karen"},{"family":"Pfeiffer","given":"Ruth M."},{"family":"Engels","given":"Eric A."}],"issued":{"date-parts":[["2015",6,15]]}}}],"schema":"https://github.com/citation-style-language/schema/raw/master/csl-citation.json"}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[6]</w:t>
            </w:r>
            <w:r w:rsidRPr="00BF210F">
              <w:rPr>
                <w:rFonts w:cs="Arial"/>
                <w:sz w:val="18"/>
                <w:szCs w:val="20"/>
                <w:lang w:val="en-US"/>
              </w:rPr>
              <w:fldChar w:fldCharType="end"/>
            </w:r>
          </w:p>
        </w:tc>
        <w:tc>
          <w:tcPr>
            <w:tcW w:w="1275" w:type="dxa"/>
            <w:tcBorders>
              <w:left w:val="nil"/>
              <w:bottom w:val="nil"/>
              <w:right w:val="nil"/>
            </w:tcBorders>
          </w:tcPr>
          <w:p w14:paraId="2AF3A25E" w14:textId="2F358449" w:rsidR="00B74453" w:rsidRPr="00BF210F" w:rsidRDefault="00B74453" w:rsidP="00B74453">
            <w:pPr>
              <w:rPr>
                <w:rFonts w:cs="Arial"/>
                <w:sz w:val="18"/>
                <w:szCs w:val="20"/>
              </w:rPr>
            </w:pPr>
            <w:r w:rsidRPr="00BF210F">
              <w:rPr>
                <w:rFonts w:cs="Arial"/>
                <w:sz w:val="18"/>
                <w:szCs w:val="20"/>
              </w:rPr>
              <w:t>NR</w:t>
            </w:r>
            <w:r w:rsidRPr="00BF210F">
              <w:rPr>
                <w:rFonts w:cs="Arial"/>
                <w:sz w:val="18"/>
                <w:szCs w:val="20"/>
                <w:vertAlign w:val="superscript"/>
              </w:rPr>
              <w:t>¥</w:t>
            </w:r>
          </w:p>
        </w:tc>
        <w:tc>
          <w:tcPr>
            <w:tcW w:w="1276" w:type="dxa"/>
            <w:tcBorders>
              <w:left w:val="nil"/>
              <w:bottom w:val="nil"/>
              <w:right w:val="nil"/>
            </w:tcBorders>
          </w:tcPr>
          <w:p w14:paraId="4132EBD9" w14:textId="0964AA69" w:rsidR="00B74453" w:rsidRPr="00BF210F" w:rsidRDefault="00B74453" w:rsidP="00B74453">
            <w:pPr>
              <w:rPr>
                <w:rFonts w:cs="Arial"/>
                <w:sz w:val="18"/>
                <w:szCs w:val="20"/>
              </w:rPr>
            </w:pPr>
            <w:r w:rsidRPr="00BF210F">
              <w:rPr>
                <w:rFonts w:cs="Arial"/>
                <w:sz w:val="18"/>
                <w:szCs w:val="20"/>
              </w:rPr>
              <w:t>NR</w:t>
            </w:r>
            <w:r w:rsidRPr="00BF210F">
              <w:rPr>
                <w:rFonts w:cs="Arial"/>
                <w:sz w:val="18"/>
                <w:szCs w:val="20"/>
                <w:vertAlign w:val="superscript"/>
              </w:rPr>
              <w:t>¥</w:t>
            </w:r>
          </w:p>
        </w:tc>
        <w:tc>
          <w:tcPr>
            <w:tcW w:w="885" w:type="dxa"/>
            <w:tcBorders>
              <w:left w:val="nil"/>
              <w:bottom w:val="nil"/>
              <w:right w:val="nil"/>
            </w:tcBorders>
            <w:shd w:val="clear" w:color="auto" w:fill="F2F2F2" w:themeFill="background1" w:themeFillShade="F2"/>
            <w:vAlign w:val="center"/>
          </w:tcPr>
          <w:p w14:paraId="598EBC2C" w14:textId="77777777" w:rsidR="00B74453" w:rsidRPr="00BF210F" w:rsidRDefault="00B74453" w:rsidP="00B74453">
            <w:pPr>
              <w:jc w:val="center"/>
              <w:rPr>
                <w:rFonts w:cs="Arial"/>
                <w:sz w:val="18"/>
                <w:szCs w:val="20"/>
              </w:rPr>
            </w:pPr>
            <w:r w:rsidRPr="00BF210F">
              <w:rPr>
                <w:rFonts w:cs="Arial"/>
                <w:sz w:val="18"/>
                <w:szCs w:val="20"/>
              </w:rPr>
              <w:t>NR</w:t>
            </w:r>
          </w:p>
        </w:tc>
        <w:tc>
          <w:tcPr>
            <w:tcW w:w="886" w:type="dxa"/>
            <w:tcBorders>
              <w:left w:val="nil"/>
              <w:bottom w:val="nil"/>
              <w:right w:val="nil"/>
            </w:tcBorders>
            <w:shd w:val="clear" w:color="auto" w:fill="F2F2F2" w:themeFill="background1" w:themeFillShade="F2"/>
            <w:vAlign w:val="center"/>
          </w:tcPr>
          <w:p w14:paraId="53D5C3BE" w14:textId="77777777" w:rsidR="00B74453" w:rsidRPr="00BF210F" w:rsidRDefault="00B74453" w:rsidP="00B74453">
            <w:pPr>
              <w:jc w:val="center"/>
              <w:rPr>
                <w:rFonts w:cs="Arial"/>
                <w:sz w:val="18"/>
                <w:szCs w:val="20"/>
              </w:rPr>
            </w:pPr>
            <w:r w:rsidRPr="00BF210F">
              <w:rPr>
                <w:rFonts w:cs="Arial"/>
                <w:sz w:val="18"/>
                <w:szCs w:val="20"/>
              </w:rPr>
              <w:t>NR</w:t>
            </w:r>
          </w:p>
        </w:tc>
        <w:tc>
          <w:tcPr>
            <w:tcW w:w="886" w:type="dxa"/>
            <w:tcBorders>
              <w:left w:val="nil"/>
              <w:bottom w:val="nil"/>
              <w:right w:val="nil"/>
            </w:tcBorders>
            <w:shd w:val="clear" w:color="auto" w:fill="F2F2F2" w:themeFill="background1" w:themeFillShade="F2"/>
            <w:vAlign w:val="center"/>
          </w:tcPr>
          <w:p w14:paraId="4AC32F1B" w14:textId="77777777" w:rsidR="00B74453" w:rsidRPr="00BF210F" w:rsidRDefault="00B74453" w:rsidP="00B74453">
            <w:pPr>
              <w:jc w:val="center"/>
              <w:rPr>
                <w:rFonts w:cs="Arial"/>
                <w:sz w:val="18"/>
                <w:szCs w:val="20"/>
              </w:rPr>
            </w:pPr>
            <w:r w:rsidRPr="00BF210F">
              <w:rPr>
                <w:rFonts w:cs="Arial"/>
                <w:sz w:val="18"/>
                <w:szCs w:val="20"/>
              </w:rPr>
              <w:t>NR</w:t>
            </w:r>
          </w:p>
        </w:tc>
        <w:tc>
          <w:tcPr>
            <w:tcW w:w="886" w:type="dxa"/>
            <w:tcBorders>
              <w:left w:val="nil"/>
              <w:bottom w:val="nil"/>
              <w:right w:val="nil"/>
            </w:tcBorders>
            <w:shd w:val="clear" w:color="auto" w:fill="F2F2F2" w:themeFill="background1" w:themeFillShade="F2"/>
            <w:vAlign w:val="center"/>
          </w:tcPr>
          <w:p w14:paraId="3CF30BE8" w14:textId="77777777" w:rsidR="00B74453" w:rsidRPr="00BF210F" w:rsidRDefault="00B74453" w:rsidP="00B74453">
            <w:pPr>
              <w:jc w:val="center"/>
              <w:rPr>
                <w:rFonts w:cs="Arial"/>
                <w:sz w:val="18"/>
                <w:szCs w:val="20"/>
              </w:rPr>
            </w:pPr>
            <w:r w:rsidRPr="00BF210F">
              <w:rPr>
                <w:rFonts w:cs="Arial"/>
                <w:sz w:val="18"/>
                <w:szCs w:val="20"/>
              </w:rPr>
              <w:t>NR</w:t>
            </w:r>
          </w:p>
        </w:tc>
        <w:tc>
          <w:tcPr>
            <w:tcW w:w="886" w:type="dxa"/>
            <w:tcBorders>
              <w:left w:val="nil"/>
              <w:bottom w:val="nil"/>
              <w:right w:val="nil"/>
            </w:tcBorders>
            <w:shd w:val="clear" w:color="auto" w:fill="F2F2F2" w:themeFill="background1" w:themeFillShade="F2"/>
            <w:vAlign w:val="center"/>
          </w:tcPr>
          <w:p w14:paraId="531C88BD" w14:textId="77777777" w:rsidR="00B74453" w:rsidRPr="00BF210F" w:rsidRDefault="00B74453" w:rsidP="00B74453">
            <w:pPr>
              <w:jc w:val="center"/>
              <w:rPr>
                <w:rFonts w:cs="Arial"/>
                <w:sz w:val="18"/>
                <w:szCs w:val="20"/>
              </w:rPr>
            </w:pPr>
            <w:r w:rsidRPr="00BF210F">
              <w:rPr>
                <w:rFonts w:cs="Arial"/>
                <w:sz w:val="18"/>
                <w:szCs w:val="20"/>
              </w:rPr>
              <w:t>NR</w:t>
            </w:r>
          </w:p>
        </w:tc>
        <w:tc>
          <w:tcPr>
            <w:tcW w:w="886" w:type="dxa"/>
            <w:tcBorders>
              <w:left w:val="nil"/>
              <w:bottom w:val="nil"/>
              <w:right w:val="nil"/>
            </w:tcBorders>
            <w:shd w:val="clear" w:color="auto" w:fill="F2F2F2" w:themeFill="background1" w:themeFillShade="F2"/>
            <w:vAlign w:val="center"/>
          </w:tcPr>
          <w:p w14:paraId="08B6A31D" w14:textId="77777777" w:rsidR="00B74453" w:rsidRPr="00BF210F" w:rsidRDefault="00B74453" w:rsidP="00B74453">
            <w:pPr>
              <w:jc w:val="center"/>
              <w:rPr>
                <w:rFonts w:cs="Arial"/>
                <w:sz w:val="18"/>
                <w:szCs w:val="20"/>
              </w:rPr>
            </w:pPr>
            <w:r w:rsidRPr="00BF210F">
              <w:rPr>
                <w:rFonts w:cs="Arial"/>
                <w:sz w:val="18"/>
                <w:szCs w:val="20"/>
              </w:rPr>
              <w:t>NR</w:t>
            </w:r>
          </w:p>
        </w:tc>
        <w:tc>
          <w:tcPr>
            <w:tcW w:w="886" w:type="dxa"/>
            <w:tcBorders>
              <w:left w:val="nil"/>
              <w:bottom w:val="nil"/>
              <w:right w:val="nil"/>
            </w:tcBorders>
            <w:vAlign w:val="center"/>
          </w:tcPr>
          <w:p w14:paraId="619C4AF4" w14:textId="77777777" w:rsidR="00B74453" w:rsidRPr="00BF210F" w:rsidRDefault="00B74453" w:rsidP="00B74453">
            <w:pPr>
              <w:jc w:val="center"/>
              <w:rPr>
                <w:rFonts w:cs="Arial"/>
                <w:sz w:val="18"/>
                <w:szCs w:val="20"/>
              </w:rPr>
            </w:pPr>
            <w:r w:rsidRPr="00BF210F">
              <w:rPr>
                <w:rFonts w:cs="Arial"/>
                <w:sz w:val="18"/>
                <w:szCs w:val="20"/>
              </w:rPr>
              <w:t>NR</w:t>
            </w:r>
          </w:p>
        </w:tc>
        <w:tc>
          <w:tcPr>
            <w:tcW w:w="886" w:type="dxa"/>
            <w:tcBorders>
              <w:left w:val="nil"/>
              <w:bottom w:val="nil"/>
              <w:right w:val="nil"/>
            </w:tcBorders>
            <w:vAlign w:val="center"/>
          </w:tcPr>
          <w:p w14:paraId="43F44E0E" w14:textId="77777777" w:rsidR="00B74453" w:rsidRPr="00BF210F" w:rsidRDefault="00B74453" w:rsidP="00B74453">
            <w:pPr>
              <w:jc w:val="center"/>
              <w:rPr>
                <w:rFonts w:cs="Arial"/>
                <w:sz w:val="18"/>
                <w:szCs w:val="20"/>
              </w:rPr>
            </w:pPr>
            <w:r w:rsidRPr="00BF210F">
              <w:rPr>
                <w:rFonts w:cs="Arial"/>
                <w:sz w:val="18"/>
                <w:szCs w:val="20"/>
              </w:rPr>
              <w:t>NR</w:t>
            </w:r>
          </w:p>
        </w:tc>
        <w:tc>
          <w:tcPr>
            <w:tcW w:w="886" w:type="dxa"/>
            <w:tcBorders>
              <w:left w:val="nil"/>
              <w:bottom w:val="nil"/>
              <w:right w:val="nil"/>
            </w:tcBorders>
            <w:vAlign w:val="center"/>
          </w:tcPr>
          <w:p w14:paraId="0E6339A5" w14:textId="77777777" w:rsidR="00B74453" w:rsidRPr="00BF210F" w:rsidRDefault="00B74453" w:rsidP="00B74453">
            <w:pPr>
              <w:jc w:val="center"/>
              <w:rPr>
                <w:rFonts w:cs="Arial"/>
                <w:sz w:val="18"/>
                <w:szCs w:val="20"/>
              </w:rPr>
            </w:pPr>
            <w:r w:rsidRPr="00BF210F">
              <w:rPr>
                <w:rFonts w:cs="Arial"/>
                <w:sz w:val="18"/>
                <w:szCs w:val="20"/>
              </w:rPr>
              <w:t>NR</w:t>
            </w:r>
          </w:p>
        </w:tc>
        <w:tc>
          <w:tcPr>
            <w:tcW w:w="886" w:type="dxa"/>
            <w:tcBorders>
              <w:left w:val="nil"/>
              <w:bottom w:val="nil"/>
              <w:right w:val="nil"/>
            </w:tcBorders>
            <w:vAlign w:val="center"/>
          </w:tcPr>
          <w:p w14:paraId="0FA71828" w14:textId="77777777" w:rsidR="00B74453" w:rsidRPr="00BF210F" w:rsidRDefault="00B74453" w:rsidP="00B74453">
            <w:pPr>
              <w:jc w:val="center"/>
              <w:rPr>
                <w:rFonts w:cs="Arial"/>
                <w:sz w:val="18"/>
                <w:szCs w:val="20"/>
              </w:rPr>
            </w:pPr>
            <w:r w:rsidRPr="00BF210F">
              <w:rPr>
                <w:rFonts w:cs="Arial"/>
                <w:sz w:val="18"/>
                <w:szCs w:val="20"/>
              </w:rPr>
              <w:t>NR</w:t>
            </w:r>
          </w:p>
        </w:tc>
        <w:tc>
          <w:tcPr>
            <w:tcW w:w="886" w:type="dxa"/>
            <w:tcBorders>
              <w:left w:val="nil"/>
              <w:bottom w:val="nil"/>
              <w:right w:val="nil"/>
            </w:tcBorders>
            <w:vAlign w:val="center"/>
          </w:tcPr>
          <w:p w14:paraId="18566643" w14:textId="77777777" w:rsidR="00B74453" w:rsidRPr="00BF210F" w:rsidRDefault="00B74453" w:rsidP="00B74453">
            <w:pPr>
              <w:jc w:val="center"/>
              <w:rPr>
                <w:rFonts w:cs="Arial"/>
                <w:sz w:val="18"/>
                <w:szCs w:val="20"/>
              </w:rPr>
            </w:pPr>
            <w:r w:rsidRPr="00BF210F">
              <w:rPr>
                <w:rFonts w:cs="Arial"/>
                <w:sz w:val="18"/>
                <w:szCs w:val="20"/>
              </w:rPr>
              <w:t>NR</w:t>
            </w:r>
          </w:p>
        </w:tc>
        <w:tc>
          <w:tcPr>
            <w:tcW w:w="886" w:type="dxa"/>
            <w:tcBorders>
              <w:left w:val="nil"/>
              <w:bottom w:val="nil"/>
              <w:right w:val="nil"/>
            </w:tcBorders>
            <w:vAlign w:val="center"/>
          </w:tcPr>
          <w:p w14:paraId="459DE6DD" w14:textId="77777777" w:rsidR="00B74453" w:rsidRPr="00BF210F" w:rsidRDefault="00B74453" w:rsidP="00B74453">
            <w:pPr>
              <w:jc w:val="center"/>
              <w:rPr>
                <w:rFonts w:cs="Arial"/>
                <w:sz w:val="18"/>
                <w:szCs w:val="20"/>
              </w:rPr>
            </w:pPr>
            <w:r w:rsidRPr="00BF210F">
              <w:rPr>
                <w:rFonts w:cs="Arial"/>
                <w:sz w:val="18"/>
                <w:szCs w:val="20"/>
              </w:rPr>
              <w:t>NR</w:t>
            </w:r>
          </w:p>
        </w:tc>
      </w:tr>
      <w:tr w:rsidR="00163E61" w:rsidRPr="00BF210F" w14:paraId="7B59E404" w14:textId="77777777" w:rsidTr="00527DD9">
        <w:tc>
          <w:tcPr>
            <w:tcW w:w="1844" w:type="dxa"/>
            <w:tcBorders>
              <w:top w:val="nil"/>
              <w:left w:val="nil"/>
              <w:right w:val="nil"/>
            </w:tcBorders>
            <w:vAlign w:val="center"/>
          </w:tcPr>
          <w:p w14:paraId="256D3381" w14:textId="461FA620" w:rsidR="00163E61" w:rsidRPr="00BF210F" w:rsidRDefault="00163E61" w:rsidP="00163E61">
            <w:pPr>
              <w:rPr>
                <w:rFonts w:cs="Arial"/>
                <w:sz w:val="18"/>
                <w:szCs w:val="20"/>
                <w:lang w:val="en-US"/>
              </w:rPr>
            </w:pPr>
            <w:r w:rsidRPr="00BF210F">
              <w:rPr>
                <w:rFonts w:cs="Arial"/>
                <w:sz w:val="18"/>
                <w:szCs w:val="20"/>
                <w:lang w:val="en-US"/>
              </w:rPr>
              <w:t>Coghill et al (2015)</w:t>
            </w:r>
            <w:r w:rsidRPr="00BF210F">
              <w:rPr>
                <w:rFonts w:cs="Arial"/>
                <w:sz w:val="18"/>
                <w:szCs w:val="20"/>
                <w:lang w:val="en-US"/>
              </w:rPr>
              <w:fldChar w:fldCharType="begin"/>
            </w:r>
            <w:r w:rsidR="0064139E">
              <w:rPr>
                <w:rFonts w:cs="Arial"/>
                <w:sz w:val="18"/>
                <w:szCs w:val="20"/>
                <w:lang w:val="en-US"/>
              </w:rPr>
              <w:instrText xml:space="preserve"> ADDIN ZOTERO_ITEM CSL_CITATION {"citationID":"dF0J2Pha","properties":{"formattedCitation":"[7]","plainCitation":"[7]","noteIndex":0},"citationItems":[{"id":2133,"uris":["http://zotero.org/users/4481446/items/FBNDVXCR"],"uri":["http://zotero.org/users/4481446/items/FBNDVXCR"],"itemData":{"id":2133,"type":"article-journal","abstract":"Purpose Despite advances in the treatment of HIV, HIV-infected people remain at increased risk for many cancers, and the number of non–AIDS-defining cancers is increasing with the aging of the HIV-infected population. No prior study has comprehensively evaluated the effect of HIV on cancer-specific mortality.  Patients and Methods We identified cases of 14 common cancers occurring from 1996 to 2010 in six US states participating in a linkage of cancer and HIV/AIDS registries. We used Cox regression to examine the association between patient HIV status and death resulting from the presenting cancer (ascertained from death certificates), adjusting for age, sex, race/ethnicity, year of cancer diagnosis, and cancer stage. We included 1,816,461 patients with cancer, 6,459 (0.36%) of whom were HIV infected.  Results Cancer-specific mortality was significantly elevated in HIV-infected compared with HIV-uninfected patients for many cancers: colorectum (adjusted hazard ratio [HR], 1.49; 95% CI, 1.21 to 1.84), pancreas (HR, 1.71; 95% CI, 1.35 to 2.18), larynx (HR, 1.62; 95% CI, 1.06 to 2.47), lung (HR, 1.28; 95% CI, 1.17 to 1.39), melanoma (HR, 1.72; 95% CI, 1.09 to 2.70), breast (HR, 2.61; 95% CI, 2.06 to 3.31), and prostate (HR, 1.57; 95% CI, 1.02 to 2.41). HIV was not associated with increased cancer-specific mortality for anal cancer, Hodgkin lymphoma, or diffuse large B-cell lymphoma. After further adjustment for cancer treatment, HIV remained associated with elevated cancer-specific mortality for common non–AIDS-defining cancers: colorectum (HR, 1.40; 95% CI, 1.09 to 1.80), lung (HR, 1.28; 95% CI, 1.14 to 1.44), melanoma (HR, 1.93; 95% CI, 1.14 to 3.27), and breast (HR, 2.64; 95% CI, 1.86 to 3.73).  Conclusion HIV-infected patients with cancer experienced higher cancer-specific mortality than HIV-uninfected patients, independent of cancer stage or receipt of cancer treatment. The elevation in cancer-specific mortality among HIV-infected patients may be attributable to unmeasured stage or treatment differences as well as a direct relationship between immunosuppression and tumor progression.","container-title":"Journal of Clinical Oncology","DOI":"10.1200/JCO.2014.59.5967","ISSN":"0732-183X","issue":"21","journalAbbreviation":"JCO","page":"2376-2383","source":"ascopubs.org (Atypon)","title":"Elevated Cancer-Specific Mortality Among HIV-Infected Patients in the United States","volume":"33","author":[{"family":"Coghill","given":"Anna E."},{"family":"Shiels","given":"Meredith S."},{"family":"Suneja","given":"Gita"},{"family":"Engels","given":"Eric A."}],"issued":{"date-parts":[["2015",6,15]]}}}],"schema":"https://github.com/citation-style-language/schema/raw/master/csl-citation.json"}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[7]</w:t>
            </w:r>
            <w:r w:rsidRPr="00BF210F">
              <w:rPr>
                <w:rFonts w:cs="Arial"/>
                <w:sz w:val="18"/>
                <w:szCs w:val="20"/>
                <w:lang w:val="en-US"/>
              </w:rPr>
              <w:fldChar w:fldCharType="end"/>
            </w:r>
          </w:p>
        </w:tc>
        <w:tc>
          <w:tcPr>
            <w:tcW w:w="1275" w:type="dxa"/>
            <w:tcBorders>
              <w:top w:val="nil"/>
              <w:left w:val="nil"/>
              <w:right w:val="nil"/>
            </w:tcBorders>
          </w:tcPr>
          <w:p w14:paraId="11E93A3B" w14:textId="4347FCA5" w:rsidR="00163E61" w:rsidRPr="00BF210F" w:rsidRDefault="00163E61" w:rsidP="00163E61">
            <w:pPr>
              <w:rPr>
                <w:rFonts w:cs="Arial"/>
                <w:sz w:val="18"/>
                <w:szCs w:val="20"/>
              </w:rPr>
            </w:pPr>
            <w:r w:rsidRPr="00BF210F">
              <w:rPr>
                <w:rFonts w:cs="Arial"/>
                <w:sz w:val="18"/>
                <w:szCs w:val="20"/>
              </w:rPr>
              <w:t>NR</w:t>
            </w:r>
            <w:r w:rsidRPr="00BF210F">
              <w:rPr>
                <w:rFonts w:cs="Arial"/>
                <w:sz w:val="18"/>
                <w:szCs w:val="20"/>
                <w:vertAlign w:val="superscript"/>
              </w:rPr>
              <w:t>¥</w:t>
            </w:r>
          </w:p>
        </w:tc>
        <w:tc>
          <w:tcPr>
            <w:tcW w:w="1276" w:type="dxa"/>
            <w:tcBorders>
              <w:top w:val="nil"/>
              <w:left w:val="nil"/>
              <w:right w:val="nil"/>
            </w:tcBorders>
          </w:tcPr>
          <w:p w14:paraId="695D97E1" w14:textId="0767F684" w:rsidR="00163E61" w:rsidRPr="00BF210F" w:rsidRDefault="00163E61" w:rsidP="00163E61">
            <w:pPr>
              <w:rPr>
                <w:rFonts w:cs="Arial"/>
                <w:sz w:val="18"/>
                <w:szCs w:val="20"/>
              </w:rPr>
            </w:pPr>
            <w:r w:rsidRPr="00BF210F">
              <w:rPr>
                <w:rFonts w:cs="Arial"/>
                <w:sz w:val="18"/>
                <w:szCs w:val="20"/>
              </w:rPr>
              <w:t>NR</w:t>
            </w:r>
            <w:r w:rsidRPr="00BF210F">
              <w:rPr>
                <w:rFonts w:cs="Arial"/>
                <w:sz w:val="18"/>
                <w:szCs w:val="20"/>
                <w:vertAlign w:val="superscript"/>
              </w:rPr>
              <w:t>¥</w:t>
            </w:r>
          </w:p>
        </w:tc>
        <w:tc>
          <w:tcPr>
            <w:tcW w:w="885" w:type="dxa"/>
            <w:tcBorders>
              <w:top w:val="nil"/>
              <w:left w:val="nil"/>
              <w:right w:val="nil"/>
            </w:tcBorders>
            <w:shd w:val="clear" w:color="auto" w:fill="F2F2F2" w:themeFill="background1" w:themeFillShade="F2"/>
            <w:vAlign w:val="center"/>
          </w:tcPr>
          <w:p w14:paraId="46987F89" w14:textId="77777777" w:rsidR="00163E61" w:rsidRPr="00BF210F" w:rsidRDefault="00163E61" w:rsidP="00163E61">
            <w:pPr>
              <w:jc w:val="center"/>
              <w:rPr>
                <w:rFonts w:cs="Arial"/>
                <w:sz w:val="18"/>
                <w:szCs w:val="20"/>
              </w:rPr>
            </w:pPr>
            <w:r w:rsidRPr="00BF210F">
              <w:rPr>
                <w:rFonts w:cs="Arial"/>
                <w:sz w:val="18"/>
                <w:szCs w:val="20"/>
              </w:rPr>
              <w:t>NR</w:t>
            </w:r>
          </w:p>
        </w:tc>
        <w:tc>
          <w:tcPr>
            <w:tcW w:w="886" w:type="dxa"/>
            <w:tcBorders>
              <w:top w:val="nil"/>
              <w:left w:val="nil"/>
              <w:right w:val="nil"/>
            </w:tcBorders>
            <w:shd w:val="clear" w:color="auto" w:fill="F2F2F2" w:themeFill="background1" w:themeFillShade="F2"/>
            <w:vAlign w:val="center"/>
          </w:tcPr>
          <w:p w14:paraId="63617AB7" w14:textId="77777777" w:rsidR="00163E61" w:rsidRPr="00BF210F" w:rsidRDefault="00163E61" w:rsidP="00163E61">
            <w:pPr>
              <w:jc w:val="center"/>
              <w:rPr>
                <w:rFonts w:cs="Arial"/>
                <w:sz w:val="18"/>
                <w:szCs w:val="20"/>
              </w:rPr>
            </w:pPr>
            <w:r w:rsidRPr="00BF210F">
              <w:rPr>
                <w:rFonts w:cs="Arial"/>
                <w:sz w:val="18"/>
                <w:szCs w:val="20"/>
              </w:rPr>
              <w:t>NR</w:t>
            </w:r>
          </w:p>
        </w:tc>
        <w:tc>
          <w:tcPr>
            <w:tcW w:w="886" w:type="dxa"/>
            <w:tcBorders>
              <w:top w:val="nil"/>
              <w:left w:val="nil"/>
              <w:right w:val="nil"/>
            </w:tcBorders>
            <w:shd w:val="clear" w:color="auto" w:fill="F2F2F2" w:themeFill="background1" w:themeFillShade="F2"/>
            <w:vAlign w:val="center"/>
          </w:tcPr>
          <w:p w14:paraId="2DADB76B" w14:textId="77777777" w:rsidR="00163E61" w:rsidRPr="00BF210F" w:rsidRDefault="00163E61" w:rsidP="00163E61">
            <w:pPr>
              <w:jc w:val="center"/>
              <w:rPr>
                <w:rFonts w:cs="Arial"/>
                <w:sz w:val="18"/>
                <w:szCs w:val="20"/>
              </w:rPr>
            </w:pPr>
            <w:r w:rsidRPr="00BF210F">
              <w:rPr>
                <w:rFonts w:cs="Arial"/>
                <w:sz w:val="18"/>
                <w:szCs w:val="20"/>
              </w:rPr>
              <w:t>NR</w:t>
            </w:r>
          </w:p>
        </w:tc>
        <w:tc>
          <w:tcPr>
            <w:tcW w:w="886" w:type="dxa"/>
            <w:tcBorders>
              <w:top w:val="nil"/>
              <w:left w:val="nil"/>
              <w:right w:val="nil"/>
            </w:tcBorders>
            <w:shd w:val="clear" w:color="auto" w:fill="F2F2F2" w:themeFill="background1" w:themeFillShade="F2"/>
            <w:vAlign w:val="center"/>
          </w:tcPr>
          <w:p w14:paraId="7C623DCA" w14:textId="77777777" w:rsidR="00163E61" w:rsidRPr="00BF210F" w:rsidRDefault="00163E61" w:rsidP="00163E61">
            <w:pPr>
              <w:jc w:val="center"/>
              <w:rPr>
                <w:rFonts w:cs="Arial"/>
                <w:sz w:val="18"/>
                <w:szCs w:val="20"/>
              </w:rPr>
            </w:pPr>
            <w:r w:rsidRPr="00BF210F">
              <w:rPr>
                <w:rFonts w:cs="Arial"/>
                <w:sz w:val="18"/>
                <w:szCs w:val="20"/>
              </w:rPr>
              <w:t>NR</w:t>
            </w:r>
          </w:p>
        </w:tc>
        <w:tc>
          <w:tcPr>
            <w:tcW w:w="886" w:type="dxa"/>
            <w:tcBorders>
              <w:top w:val="nil"/>
              <w:left w:val="nil"/>
              <w:right w:val="nil"/>
            </w:tcBorders>
            <w:shd w:val="clear" w:color="auto" w:fill="F2F2F2" w:themeFill="background1" w:themeFillShade="F2"/>
            <w:vAlign w:val="center"/>
          </w:tcPr>
          <w:p w14:paraId="5FE957E1" w14:textId="77777777" w:rsidR="00163E61" w:rsidRPr="00BF210F" w:rsidRDefault="00163E61" w:rsidP="00163E61">
            <w:pPr>
              <w:jc w:val="center"/>
              <w:rPr>
                <w:rFonts w:cs="Arial"/>
                <w:sz w:val="18"/>
                <w:szCs w:val="20"/>
              </w:rPr>
            </w:pPr>
            <w:r w:rsidRPr="00BF210F">
              <w:rPr>
                <w:rFonts w:cs="Arial"/>
                <w:sz w:val="18"/>
                <w:szCs w:val="20"/>
              </w:rPr>
              <w:t>NR</w:t>
            </w:r>
          </w:p>
        </w:tc>
        <w:tc>
          <w:tcPr>
            <w:tcW w:w="886" w:type="dxa"/>
            <w:tcBorders>
              <w:top w:val="nil"/>
              <w:left w:val="nil"/>
              <w:right w:val="nil"/>
            </w:tcBorders>
            <w:shd w:val="clear" w:color="auto" w:fill="F2F2F2" w:themeFill="background1" w:themeFillShade="F2"/>
            <w:vAlign w:val="center"/>
          </w:tcPr>
          <w:p w14:paraId="15DD495A" w14:textId="77777777" w:rsidR="00163E61" w:rsidRPr="00BF210F" w:rsidRDefault="00163E61" w:rsidP="00163E61">
            <w:pPr>
              <w:jc w:val="center"/>
              <w:rPr>
                <w:rFonts w:cs="Arial"/>
                <w:sz w:val="18"/>
                <w:szCs w:val="20"/>
              </w:rPr>
            </w:pPr>
            <w:r w:rsidRPr="00BF210F">
              <w:rPr>
                <w:rFonts w:cs="Arial"/>
                <w:sz w:val="18"/>
                <w:szCs w:val="20"/>
              </w:rPr>
              <w:t>NR</w:t>
            </w:r>
          </w:p>
        </w:tc>
        <w:tc>
          <w:tcPr>
            <w:tcW w:w="886" w:type="dxa"/>
            <w:tcBorders>
              <w:top w:val="nil"/>
              <w:left w:val="nil"/>
              <w:right w:val="nil"/>
            </w:tcBorders>
            <w:vAlign w:val="center"/>
          </w:tcPr>
          <w:p w14:paraId="6553C9C6" w14:textId="77777777" w:rsidR="00163E61" w:rsidRPr="00BF210F" w:rsidRDefault="00163E61" w:rsidP="00163E61">
            <w:pPr>
              <w:jc w:val="center"/>
              <w:rPr>
                <w:rFonts w:cs="Arial"/>
                <w:sz w:val="18"/>
                <w:szCs w:val="20"/>
              </w:rPr>
            </w:pPr>
            <w:r w:rsidRPr="00BF210F">
              <w:rPr>
                <w:rFonts w:cs="Arial"/>
                <w:sz w:val="18"/>
                <w:szCs w:val="20"/>
              </w:rPr>
              <w:t>NR</w:t>
            </w:r>
          </w:p>
        </w:tc>
        <w:tc>
          <w:tcPr>
            <w:tcW w:w="886" w:type="dxa"/>
            <w:tcBorders>
              <w:top w:val="nil"/>
              <w:left w:val="nil"/>
              <w:right w:val="nil"/>
            </w:tcBorders>
            <w:vAlign w:val="center"/>
          </w:tcPr>
          <w:p w14:paraId="5A70A717" w14:textId="77777777" w:rsidR="00163E61" w:rsidRPr="00BF210F" w:rsidRDefault="00163E61" w:rsidP="00163E61">
            <w:pPr>
              <w:jc w:val="center"/>
              <w:rPr>
                <w:rFonts w:cs="Arial"/>
                <w:sz w:val="18"/>
                <w:szCs w:val="20"/>
              </w:rPr>
            </w:pPr>
            <w:r w:rsidRPr="00BF210F">
              <w:rPr>
                <w:rFonts w:cs="Arial"/>
                <w:sz w:val="18"/>
                <w:szCs w:val="20"/>
              </w:rPr>
              <w:t>NR</w:t>
            </w:r>
          </w:p>
        </w:tc>
        <w:tc>
          <w:tcPr>
            <w:tcW w:w="886" w:type="dxa"/>
            <w:tcBorders>
              <w:top w:val="nil"/>
              <w:left w:val="nil"/>
              <w:right w:val="nil"/>
            </w:tcBorders>
            <w:vAlign w:val="center"/>
          </w:tcPr>
          <w:p w14:paraId="2EC7085B" w14:textId="77777777" w:rsidR="00163E61" w:rsidRPr="00BF210F" w:rsidRDefault="00163E61" w:rsidP="00163E61">
            <w:pPr>
              <w:jc w:val="center"/>
              <w:rPr>
                <w:rFonts w:cs="Arial"/>
                <w:sz w:val="18"/>
                <w:szCs w:val="20"/>
              </w:rPr>
            </w:pPr>
            <w:r w:rsidRPr="00BF210F">
              <w:rPr>
                <w:rFonts w:cs="Arial"/>
                <w:sz w:val="18"/>
                <w:szCs w:val="20"/>
              </w:rPr>
              <w:t>NR</w:t>
            </w:r>
          </w:p>
        </w:tc>
        <w:tc>
          <w:tcPr>
            <w:tcW w:w="886" w:type="dxa"/>
            <w:tcBorders>
              <w:top w:val="nil"/>
              <w:left w:val="nil"/>
              <w:right w:val="nil"/>
            </w:tcBorders>
            <w:vAlign w:val="center"/>
          </w:tcPr>
          <w:p w14:paraId="24984D39" w14:textId="77777777" w:rsidR="00163E61" w:rsidRPr="00BF210F" w:rsidRDefault="00163E61" w:rsidP="00163E61">
            <w:pPr>
              <w:jc w:val="center"/>
              <w:rPr>
                <w:rFonts w:cs="Arial"/>
                <w:sz w:val="18"/>
                <w:szCs w:val="20"/>
              </w:rPr>
            </w:pPr>
            <w:r w:rsidRPr="00BF210F">
              <w:rPr>
                <w:rFonts w:cs="Arial"/>
                <w:sz w:val="18"/>
                <w:szCs w:val="20"/>
              </w:rPr>
              <w:t>NR</w:t>
            </w:r>
          </w:p>
        </w:tc>
        <w:tc>
          <w:tcPr>
            <w:tcW w:w="886" w:type="dxa"/>
            <w:tcBorders>
              <w:top w:val="nil"/>
              <w:left w:val="nil"/>
              <w:right w:val="nil"/>
            </w:tcBorders>
            <w:vAlign w:val="center"/>
          </w:tcPr>
          <w:p w14:paraId="01D74619" w14:textId="77777777" w:rsidR="00163E61" w:rsidRPr="00BF210F" w:rsidRDefault="00163E61" w:rsidP="00163E61">
            <w:pPr>
              <w:jc w:val="center"/>
              <w:rPr>
                <w:rFonts w:cs="Arial"/>
                <w:sz w:val="18"/>
                <w:szCs w:val="20"/>
              </w:rPr>
            </w:pPr>
            <w:r w:rsidRPr="00BF210F">
              <w:rPr>
                <w:rFonts w:cs="Arial"/>
                <w:sz w:val="18"/>
                <w:szCs w:val="20"/>
              </w:rPr>
              <w:t>NR</w:t>
            </w:r>
          </w:p>
        </w:tc>
        <w:tc>
          <w:tcPr>
            <w:tcW w:w="886" w:type="dxa"/>
            <w:tcBorders>
              <w:top w:val="nil"/>
              <w:left w:val="nil"/>
              <w:right w:val="nil"/>
            </w:tcBorders>
            <w:vAlign w:val="center"/>
          </w:tcPr>
          <w:p w14:paraId="3AA8DE03" w14:textId="77777777" w:rsidR="00163E61" w:rsidRPr="00BF210F" w:rsidRDefault="00163E61" w:rsidP="00163E61">
            <w:pPr>
              <w:jc w:val="center"/>
              <w:rPr>
                <w:rFonts w:cs="Arial"/>
                <w:sz w:val="18"/>
                <w:szCs w:val="20"/>
              </w:rPr>
            </w:pPr>
            <w:r w:rsidRPr="00BF210F">
              <w:rPr>
                <w:rFonts w:cs="Arial"/>
                <w:sz w:val="18"/>
                <w:szCs w:val="20"/>
              </w:rPr>
              <w:t>NR</w:t>
            </w:r>
          </w:p>
        </w:tc>
      </w:tr>
      <w:tr w:rsidR="002775E5" w:rsidRPr="00BF210F" w14:paraId="62C7DE2B" w14:textId="77777777" w:rsidTr="007C25F8">
        <w:tc>
          <w:tcPr>
            <w:tcW w:w="1844" w:type="dxa"/>
            <w:tcBorders>
              <w:left w:val="nil"/>
              <w:right w:val="nil"/>
            </w:tcBorders>
            <w:vAlign w:val="center"/>
          </w:tcPr>
          <w:p w14:paraId="428D76DF" w14:textId="781B9357" w:rsidR="002775E5" w:rsidRPr="00BF210F" w:rsidRDefault="002775E5" w:rsidP="002775E5">
            <w:pPr>
              <w:rPr>
                <w:rFonts w:cs="Arial"/>
                <w:sz w:val="18"/>
                <w:szCs w:val="20"/>
                <w:lang w:val="en-US"/>
              </w:rPr>
            </w:pPr>
            <w:r w:rsidRPr="00BF210F">
              <w:rPr>
                <w:rFonts w:cs="Arial"/>
                <w:sz w:val="18"/>
                <w:szCs w:val="20"/>
                <w:lang w:val="en-US"/>
              </w:rPr>
              <w:t>Traore et al (2015)</w:t>
            </w:r>
            <w:r w:rsidRPr="00BF210F">
              <w:rPr>
                <w:rFonts w:cs="Arial"/>
                <w:sz w:val="18"/>
                <w:szCs w:val="20"/>
                <w:lang w:val="en-US"/>
              </w:rPr>
              <w:fldChar w:fldCharType="begin"/>
            </w:r>
            <w:r w:rsidR="0064139E">
              <w:rPr>
                <w:rFonts w:cs="Arial"/>
                <w:sz w:val="18"/>
                <w:szCs w:val="20"/>
                <w:lang w:val="en-US"/>
              </w:rPr>
              <w:instrText xml:space="preserve"> ADDIN ZOTERO_ITEM CSL_CITATION {"citationID":"UIsL6EZ6","properties":{"formattedCitation":"[8]","plainCitation":"[8]","noteIndex":0},"citationItems":[{"id":2740,"uris":["http://zotero.org/users/4481446/items/YA4KSSZ6"],"uri":["http://zotero.org/users/4481446/items/YA4KSSZ6"],"itemData":{"id":2740,"type":"article-journal","container-title":"The Pan African medical journal","DOI":"10.11604/pamj.2015.21.261.7146","ISSN":"1937-8688","journalAbbreviation":"Pan Afr Med J","language":"fre","note":"PMID: 26523196 \nPMCID: PMC4607795","page":"261","title":"[HIV infection in patients with breast cancer in Guinea (West Africa)].","volume":"21","author":[{"family":"Traore","given":"Bangaly"},{"family":"Diane","given":"Solomana"},{"family":"Sow","given":"Mamadou Saliou"},{"family":"Keita","given":"Mamady"},{"family":"Conde","given":"Mamoudou"},{"family":"Traore","given":"Fode Amara"},{"family":"Kourouma","given":"Tidiane"}],"issued":{"date-parts":[["2015"]]}}}],"schema":"https://github.com/citation-style-language/schema/raw/master/csl-citation.json"}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[8]</w:t>
            </w:r>
            <w:r w:rsidRPr="00BF210F">
              <w:rPr>
                <w:rFonts w:cs="Arial"/>
                <w:sz w:val="18"/>
                <w:szCs w:val="20"/>
                <w:lang w:val="en-US"/>
              </w:rPr>
              <w:fldChar w:fldCharType="end"/>
            </w:r>
          </w:p>
        </w:tc>
        <w:tc>
          <w:tcPr>
            <w:tcW w:w="1275" w:type="dxa"/>
            <w:tcBorders>
              <w:left w:val="nil"/>
              <w:right w:val="nil"/>
            </w:tcBorders>
            <w:vAlign w:val="center"/>
          </w:tcPr>
          <w:p w14:paraId="147F6BEA" w14:textId="7C415511" w:rsidR="002775E5" w:rsidRPr="00BF210F" w:rsidRDefault="002775E5" w:rsidP="002775E5">
            <w:pPr>
              <w:rPr>
                <w:rFonts w:cs="Arial"/>
                <w:sz w:val="18"/>
                <w:szCs w:val="20"/>
              </w:rPr>
            </w:pPr>
            <w:r w:rsidRPr="00BF210F">
              <w:rPr>
                <w:rFonts w:cs="Arial"/>
                <w:sz w:val="18"/>
                <w:szCs w:val="20"/>
              </w:rPr>
              <w:t>Median: 36.5 (range 26-58)</w:t>
            </w:r>
          </w:p>
        </w:tc>
        <w:tc>
          <w:tcPr>
            <w:tcW w:w="1276" w:type="dxa"/>
            <w:tcBorders>
              <w:left w:val="nil"/>
              <w:right w:val="nil"/>
            </w:tcBorders>
            <w:vAlign w:val="center"/>
          </w:tcPr>
          <w:p w14:paraId="481627F2" w14:textId="61889BE1" w:rsidR="002775E5" w:rsidRPr="00BF210F" w:rsidRDefault="002775E5" w:rsidP="002775E5">
            <w:pPr>
              <w:rPr>
                <w:rFonts w:cs="Arial"/>
                <w:sz w:val="18"/>
                <w:szCs w:val="20"/>
              </w:rPr>
            </w:pPr>
            <w:r w:rsidRPr="00BF210F">
              <w:rPr>
                <w:rFonts w:cs="Arial"/>
                <w:sz w:val="18"/>
                <w:szCs w:val="20"/>
              </w:rPr>
              <w:t>Median: 49.0 (range 20-85)</w:t>
            </w:r>
          </w:p>
        </w:tc>
        <w:tc>
          <w:tcPr>
            <w:tcW w:w="885" w:type="dxa"/>
            <w:tcBorders>
              <w:left w:val="nil"/>
              <w:right w:val="nil"/>
            </w:tcBorders>
            <w:shd w:val="clear" w:color="auto" w:fill="F2F2F2" w:themeFill="background1" w:themeFillShade="F2"/>
            <w:vAlign w:val="center"/>
          </w:tcPr>
          <w:p w14:paraId="15074E13" w14:textId="77777777" w:rsidR="002775E5" w:rsidRPr="00BF210F" w:rsidRDefault="002775E5" w:rsidP="002775E5">
            <w:pPr>
              <w:jc w:val="center"/>
              <w:rPr>
                <w:rFonts w:cs="Arial"/>
                <w:sz w:val="18"/>
                <w:szCs w:val="20"/>
              </w:rPr>
            </w:pPr>
            <w:r w:rsidRPr="00BF210F">
              <w:rPr>
                <w:rFonts w:cs="Arial"/>
                <w:sz w:val="18"/>
                <w:szCs w:val="20"/>
              </w:rPr>
              <w:t>14</w:t>
            </w:r>
          </w:p>
        </w:tc>
        <w:tc>
          <w:tcPr>
            <w:tcW w:w="886" w:type="dxa"/>
            <w:tcBorders>
              <w:left w:val="nil"/>
              <w:right w:val="nil"/>
            </w:tcBorders>
            <w:shd w:val="clear" w:color="auto" w:fill="F2F2F2" w:themeFill="background1" w:themeFillShade="F2"/>
            <w:vAlign w:val="center"/>
          </w:tcPr>
          <w:p w14:paraId="544AFC9A" w14:textId="77777777" w:rsidR="002775E5" w:rsidRPr="00BF210F" w:rsidRDefault="002775E5" w:rsidP="002775E5">
            <w:pPr>
              <w:jc w:val="center"/>
              <w:rPr>
                <w:rFonts w:cs="Arial"/>
                <w:sz w:val="18"/>
                <w:szCs w:val="20"/>
              </w:rPr>
            </w:pPr>
            <w:r w:rsidRPr="00BF210F">
              <w:rPr>
                <w:rFonts w:cs="Arial"/>
                <w:sz w:val="18"/>
                <w:szCs w:val="20"/>
              </w:rPr>
              <w:t xml:space="preserve">7 </w:t>
            </w:r>
          </w:p>
          <w:p w14:paraId="5BC987A5" w14:textId="77777777" w:rsidR="002775E5" w:rsidRPr="00BF210F" w:rsidRDefault="002775E5" w:rsidP="002775E5">
            <w:pPr>
              <w:jc w:val="center"/>
              <w:rPr>
                <w:rFonts w:cs="Arial"/>
                <w:sz w:val="18"/>
                <w:szCs w:val="20"/>
              </w:rPr>
            </w:pPr>
            <w:r w:rsidRPr="00BF210F">
              <w:rPr>
                <w:rFonts w:cs="Arial"/>
                <w:sz w:val="18"/>
                <w:szCs w:val="20"/>
              </w:rPr>
              <w:t>(50%)</w:t>
            </w:r>
          </w:p>
        </w:tc>
        <w:tc>
          <w:tcPr>
            <w:tcW w:w="886" w:type="dxa"/>
            <w:tcBorders>
              <w:left w:val="nil"/>
              <w:right w:val="nil"/>
            </w:tcBorders>
            <w:shd w:val="clear" w:color="auto" w:fill="F2F2F2" w:themeFill="background1" w:themeFillShade="F2"/>
            <w:vAlign w:val="center"/>
          </w:tcPr>
          <w:p w14:paraId="5D65ADC4" w14:textId="77777777" w:rsidR="002775E5" w:rsidRPr="00BF210F" w:rsidRDefault="002775E5" w:rsidP="002775E5">
            <w:pPr>
              <w:jc w:val="center"/>
              <w:rPr>
                <w:rFonts w:cs="Arial"/>
                <w:sz w:val="18"/>
                <w:szCs w:val="20"/>
              </w:rPr>
            </w:pPr>
            <w:r w:rsidRPr="00BF210F">
              <w:rPr>
                <w:rFonts w:cs="Arial"/>
                <w:sz w:val="18"/>
                <w:szCs w:val="20"/>
              </w:rPr>
              <w:t xml:space="preserve">3 </w:t>
            </w:r>
          </w:p>
          <w:p w14:paraId="20C81677" w14:textId="77777777" w:rsidR="002775E5" w:rsidRPr="00BF210F" w:rsidRDefault="002775E5" w:rsidP="002775E5">
            <w:pPr>
              <w:jc w:val="center"/>
              <w:rPr>
                <w:rFonts w:cs="Arial"/>
                <w:sz w:val="18"/>
                <w:szCs w:val="20"/>
              </w:rPr>
            </w:pPr>
            <w:r w:rsidRPr="00BF210F">
              <w:rPr>
                <w:rFonts w:cs="Arial"/>
                <w:sz w:val="18"/>
                <w:szCs w:val="20"/>
              </w:rPr>
              <w:t>(21%)</w:t>
            </w:r>
          </w:p>
        </w:tc>
        <w:tc>
          <w:tcPr>
            <w:tcW w:w="886" w:type="dxa"/>
            <w:tcBorders>
              <w:left w:val="nil"/>
              <w:right w:val="nil"/>
            </w:tcBorders>
            <w:shd w:val="clear" w:color="auto" w:fill="F2F2F2" w:themeFill="background1" w:themeFillShade="F2"/>
            <w:vAlign w:val="center"/>
          </w:tcPr>
          <w:p w14:paraId="37129A0A" w14:textId="77777777" w:rsidR="002775E5" w:rsidRPr="00BF210F" w:rsidRDefault="002775E5" w:rsidP="002775E5">
            <w:pPr>
              <w:jc w:val="center"/>
              <w:rPr>
                <w:rFonts w:cs="Arial"/>
                <w:sz w:val="18"/>
                <w:szCs w:val="20"/>
              </w:rPr>
            </w:pPr>
            <w:r w:rsidRPr="00BF210F">
              <w:rPr>
                <w:rFonts w:cs="Arial"/>
                <w:sz w:val="18"/>
                <w:szCs w:val="20"/>
              </w:rPr>
              <w:t xml:space="preserve">6 </w:t>
            </w:r>
          </w:p>
          <w:p w14:paraId="5FAC3E0F" w14:textId="77777777" w:rsidR="002775E5" w:rsidRPr="00BF210F" w:rsidRDefault="002775E5" w:rsidP="002775E5">
            <w:pPr>
              <w:jc w:val="center"/>
              <w:rPr>
                <w:rFonts w:cs="Arial"/>
                <w:sz w:val="18"/>
                <w:szCs w:val="20"/>
              </w:rPr>
            </w:pPr>
            <w:r w:rsidRPr="00BF210F">
              <w:rPr>
                <w:rFonts w:cs="Arial"/>
                <w:sz w:val="18"/>
                <w:szCs w:val="20"/>
              </w:rPr>
              <w:t>(43%)</w:t>
            </w:r>
          </w:p>
        </w:tc>
        <w:tc>
          <w:tcPr>
            <w:tcW w:w="886" w:type="dxa"/>
            <w:tcBorders>
              <w:left w:val="nil"/>
              <w:right w:val="nil"/>
            </w:tcBorders>
            <w:shd w:val="clear" w:color="auto" w:fill="F2F2F2" w:themeFill="background1" w:themeFillShade="F2"/>
            <w:vAlign w:val="center"/>
          </w:tcPr>
          <w:p w14:paraId="6DD5A9C7"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38DF1973"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61E028D1" w14:textId="77777777" w:rsidR="002775E5" w:rsidRPr="00BF210F" w:rsidRDefault="002775E5" w:rsidP="002775E5">
            <w:pPr>
              <w:jc w:val="center"/>
              <w:rPr>
                <w:rFonts w:cs="Arial"/>
                <w:sz w:val="18"/>
                <w:szCs w:val="20"/>
              </w:rPr>
            </w:pPr>
            <w:r w:rsidRPr="00BF210F">
              <w:rPr>
                <w:rFonts w:cs="Arial"/>
                <w:sz w:val="18"/>
                <w:szCs w:val="20"/>
              </w:rPr>
              <w:t>264</w:t>
            </w:r>
          </w:p>
        </w:tc>
        <w:tc>
          <w:tcPr>
            <w:tcW w:w="886" w:type="dxa"/>
            <w:tcBorders>
              <w:left w:val="nil"/>
              <w:right w:val="nil"/>
            </w:tcBorders>
            <w:vAlign w:val="center"/>
          </w:tcPr>
          <w:p w14:paraId="6F8AC42C" w14:textId="77777777" w:rsidR="002775E5" w:rsidRPr="00BF210F" w:rsidRDefault="002775E5" w:rsidP="002775E5">
            <w:pPr>
              <w:jc w:val="center"/>
              <w:rPr>
                <w:rFonts w:cs="Arial"/>
                <w:sz w:val="18"/>
                <w:szCs w:val="20"/>
              </w:rPr>
            </w:pPr>
            <w:r w:rsidRPr="00BF210F">
              <w:rPr>
                <w:rFonts w:cs="Arial"/>
                <w:sz w:val="18"/>
                <w:szCs w:val="20"/>
              </w:rPr>
              <w:t>202 (77%)</w:t>
            </w:r>
          </w:p>
        </w:tc>
        <w:tc>
          <w:tcPr>
            <w:tcW w:w="886" w:type="dxa"/>
            <w:tcBorders>
              <w:left w:val="nil"/>
              <w:right w:val="nil"/>
            </w:tcBorders>
            <w:vAlign w:val="center"/>
          </w:tcPr>
          <w:p w14:paraId="3994BB8E"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19EBFBE6" w14:textId="77777777" w:rsidR="002775E5" w:rsidRPr="00BF210F" w:rsidRDefault="002775E5" w:rsidP="002775E5">
            <w:pPr>
              <w:jc w:val="center"/>
              <w:rPr>
                <w:rFonts w:cs="Arial"/>
                <w:color w:val="000000"/>
                <w:sz w:val="18"/>
                <w:szCs w:val="20"/>
              </w:rPr>
            </w:pPr>
            <w:r w:rsidRPr="00BF210F">
              <w:rPr>
                <w:rFonts w:cs="Arial"/>
                <w:color w:val="000000"/>
                <w:sz w:val="18"/>
                <w:szCs w:val="20"/>
              </w:rPr>
              <w:t>NR</w:t>
            </w:r>
          </w:p>
        </w:tc>
        <w:tc>
          <w:tcPr>
            <w:tcW w:w="886" w:type="dxa"/>
            <w:tcBorders>
              <w:left w:val="nil"/>
              <w:right w:val="nil"/>
            </w:tcBorders>
            <w:vAlign w:val="center"/>
          </w:tcPr>
          <w:p w14:paraId="0D2B5AB5"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5343956A" w14:textId="77777777" w:rsidR="002775E5" w:rsidRPr="00BF210F" w:rsidRDefault="002775E5" w:rsidP="002775E5">
            <w:pPr>
              <w:jc w:val="center"/>
              <w:rPr>
                <w:rFonts w:cs="Arial"/>
                <w:sz w:val="18"/>
                <w:szCs w:val="20"/>
              </w:rPr>
            </w:pPr>
            <w:r w:rsidRPr="00BF210F">
              <w:rPr>
                <w:rFonts w:cs="Arial"/>
                <w:sz w:val="18"/>
                <w:szCs w:val="20"/>
              </w:rPr>
              <w:t>NR</w:t>
            </w:r>
          </w:p>
        </w:tc>
      </w:tr>
      <w:tr w:rsidR="002775E5" w:rsidRPr="00BF210F" w14:paraId="6C3D7157" w14:textId="77777777" w:rsidTr="007C25F8">
        <w:tc>
          <w:tcPr>
            <w:tcW w:w="1844" w:type="dxa"/>
            <w:tcBorders>
              <w:left w:val="nil"/>
              <w:right w:val="nil"/>
            </w:tcBorders>
            <w:vAlign w:val="center"/>
          </w:tcPr>
          <w:p w14:paraId="28A30F95" w14:textId="5519A9EC" w:rsidR="002775E5" w:rsidRPr="00BF210F" w:rsidRDefault="002775E5" w:rsidP="002775E5">
            <w:pPr>
              <w:rPr>
                <w:rFonts w:cs="Arial"/>
                <w:sz w:val="18"/>
                <w:szCs w:val="20"/>
                <w:lang w:val="en-US"/>
              </w:rPr>
            </w:pPr>
            <w:r w:rsidRPr="00BF210F">
              <w:rPr>
                <w:rFonts w:cs="Arial"/>
                <w:sz w:val="18"/>
                <w:szCs w:val="20"/>
                <w:lang w:val="en-US"/>
              </w:rPr>
              <w:t>Phakathi et al (2016)</w:t>
            </w:r>
            <w:r w:rsidRPr="00BF210F">
              <w:rPr>
                <w:rFonts w:cs="Arial"/>
                <w:sz w:val="18"/>
                <w:szCs w:val="20"/>
                <w:lang w:val="en-US"/>
              </w:rPr>
              <w:fldChar w:fldCharType="begin"/>
            </w:r>
            <w:r w:rsidR="0064139E">
              <w:rPr>
                <w:rFonts w:cs="Arial"/>
                <w:sz w:val="18"/>
                <w:szCs w:val="20"/>
                <w:lang w:val="en-US"/>
              </w:rPr>
              <w:instrText xml:space="preserve"> ADDIN ZOTERO_ITEM CSL_CITATION {"citationID":"o5XTgTem","properties":{"formattedCitation":"[9]","plainCitation":"[9]","noteIndex":0},"citationItems":[{"id":1962,"uris":["http://zotero.org/users/4481446/items/ERBTYXSC"],"uri":["http://zotero.org/users/4481446/items/ERBTYXSC"],"itemData":{"id":1962,"type":"article-journal","abstract":"Introduction\nBreast cancer is the most common cancer of women in the world. Twenty-five percent of people living with the human immunodeficiency virus (HIV) reside in South Africa. The coincidence of breast cancer and HIV infection is therefore common in South Africa. There is a perception that systemic and local surgical complications are more common in HIV-infected patients, and that these patients tolerate chemo- and radiotherapy poorly.\nAim\nThe aim of the study was to determine the effect of HIV infection on the management of breast cancer by comparing HIV-infected to -noninfected patients. The outcomes of surgery and adjuvant/neoadjuvant therapy were examined in these groups.\nMethod\nThe study was performed at the Steve Biko Academic Hospital, Pretoria, South Africa, during 2009–2014. Patients scheduled for surgery for breast cancer were recruited prospectively and their HIV status was determined. All patients were managed according to standard guidelines for breast cancer. Patients were followed up for 30 days and local and systemic surgical complications documented. Completion or non-completion of courses of chemo- and radiotherapy, and reasons for non-completion were documented. HIV-infected and -noninfected patients respectively were grouped, and compared statistically.\nResults\nOne hundred and sixty patients (31 HIV-infected) were included. The frequency of surgical complications did not differ significantly between HIV-noninfected and infected patients (p = 0.08), more occurring in the HIV-noninfected patients. The risk ratio of HIV infection for surgical complications was 0.20 and the odds ratio 0.23. The completion of courses of chemo- and radiotherapy did not differ between the HIV-infected and –noninfected patients. Twenty-five of 27 HIV-infected patients (93%) and 100 of 113 HIV-noninfected patients (94%) completed their courses of chemotherapy (p = 0.68). Twelve of 14 HIV-infected patients (86%) and 40 of 41 HIV-noninfected patients (98%) completed their courses of radiotherapy (p = 0.16).\nConclusion\nThese results suggest that HIV-infected patients with breast cancer do not experience more treatment-related complications and can be treated according to standard guidelines.","container-title":"International Journal of Surgery","DOI":"10.1016/j.ijsu.2016.08.520","ISSN":"1743-9191","journalAbbreviation":"International Journal of Surgery","page":"109-115","source":"ScienceDirect","title":"The effect of HIV infection on the surgical, chemo- and radiotherapy management of breast cancer. A prospective cohort study","volume":"34","author":[{"family":"Phakathi","given":"Boitumelo P."},{"family":"Basson","given":"Gerhard"},{"family":"Karusseit","given":"Victor O. L."},{"family":"Olorunju","given":"Steve A. S."},{"family":"Mokoena","given":"Taole"}],"issued":{"date-parts":[["2016",10,1]]}}}],"schema":"https://github.com/citation-style-language/schema/raw/master/csl-citation.json"}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[9]</w:t>
            </w:r>
            <w:r w:rsidRPr="00BF210F">
              <w:rPr>
                <w:rFonts w:cs="Arial"/>
                <w:sz w:val="18"/>
                <w:szCs w:val="20"/>
                <w:lang w:val="en-US"/>
              </w:rPr>
              <w:fldChar w:fldCharType="end"/>
            </w:r>
          </w:p>
        </w:tc>
        <w:tc>
          <w:tcPr>
            <w:tcW w:w="1275" w:type="dxa"/>
            <w:tcBorders>
              <w:left w:val="nil"/>
              <w:right w:val="nil"/>
            </w:tcBorders>
            <w:vAlign w:val="center"/>
          </w:tcPr>
          <w:p w14:paraId="7DE65860" w14:textId="14357123" w:rsidR="002775E5" w:rsidRPr="00BF210F" w:rsidRDefault="002775E5" w:rsidP="002775E5">
            <w:pPr>
              <w:rPr>
                <w:rFonts w:cs="Arial"/>
                <w:sz w:val="18"/>
                <w:szCs w:val="20"/>
              </w:rPr>
            </w:pPr>
            <w:r w:rsidRPr="00BF210F">
              <w:rPr>
                <w:rFonts w:cs="Arial"/>
                <w:sz w:val="18"/>
                <w:szCs w:val="20"/>
              </w:rPr>
              <w:t>Median: 41.0 (SD 8.6)</w:t>
            </w:r>
          </w:p>
        </w:tc>
        <w:tc>
          <w:tcPr>
            <w:tcW w:w="1276" w:type="dxa"/>
            <w:tcBorders>
              <w:left w:val="nil"/>
              <w:right w:val="nil"/>
            </w:tcBorders>
            <w:vAlign w:val="center"/>
          </w:tcPr>
          <w:p w14:paraId="1299998E" w14:textId="0CCE4681" w:rsidR="002775E5" w:rsidRPr="00BF210F" w:rsidRDefault="002775E5" w:rsidP="002775E5">
            <w:pPr>
              <w:rPr>
                <w:rFonts w:cs="Arial"/>
                <w:sz w:val="18"/>
                <w:szCs w:val="20"/>
              </w:rPr>
            </w:pPr>
            <w:r w:rsidRPr="00BF210F">
              <w:rPr>
                <w:rFonts w:cs="Arial"/>
                <w:sz w:val="18"/>
                <w:szCs w:val="20"/>
              </w:rPr>
              <w:t>Median: 55.0 (SD 13.9)</w:t>
            </w:r>
          </w:p>
        </w:tc>
        <w:tc>
          <w:tcPr>
            <w:tcW w:w="885" w:type="dxa"/>
            <w:tcBorders>
              <w:left w:val="nil"/>
              <w:right w:val="nil"/>
            </w:tcBorders>
            <w:shd w:val="clear" w:color="auto" w:fill="F2F2F2" w:themeFill="background1" w:themeFillShade="F2"/>
            <w:vAlign w:val="center"/>
          </w:tcPr>
          <w:p w14:paraId="29A48892" w14:textId="77777777" w:rsidR="002775E5" w:rsidRPr="00BF210F" w:rsidRDefault="002775E5" w:rsidP="002775E5">
            <w:pPr>
              <w:jc w:val="center"/>
              <w:rPr>
                <w:rFonts w:cs="Arial"/>
                <w:sz w:val="18"/>
                <w:szCs w:val="20"/>
              </w:rPr>
            </w:pPr>
            <w:r w:rsidRPr="00BF210F">
              <w:rPr>
                <w:rFonts w:cs="Arial"/>
                <w:sz w:val="18"/>
                <w:szCs w:val="20"/>
              </w:rPr>
              <w:t>31</w:t>
            </w:r>
          </w:p>
        </w:tc>
        <w:tc>
          <w:tcPr>
            <w:tcW w:w="886" w:type="dxa"/>
            <w:tcBorders>
              <w:left w:val="nil"/>
              <w:right w:val="nil"/>
            </w:tcBorders>
            <w:shd w:val="clear" w:color="auto" w:fill="F2F2F2" w:themeFill="background1" w:themeFillShade="F2"/>
            <w:vAlign w:val="center"/>
          </w:tcPr>
          <w:p w14:paraId="2818146B"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3ED41C5F" w14:textId="77777777" w:rsidR="002775E5" w:rsidRPr="00BF210F" w:rsidRDefault="002775E5" w:rsidP="002775E5">
            <w:pPr>
              <w:jc w:val="center"/>
              <w:rPr>
                <w:rFonts w:cs="Arial"/>
                <w:sz w:val="18"/>
                <w:szCs w:val="20"/>
              </w:rPr>
            </w:pPr>
            <w:r w:rsidRPr="00BF210F">
              <w:rPr>
                <w:rFonts w:cs="Arial"/>
                <w:sz w:val="18"/>
                <w:szCs w:val="20"/>
              </w:rPr>
              <w:t xml:space="preserve">29 </w:t>
            </w:r>
          </w:p>
          <w:p w14:paraId="6A5137A2" w14:textId="77777777" w:rsidR="002775E5" w:rsidRPr="00BF210F" w:rsidRDefault="002775E5" w:rsidP="002775E5">
            <w:pPr>
              <w:jc w:val="center"/>
              <w:rPr>
                <w:rFonts w:cs="Arial"/>
                <w:sz w:val="18"/>
                <w:szCs w:val="20"/>
              </w:rPr>
            </w:pPr>
            <w:r w:rsidRPr="00BF210F">
              <w:rPr>
                <w:rFonts w:cs="Arial"/>
                <w:sz w:val="18"/>
                <w:szCs w:val="20"/>
              </w:rPr>
              <w:t>(94%)</w:t>
            </w:r>
          </w:p>
        </w:tc>
        <w:tc>
          <w:tcPr>
            <w:tcW w:w="886" w:type="dxa"/>
            <w:tcBorders>
              <w:left w:val="nil"/>
              <w:right w:val="nil"/>
            </w:tcBorders>
            <w:shd w:val="clear" w:color="auto" w:fill="F2F2F2" w:themeFill="background1" w:themeFillShade="F2"/>
            <w:vAlign w:val="center"/>
          </w:tcPr>
          <w:p w14:paraId="48D03ADC" w14:textId="77777777" w:rsidR="002775E5" w:rsidRPr="00BF210F" w:rsidRDefault="002775E5" w:rsidP="002775E5">
            <w:pPr>
              <w:jc w:val="center"/>
              <w:rPr>
                <w:rFonts w:cs="Arial"/>
                <w:sz w:val="18"/>
                <w:szCs w:val="20"/>
              </w:rPr>
            </w:pPr>
            <w:r w:rsidRPr="00BF210F">
              <w:rPr>
                <w:rFonts w:cs="Arial"/>
                <w:sz w:val="18"/>
                <w:szCs w:val="20"/>
              </w:rPr>
              <w:t xml:space="preserve">27 </w:t>
            </w:r>
          </w:p>
          <w:p w14:paraId="776EF12C" w14:textId="77777777" w:rsidR="002775E5" w:rsidRPr="00BF210F" w:rsidRDefault="002775E5" w:rsidP="002775E5">
            <w:pPr>
              <w:jc w:val="center"/>
              <w:rPr>
                <w:rFonts w:cs="Arial"/>
                <w:sz w:val="18"/>
                <w:szCs w:val="20"/>
              </w:rPr>
            </w:pPr>
            <w:r w:rsidRPr="00BF210F">
              <w:rPr>
                <w:rFonts w:cs="Arial"/>
                <w:sz w:val="18"/>
                <w:szCs w:val="20"/>
              </w:rPr>
              <w:t>(87%)</w:t>
            </w:r>
          </w:p>
        </w:tc>
        <w:tc>
          <w:tcPr>
            <w:tcW w:w="886" w:type="dxa"/>
            <w:tcBorders>
              <w:left w:val="nil"/>
              <w:right w:val="nil"/>
            </w:tcBorders>
            <w:shd w:val="clear" w:color="auto" w:fill="F2F2F2" w:themeFill="background1" w:themeFillShade="F2"/>
            <w:vAlign w:val="center"/>
          </w:tcPr>
          <w:p w14:paraId="76270A5C" w14:textId="77777777" w:rsidR="002775E5" w:rsidRPr="00BF210F" w:rsidRDefault="002775E5" w:rsidP="002775E5">
            <w:pPr>
              <w:jc w:val="center"/>
              <w:rPr>
                <w:rFonts w:cs="Arial"/>
                <w:sz w:val="18"/>
                <w:szCs w:val="20"/>
              </w:rPr>
            </w:pPr>
            <w:r w:rsidRPr="00BF210F">
              <w:rPr>
                <w:rFonts w:cs="Arial"/>
                <w:sz w:val="18"/>
                <w:szCs w:val="20"/>
              </w:rPr>
              <w:t xml:space="preserve">25 </w:t>
            </w:r>
          </w:p>
          <w:p w14:paraId="52C5627B" w14:textId="77777777" w:rsidR="002775E5" w:rsidRPr="00BF210F" w:rsidRDefault="002775E5" w:rsidP="002775E5">
            <w:pPr>
              <w:jc w:val="center"/>
              <w:rPr>
                <w:rFonts w:cs="Arial"/>
                <w:sz w:val="18"/>
                <w:szCs w:val="20"/>
              </w:rPr>
            </w:pPr>
            <w:r w:rsidRPr="00BF210F">
              <w:rPr>
                <w:rFonts w:cs="Arial"/>
                <w:sz w:val="18"/>
                <w:szCs w:val="20"/>
              </w:rPr>
              <w:t>(93%)</w:t>
            </w:r>
          </w:p>
        </w:tc>
        <w:tc>
          <w:tcPr>
            <w:tcW w:w="886" w:type="dxa"/>
            <w:tcBorders>
              <w:left w:val="nil"/>
              <w:right w:val="nil"/>
            </w:tcBorders>
            <w:shd w:val="clear" w:color="auto" w:fill="F2F2F2" w:themeFill="background1" w:themeFillShade="F2"/>
            <w:vAlign w:val="center"/>
          </w:tcPr>
          <w:p w14:paraId="795FFAA5" w14:textId="77777777" w:rsidR="002775E5" w:rsidRPr="00BF210F" w:rsidRDefault="002775E5" w:rsidP="002775E5">
            <w:pPr>
              <w:jc w:val="center"/>
              <w:rPr>
                <w:rFonts w:cs="Arial"/>
                <w:sz w:val="18"/>
                <w:szCs w:val="20"/>
              </w:rPr>
            </w:pPr>
            <w:r w:rsidRPr="00BF210F">
              <w:rPr>
                <w:rFonts w:cs="Arial"/>
                <w:sz w:val="18"/>
                <w:szCs w:val="20"/>
              </w:rPr>
              <w:t xml:space="preserve">14 </w:t>
            </w:r>
          </w:p>
          <w:p w14:paraId="721F96B5" w14:textId="77777777" w:rsidR="002775E5" w:rsidRPr="00BF210F" w:rsidRDefault="002775E5" w:rsidP="002775E5">
            <w:pPr>
              <w:jc w:val="center"/>
              <w:rPr>
                <w:rFonts w:cs="Arial"/>
                <w:sz w:val="18"/>
                <w:szCs w:val="20"/>
              </w:rPr>
            </w:pPr>
            <w:r w:rsidRPr="00BF210F">
              <w:rPr>
                <w:rFonts w:cs="Arial"/>
                <w:sz w:val="18"/>
                <w:szCs w:val="20"/>
              </w:rPr>
              <w:t>(45%)</w:t>
            </w:r>
          </w:p>
        </w:tc>
        <w:tc>
          <w:tcPr>
            <w:tcW w:w="886" w:type="dxa"/>
            <w:tcBorders>
              <w:left w:val="nil"/>
              <w:right w:val="nil"/>
            </w:tcBorders>
            <w:vAlign w:val="center"/>
          </w:tcPr>
          <w:p w14:paraId="40E586E1" w14:textId="77777777" w:rsidR="002775E5" w:rsidRPr="00BF210F" w:rsidRDefault="002775E5" w:rsidP="002775E5">
            <w:pPr>
              <w:jc w:val="center"/>
              <w:rPr>
                <w:rFonts w:cs="Arial"/>
                <w:sz w:val="18"/>
                <w:szCs w:val="20"/>
              </w:rPr>
            </w:pPr>
            <w:r w:rsidRPr="00BF210F">
              <w:rPr>
                <w:rFonts w:cs="Arial"/>
                <w:sz w:val="18"/>
                <w:szCs w:val="20"/>
              </w:rPr>
              <w:t>129</w:t>
            </w:r>
          </w:p>
        </w:tc>
        <w:tc>
          <w:tcPr>
            <w:tcW w:w="886" w:type="dxa"/>
            <w:tcBorders>
              <w:left w:val="nil"/>
              <w:right w:val="nil"/>
            </w:tcBorders>
            <w:vAlign w:val="center"/>
          </w:tcPr>
          <w:p w14:paraId="40743995"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45D1ECC9" w14:textId="77777777" w:rsidR="002775E5" w:rsidRPr="00BF210F" w:rsidRDefault="002775E5" w:rsidP="002775E5">
            <w:pPr>
              <w:jc w:val="center"/>
              <w:rPr>
                <w:rFonts w:cs="Arial"/>
                <w:sz w:val="18"/>
                <w:szCs w:val="20"/>
              </w:rPr>
            </w:pPr>
            <w:r w:rsidRPr="00BF210F">
              <w:rPr>
                <w:rFonts w:cs="Arial"/>
                <w:sz w:val="18"/>
                <w:szCs w:val="20"/>
              </w:rPr>
              <w:t>124 (96%)</w:t>
            </w:r>
          </w:p>
        </w:tc>
        <w:tc>
          <w:tcPr>
            <w:tcW w:w="886" w:type="dxa"/>
            <w:tcBorders>
              <w:left w:val="nil"/>
              <w:right w:val="nil"/>
            </w:tcBorders>
            <w:vAlign w:val="center"/>
          </w:tcPr>
          <w:p w14:paraId="2175A4D3" w14:textId="77777777" w:rsidR="002775E5" w:rsidRPr="00BF210F" w:rsidRDefault="002775E5" w:rsidP="002775E5">
            <w:pPr>
              <w:jc w:val="center"/>
              <w:rPr>
                <w:rFonts w:cs="Arial"/>
                <w:color w:val="000000"/>
                <w:sz w:val="18"/>
                <w:szCs w:val="20"/>
              </w:rPr>
            </w:pPr>
            <w:r w:rsidRPr="00BF210F">
              <w:rPr>
                <w:rFonts w:cs="Arial"/>
                <w:color w:val="000000"/>
                <w:sz w:val="18"/>
                <w:szCs w:val="20"/>
              </w:rPr>
              <w:t>113 (88%)</w:t>
            </w:r>
          </w:p>
        </w:tc>
        <w:tc>
          <w:tcPr>
            <w:tcW w:w="886" w:type="dxa"/>
            <w:tcBorders>
              <w:left w:val="nil"/>
              <w:right w:val="nil"/>
            </w:tcBorders>
            <w:vAlign w:val="center"/>
          </w:tcPr>
          <w:p w14:paraId="39410945" w14:textId="77777777" w:rsidR="002775E5" w:rsidRPr="00BF210F" w:rsidRDefault="002775E5" w:rsidP="002775E5">
            <w:pPr>
              <w:jc w:val="center"/>
              <w:rPr>
                <w:rFonts w:cs="Arial"/>
                <w:color w:val="000000"/>
                <w:sz w:val="18"/>
                <w:szCs w:val="20"/>
              </w:rPr>
            </w:pPr>
            <w:r w:rsidRPr="00BF210F">
              <w:rPr>
                <w:rFonts w:cs="Arial"/>
                <w:color w:val="000000"/>
                <w:sz w:val="18"/>
                <w:szCs w:val="20"/>
              </w:rPr>
              <w:t>106 (94%)</w:t>
            </w:r>
          </w:p>
        </w:tc>
        <w:tc>
          <w:tcPr>
            <w:tcW w:w="886" w:type="dxa"/>
            <w:tcBorders>
              <w:left w:val="nil"/>
              <w:right w:val="nil"/>
            </w:tcBorders>
            <w:vAlign w:val="center"/>
          </w:tcPr>
          <w:p w14:paraId="0F0D7502" w14:textId="77777777" w:rsidR="002775E5" w:rsidRPr="00BF210F" w:rsidRDefault="002775E5" w:rsidP="002775E5">
            <w:pPr>
              <w:jc w:val="center"/>
              <w:rPr>
                <w:rFonts w:cs="Arial"/>
                <w:color w:val="000000"/>
                <w:sz w:val="18"/>
                <w:szCs w:val="20"/>
              </w:rPr>
            </w:pPr>
            <w:r w:rsidRPr="00BF210F">
              <w:rPr>
                <w:rFonts w:cs="Arial"/>
                <w:color w:val="000000"/>
                <w:sz w:val="18"/>
                <w:szCs w:val="20"/>
              </w:rPr>
              <w:t xml:space="preserve">41 </w:t>
            </w:r>
          </w:p>
          <w:p w14:paraId="124E9882" w14:textId="77777777" w:rsidR="002775E5" w:rsidRPr="00BF210F" w:rsidRDefault="002775E5" w:rsidP="002775E5">
            <w:pPr>
              <w:jc w:val="center"/>
              <w:rPr>
                <w:rFonts w:cs="Arial"/>
                <w:color w:val="000000"/>
                <w:sz w:val="18"/>
                <w:szCs w:val="20"/>
              </w:rPr>
            </w:pPr>
            <w:r w:rsidRPr="00BF210F">
              <w:rPr>
                <w:rFonts w:cs="Arial"/>
                <w:color w:val="000000"/>
                <w:sz w:val="18"/>
                <w:szCs w:val="20"/>
              </w:rPr>
              <w:t>(32%)</w:t>
            </w:r>
          </w:p>
        </w:tc>
      </w:tr>
      <w:tr w:rsidR="002775E5" w:rsidRPr="00BF210F" w14:paraId="72EB764B" w14:textId="77777777" w:rsidTr="007C25F8">
        <w:tc>
          <w:tcPr>
            <w:tcW w:w="1844" w:type="dxa"/>
            <w:tcBorders>
              <w:left w:val="nil"/>
              <w:right w:val="nil"/>
            </w:tcBorders>
            <w:vAlign w:val="center"/>
          </w:tcPr>
          <w:p w14:paraId="0C3206B4" w14:textId="66AF9629" w:rsidR="002775E5" w:rsidRPr="00BF210F" w:rsidRDefault="002775E5" w:rsidP="002775E5">
            <w:pPr>
              <w:rPr>
                <w:rFonts w:cs="Arial"/>
                <w:sz w:val="18"/>
                <w:szCs w:val="20"/>
                <w:lang w:val="en-US"/>
              </w:rPr>
            </w:pPr>
            <w:r w:rsidRPr="00BF210F">
              <w:rPr>
                <w:rFonts w:cs="Arial"/>
                <w:sz w:val="18"/>
                <w:szCs w:val="20"/>
                <w:lang w:val="en-US"/>
              </w:rPr>
              <w:t>Langenhoven et al (2016)</w:t>
            </w:r>
            <w:r w:rsidRPr="00BF210F">
              <w:rPr>
                <w:rFonts w:cs="Arial"/>
                <w:sz w:val="18"/>
                <w:szCs w:val="20"/>
                <w:lang w:val="en-US"/>
              </w:rPr>
              <w:fldChar w:fldCharType="begin"/>
            </w:r>
            <w:r w:rsidR="0064139E">
              <w:rPr>
                <w:rFonts w:cs="Arial"/>
                <w:sz w:val="18"/>
                <w:szCs w:val="20"/>
                <w:lang w:val="en-US"/>
              </w:rPr>
              <w:instrText xml:space="preserve"> ADDIN ZOTERO_ITEM CSL_CITATION {"citationID":"4albhIVv","properties":{"formattedCitation":"[10]","plainCitation":"[10]","noteIndex":0},"citationItems":[{"id":2167,"uris":["http://zotero.org/users/4481446/items/AQ7RUX24"],"uri":["http://zotero.org/users/4481446/items/AQ7RUX24"],"itemData":{"id":2167,"type":"article-journal","abstract":"PurposeAn estimated 5.9 million people in South Africa are infected with HIV. Because antiretroviral therapy has made infection with HIV a treatable, chronic condition, HIV-infected individuals are now surviving to middle and older age. We investigated the implications of HIV status for breast cancer in South Africa.MethodsWe compared clinical and demographic characteristics of women newly diagnosed with a first primary breast cancer at Tygerberg Hospital, Cape Town, South Africa, from January 2010 to December 2011 by HIV status. We then compared HIV-positive patients with HIV-negative controls, matched 2:1 on age and ethnicity, with respect to chemotherapy regimens, toxicities, completion of systemic chemotherapy, and changes in CD4 cell count.ResultsOf 586 women with breast cancer, 31 (5.3%) were HIV positive, 420 (71.7%) were HIV negative, and 135 (23%) were untested for HIV. Women with HIV were younger than other women (P &lt; .001). The groups did not differ in regard to stage at presentation, histologic subtype, tumor grade, nodal involvement, or hormone receptor positivity. More than 84% of patients who initiated systemic chemotherapy, regardless of HIV status, completed it without serious toxicity. Among HIV-positive patients receiving chemotherapy, the mean baseline CD4 cell count was 477 cells/µL (standard deviation, 160 cells/µL), and the mean nadir was 333 cells/µL (standard deviation, 166 cells/µL).ConclusionHIV-infected women were younger at breast cancer diagnosis than HIV-negative women but otherwise similar in phenotype and completion of chemotherapy. Longer term follow-up is needed to evaluate the effects of HIV, antiretroviral therapy, and chemotherapy on the survival and quality of life of patients with breast cancer.","container-title":"Journal of Global Oncology","DOI":"10.1200/JGO.2015.002451","issue":"5","journalAbbreviation":"JGO","page":"284-291","source":"ascopubs.org (Atypon)","title":"Phenotype and Treatment of Breast Cancer in HIV-Positive and -Negative Women in Cape Town, South Africa","volume":"2","author":[{"family":"Langenhoven","given":"Lizanne"},{"family":"Barnardt","given":"Pieter"},{"family":"Neugut","given":"Alfred I."},{"family":"Jacobson","given":"Judith S."}],"issued":{"date-parts":[["2016",3,30]]}}}],"schema":"https://github.com/citation-style-language/schema/raw/master/csl-citation.json"}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[10]</w:t>
            </w:r>
            <w:r w:rsidRPr="00BF210F">
              <w:rPr>
                <w:rFonts w:cs="Arial"/>
                <w:sz w:val="18"/>
                <w:szCs w:val="20"/>
                <w:lang w:val="en-US"/>
              </w:rPr>
              <w:fldChar w:fldCharType="end"/>
            </w:r>
          </w:p>
        </w:tc>
        <w:tc>
          <w:tcPr>
            <w:tcW w:w="1275" w:type="dxa"/>
            <w:tcBorders>
              <w:left w:val="nil"/>
              <w:right w:val="nil"/>
            </w:tcBorders>
            <w:vAlign w:val="center"/>
          </w:tcPr>
          <w:p w14:paraId="4A9DEC12" w14:textId="4EED7278" w:rsidR="002775E5" w:rsidRPr="00BF210F" w:rsidRDefault="002775E5" w:rsidP="002775E5">
            <w:pPr>
              <w:rPr>
                <w:rFonts w:cs="Arial"/>
                <w:sz w:val="18"/>
                <w:szCs w:val="20"/>
              </w:rPr>
            </w:pPr>
            <w:r w:rsidRPr="00BF210F">
              <w:rPr>
                <w:rFonts w:cs="Arial"/>
                <w:sz w:val="18"/>
                <w:szCs w:val="20"/>
              </w:rPr>
              <w:t>Median: 42.0 (range 29-60)</w:t>
            </w:r>
          </w:p>
        </w:tc>
        <w:tc>
          <w:tcPr>
            <w:tcW w:w="1276" w:type="dxa"/>
            <w:tcBorders>
              <w:left w:val="nil"/>
              <w:right w:val="nil"/>
            </w:tcBorders>
            <w:vAlign w:val="center"/>
          </w:tcPr>
          <w:p w14:paraId="7637D0AC" w14:textId="1701A409" w:rsidR="002775E5" w:rsidRPr="00BF210F" w:rsidRDefault="002775E5" w:rsidP="002775E5">
            <w:pPr>
              <w:rPr>
                <w:rFonts w:cs="Arial"/>
                <w:sz w:val="18"/>
                <w:szCs w:val="20"/>
              </w:rPr>
            </w:pPr>
            <w:r w:rsidRPr="00BF210F">
              <w:rPr>
                <w:rFonts w:cs="Arial"/>
                <w:sz w:val="18"/>
                <w:szCs w:val="20"/>
              </w:rPr>
              <w:t>Median: 54.0 (range 20-91)</w:t>
            </w:r>
          </w:p>
        </w:tc>
        <w:tc>
          <w:tcPr>
            <w:tcW w:w="885" w:type="dxa"/>
            <w:tcBorders>
              <w:left w:val="nil"/>
              <w:right w:val="nil"/>
            </w:tcBorders>
            <w:shd w:val="clear" w:color="auto" w:fill="F2F2F2" w:themeFill="background1" w:themeFillShade="F2"/>
            <w:vAlign w:val="center"/>
          </w:tcPr>
          <w:p w14:paraId="564D59E8" w14:textId="77777777" w:rsidR="002775E5" w:rsidRPr="00BF210F" w:rsidRDefault="002775E5" w:rsidP="002775E5">
            <w:pPr>
              <w:jc w:val="center"/>
              <w:rPr>
                <w:rFonts w:cs="Arial"/>
                <w:color w:val="000000"/>
                <w:sz w:val="18"/>
                <w:szCs w:val="20"/>
              </w:rPr>
            </w:pPr>
            <w:r w:rsidRPr="00BF210F">
              <w:rPr>
                <w:rFonts w:cs="Arial"/>
                <w:color w:val="000000"/>
                <w:sz w:val="18"/>
                <w:szCs w:val="20"/>
              </w:rPr>
              <w:t>31</w:t>
            </w:r>
          </w:p>
        </w:tc>
        <w:tc>
          <w:tcPr>
            <w:tcW w:w="886" w:type="dxa"/>
            <w:tcBorders>
              <w:left w:val="nil"/>
              <w:right w:val="nil"/>
            </w:tcBorders>
            <w:shd w:val="clear" w:color="auto" w:fill="F2F2F2" w:themeFill="background1" w:themeFillShade="F2"/>
            <w:vAlign w:val="center"/>
          </w:tcPr>
          <w:p w14:paraId="707F0A32"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54B7161A"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0ED7B9B1" w14:textId="77777777" w:rsidR="002775E5" w:rsidRPr="00BF210F" w:rsidRDefault="002775E5" w:rsidP="002775E5">
            <w:pPr>
              <w:jc w:val="center"/>
              <w:rPr>
                <w:rFonts w:cs="Arial"/>
                <w:color w:val="000000"/>
                <w:sz w:val="18"/>
                <w:szCs w:val="20"/>
              </w:rPr>
            </w:pPr>
            <w:r w:rsidRPr="00BF210F">
              <w:rPr>
                <w:rFonts w:cs="Arial"/>
                <w:color w:val="000000"/>
                <w:sz w:val="18"/>
                <w:szCs w:val="20"/>
              </w:rPr>
              <w:t xml:space="preserve">19 </w:t>
            </w:r>
          </w:p>
          <w:p w14:paraId="04FB7167" w14:textId="77777777" w:rsidR="002775E5" w:rsidRPr="00BF210F" w:rsidRDefault="002775E5" w:rsidP="002775E5">
            <w:pPr>
              <w:jc w:val="center"/>
              <w:rPr>
                <w:rFonts w:cs="Arial"/>
                <w:color w:val="000000"/>
                <w:sz w:val="18"/>
                <w:szCs w:val="20"/>
              </w:rPr>
            </w:pPr>
            <w:r w:rsidRPr="00BF210F">
              <w:rPr>
                <w:rFonts w:cs="Arial"/>
                <w:color w:val="000000"/>
                <w:sz w:val="18"/>
                <w:szCs w:val="20"/>
              </w:rPr>
              <w:t>(61%)</w:t>
            </w:r>
          </w:p>
        </w:tc>
        <w:tc>
          <w:tcPr>
            <w:tcW w:w="886" w:type="dxa"/>
            <w:tcBorders>
              <w:left w:val="nil"/>
              <w:right w:val="nil"/>
            </w:tcBorders>
            <w:shd w:val="clear" w:color="auto" w:fill="F2F2F2" w:themeFill="background1" w:themeFillShade="F2"/>
            <w:vAlign w:val="center"/>
          </w:tcPr>
          <w:p w14:paraId="3D3A3570" w14:textId="77777777" w:rsidR="002775E5" w:rsidRPr="00BF210F" w:rsidRDefault="002775E5" w:rsidP="002775E5">
            <w:pPr>
              <w:jc w:val="center"/>
              <w:rPr>
                <w:rFonts w:cs="Arial"/>
                <w:color w:val="000000"/>
                <w:sz w:val="18"/>
                <w:szCs w:val="20"/>
              </w:rPr>
            </w:pPr>
            <w:r w:rsidRPr="00BF210F">
              <w:rPr>
                <w:rFonts w:cs="Arial"/>
                <w:color w:val="000000"/>
                <w:sz w:val="18"/>
                <w:szCs w:val="20"/>
              </w:rPr>
              <w:t xml:space="preserve">16 </w:t>
            </w:r>
          </w:p>
          <w:p w14:paraId="7D20EC4A" w14:textId="77777777" w:rsidR="002775E5" w:rsidRPr="00BF210F" w:rsidRDefault="002775E5" w:rsidP="002775E5">
            <w:pPr>
              <w:jc w:val="center"/>
              <w:rPr>
                <w:rFonts w:cs="Arial"/>
                <w:color w:val="000000"/>
                <w:sz w:val="18"/>
                <w:szCs w:val="20"/>
              </w:rPr>
            </w:pPr>
            <w:r w:rsidRPr="00BF210F">
              <w:rPr>
                <w:rFonts w:cs="Arial"/>
                <w:color w:val="000000"/>
                <w:sz w:val="18"/>
                <w:szCs w:val="20"/>
              </w:rPr>
              <w:t>(84%)</w:t>
            </w:r>
          </w:p>
        </w:tc>
        <w:tc>
          <w:tcPr>
            <w:tcW w:w="886" w:type="dxa"/>
            <w:tcBorders>
              <w:left w:val="nil"/>
              <w:right w:val="nil"/>
            </w:tcBorders>
            <w:shd w:val="clear" w:color="auto" w:fill="F2F2F2" w:themeFill="background1" w:themeFillShade="F2"/>
            <w:vAlign w:val="center"/>
          </w:tcPr>
          <w:p w14:paraId="7315D495"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27894227" w14:textId="77777777" w:rsidR="002775E5" w:rsidRPr="00BF210F" w:rsidRDefault="002775E5" w:rsidP="002775E5">
            <w:pPr>
              <w:jc w:val="center"/>
              <w:rPr>
                <w:rFonts w:cs="Arial"/>
                <w:color w:val="000000"/>
                <w:sz w:val="18"/>
                <w:szCs w:val="20"/>
              </w:rPr>
            </w:pPr>
            <w:r w:rsidRPr="00BF210F">
              <w:rPr>
                <w:rFonts w:cs="Arial"/>
                <w:color w:val="000000"/>
                <w:sz w:val="18"/>
                <w:szCs w:val="20"/>
              </w:rPr>
              <w:t>39</w:t>
            </w:r>
          </w:p>
        </w:tc>
        <w:tc>
          <w:tcPr>
            <w:tcW w:w="886" w:type="dxa"/>
            <w:tcBorders>
              <w:left w:val="nil"/>
              <w:right w:val="nil"/>
            </w:tcBorders>
            <w:vAlign w:val="center"/>
          </w:tcPr>
          <w:p w14:paraId="57BBACE8"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55E518D8"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50F70B22" w14:textId="77777777" w:rsidR="002775E5" w:rsidRPr="00BF210F" w:rsidRDefault="002775E5" w:rsidP="002775E5">
            <w:pPr>
              <w:jc w:val="center"/>
              <w:rPr>
                <w:rFonts w:cs="Arial"/>
                <w:sz w:val="18"/>
                <w:szCs w:val="20"/>
              </w:rPr>
            </w:pPr>
            <w:r w:rsidRPr="00BF210F">
              <w:rPr>
                <w:rFonts w:cs="Arial"/>
                <w:sz w:val="18"/>
                <w:szCs w:val="20"/>
              </w:rPr>
              <w:t>39 (100%)</w:t>
            </w:r>
          </w:p>
        </w:tc>
        <w:tc>
          <w:tcPr>
            <w:tcW w:w="886" w:type="dxa"/>
            <w:tcBorders>
              <w:left w:val="nil"/>
              <w:right w:val="nil"/>
            </w:tcBorders>
            <w:vAlign w:val="center"/>
          </w:tcPr>
          <w:p w14:paraId="3072EA13" w14:textId="77777777" w:rsidR="002775E5" w:rsidRPr="00BF210F" w:rsidRDefault="002775E5" w:rsidP="002775E5">
            <w:pPr>
              <w:jc w:val="center"/>
              <w:rPr>
                <w:rFonts w:cs="Arial"/>
                <w:color w:val="000000"/>
                <w:sz w:val="18"/>
                <w:szCs w:val="20"/>
              </w:rPr>
            </w:pPr>
            <w:r w:rsidRPr="00BF210F">
              <w:rPr>
                <w:rFonts w:cs="Arial"/>
                <w:color w:val="000000"/>
                <w:sz w:val="18"/>
                <w:szCs w:val="20"/>
              </w:rPr>
              <w:t xml:space="preserve">33 </w:t>
            </w:r>
          </w:p>
          <w:p w14:paraId="438AA2C2" w14:textId="77777777" w:rsidR="002775E5" w:rsidRPr="00BF210F" w:rsidRDefault="002775E5" w:rsidP="002775E5">
            <w:pPr>
              <w:jc w:val="center"/>
              <w:rPr>
                <w:rFonts w:cs="Arial"/>
                <w:color w:val="000000"/>
                <w:sz w:val="18"/>
                <w:szCs w:val="20"/>
              </w:rPr>
            </w:pPr>
            <w:r w:rsidRPr="00BF210F">
              <w:rPr>
                <w:rFonts w:cs="Arial"/>
                <w:color w:val="000000"/>
                <w:sz w:val="18"/>
                <w:szCs w:val="20"/>
              </w:rPr>
              <w:t>(85%)</w:t>
            </w:r>
          </w:p>
        </w:tc>
        <w:tc>
          <w:tcPr>
            <w:tcW w:w="886" w:type="dxa"/>
            <w:tcBorders>
              <w:left w:val="nil"/>
              <w:right w:val="nil"/>
            </w:tcBorders>
            <w:vAlign w:val="center"/>
          </w:tcPr>
          <w:p w14:paraId="3892CDBC" w14:textId="77777777" w:rsidR="002775E5" w:rsidRPr="00BF210F" w:rsidRDefault="002775E5" w:rsidP="002775E5">
            <w:pPr>
              <w:jc w:val="center"/>
              <w:rPr>
                <w:rFonts w:cs="Arial"/>
                <w:sz w:val="18"/>
                <w:szCs w:val="20"/>
              </w:rPr>
            </w:pPr>
            <w:r w:rsidRPr="00BF210F">
              <w:rPr>
                <w:rFonts w:cs="Arial"/>
                <w:sz w:val="18"/>
                <w:szCs w:val="20"/>
              </w:rPr>
              <w:t>NR</w:t>
            </w:r>
          </w:p>
        </w:tc>
      </w:tr>
      <w:tr w:rsidR="002775E5" w:rsidRPr="00BF210F" w14:paraId="187595DD" w14:textId="77777777" w:rsidTr="007C25F8">
        <w:tc>
          <w:tcPr>
            <w:tcW w:w="1844" w:type="dxa"/>
            <w:tcBorders>
              <w:left w:val="nil"/>
              <w:right w:val="nil"/>
            </w:tcBorders>
            <w:vAlign w:val="center"/>
          </w:tcPr>
          <w:p w14:paraId="4E2602A6" w14:textId="2089EC4D" w:rsidR="002775E5" w:rsidRPr="00BF210F" w:rsidRDefault="002775E5" w:rsidP="002775E5">
            <w:pPr>
              <w:rPr>
                <w:rFonts w:cs="Arial"/>
                <w:sz w:val="18"/>
                <w:szCs w:val="20"/>
                <w:lang w:val="en-US"/>
              </w:rPr>
            </w:pPr>
            <w:r w:rsidRPr="00BF210F">
              <w:rPr>
                <w:rFonts w:cs="Arial"/>
                <w:sz w:val="18"/>
                <w:szCs w:val="20"/>
                <w:lang w:val="en-US"/>
              </w:rPr>
              <w:t>Ngidi et al (2017)</w:t>
            </w:r>
            <w:r w:rsidRPr="00BF210F">
              <w:rPr>
                <w:rFonts w:cs="Arial"/>
                <w:sz w:val="18"/>
                <w:szCs w:val="20"/>
                <w:lang w:val="en-US"/>
              </w:rPr>
              <w:fldChar w:fldCharType="begin"/>
            </w:r>
            <w:r w:rsidR="0064139E">
              <w:rPr>
                <w:rFonts w:cs="Arial"/>
                <w:sz w:val="18"/>
                <w:szCs w:val="20"/>
                <w:lang w:val="en-US"/>
              </w:rPr>
              <w:instrText xml:space="preserve"> ADDIN ZOTERO_ITEM CSL_CITATION {"citationID":"BGG4mwya","properties":{"formattedCitation":"[11]","plainCitation":"[11]","noteIndex":0},"citationItems":[{"id":2154,"uris":["http://zotero.org/users/4481446/items/REQN86FA"],"uri":["http://zotero.org/users/4481446/items/REQN86FA"],"itemData":{"id":2154,"type":"article-journal","abstract":"Background. Chemotherapy-induced neutropenia (CIN) can result in poor tolerance of chemotherapy, leading to dose reductions, delays in therapy schedules, morbidity and mortality. Actively identifying predisposing risk factors before treatment is of paramount importance. We hypothesised that chemotherapy is associated with a greater increase in CIN and its complications in HIV-infected patients than in those who are not infected.Objective. To establish the incidence of CIN in HIV-infected and uninfected patients undergoing chemotherapy.Methods. A retrospective chart review and analysis was conducted in the oncology departments at Inkosi Albert Luthuli Central Hospital and Addington Hospital, Durban, South Africa. The study population consisted of 65 previously untreated women of all ages with stage II - IV breast cancer and known HIV status treated with neoadjuvant chemotherapy from January 2012 to December 2015.Results. HIV-infected patients formed 32.3% of the group, and 95.2% of them were on antiretroviral therapy. The mean age (standard deviation (SD)) of the cohort was 48.5 (13.2) years (40.6 (9.6) years for the HIV-infected group v. 52.0 (13.1) years for the uninfected group; p&lt;0.001). Ninety-five neutropenia episodes were observed (rate 0.85 per 1 year of follow-up time). Following multivariate adjustment, patients with HIV infection were almost two times more likely to develop CIN (hazard ratio (HR) 1.76, 95% confidence interval (CI) 1.06 - 2.92; p=0.029. A high baseline absolute neutrophil count (ANC) (HR 0.80, 95% CI 0.68 - 0.95; p=0.005) remained significantly associated with protection against CIN.Conclusions. HIV-infected patients were younger than those who were not infected, and presented at a more locally advanced stage of disease. HIV infection was an independent predictor for CIN. HIV-infected patients had an almost two-fold increased risk of developing CIN and developed neutropenia at a much faster rate. A high baseline white cell count and ANC were protective against CIN.","container-title":"South African Medical Journal","DOI":"10.7196/SAMJ.2017.v107i7.12309","ISSN":"2078-5135","issue":"7","page":"595-601-601","source":"www.samj.org.za","title":"Incidence of chemotherapy-induced neutropenia in HIV-infected and uninfected patients with breast cancer receiving neoadjuvant chemotherapy","volume":"107","author":[{"family":"Ngidi","given":"Sithembile"},{"family":"Magula","given":"Nombulelo"},{"family":"Sartorius","given":"Ben"},{"family":"Govender","given":"Pooven"},{"family":"Madiba","given":"Thandinkosi E."}],"issued":{"date-parts":[["2017",6,30]]}}}],"schema":"https://github.com/citation-style-language/schema/raw/master/csl-citation.json"}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[11]</w:t>
            </w:r>
            <w:r w:rsidRPr="00BF210F">
              <w:rPr>
                <w:rFonts w:cs="Arial"/>
                <w:sz w:val="18"/>
                <w:szCs w:val="20"/>
                <w:lang w:val="en-US"/>
              </w:rPr>
              <w:fldChar w:fldCharType="end"/>
            </w:r>
          </w:p>
        </w:tc>
        <w:tc>
          <w:tcPr>
            <w:tcW w:w="1275" w:type="dxa"/>
            <w:tcBorders>
              <w:left w:val="nil"/>
              <w:right w:val="nil"/>
            </w:tcBorders>
            <w:vAlign w:val="center"/>
          </w:tcPr>
          <w:p w14:paraId="3B597517" w14:textId="7E619513" w:rsidR="002775E5" w:rsidRPr="00BF210F" w:rsidRDefault="002775E5" w:rsidP="002775E5">
            <w:pPr>
              <w:rPr>
                <w:rFonts w:cs="Arial"/>
                <w:sz w:val="18"/>
                <w:szCs w:val="20"/>
              </w:rPr>
            </w:pPr>
            <w:r w:rsidRPr="00BF210F">
              <w:rPr>
                <w:rFonts w:cs="Arial"/>
                <w:sz w:val="18"/>
                <w:szCs w:val="20"/>
              </w:rPr>
              <w:t>Mean: 40.6 (SD 9.6)</w:t>
            </w:r>
          </w:p>
        </w:tc>
        <w:tc>
          <w:tcPr>
            <w:tcW w:w="1276" w:type="dxa"/>
            <w:tcBorders>
              <w:left w:val="nil"/>
              <w:right w:val="nil"/>
            </w:tcBorders>
            <w:vAlign w:val="center"/>
          </w:tcPr>
          <w:p w14:paraId="23406742" w14:textId="4BC34285" w:rsidR="002775E5" w:rsidRPr="00BF210F" w:rsidRDefault="002775E5" w:rsidP="002775E5">
            <w:pPr>
              <w:rPr>
                <w:rFonts w:cs="Arial"/>
                <w:sz w:val="18"/>
                <w:szCs w:val="20"/>
              </w:rPr>
            </w:pPr>
            <w:r w:rsidRPr="00BF210F">
              <w:rPr>
                <w:rFonts w:cs="Arial"/>
                <w:sz w:val="18"/>
                <w:szCs w:val="20"/>
              </w:rPr>
              <w:t>Mean: 52.0 (SD 13.1)</w:t>
            </w:r>
          </w:p>
        </w:tc>
        <w:tc>
          <w:tcPr>
            <w:tcW w:w="885" w:type="dxa"/>
            <w:tcBorders>
              <w:left w:val="nil"/>
              <w:right w:val="nil"/>
            </w:tcBorders>
            <w:shd w:val="clear" w:color="auto" w:fill="F2F2F2" w:themeFill="background1" w:themeFillShade="F2"/>
            <w:vAlign w:val="center"/>
          </w:tcPr>
          <w:p w14:paraId="78C6175B" w14:textId="77777777" w:rsidR="002775E5" w:rsidRPr="00BF210F" w:rsidRDefault="002775E5" w:rsidP="002775E5">
            <w:pPr>
              <w:jc w:val="center"/>
              <w:rPr>
                <w:rFonts w:cs="Arial"/>
                <w:color w:val="000000"/>
                <w:sz w:val="18"/>
                <w:szCs w:val="20"/>
              </w:rPr>
            </w:pPr>
            <w:r w:rsidRPr="00BF210F">
              <w:rPr>
                <w:rFonts w:cs="Arial"/>
                <w:color w:val="000000"/>
                <w:sz w:val="18"/>
                <w:szCs w:val="20"/>
              </w:rPr>
              <w:t>21</w:t>
            </w:r>
          </w:p>
        </w:tc>
        <w:tc>
          <w:tcPr>
            <w:tcW w:w="886" w:type="dxa"/>
            <w:tcBorders>
              <w:left w:val="nil"/>
              <w:right w:val="nil"/>
            </w:tcBorders>
            <w:shd w:val="clear" w:color="auto" w:fill="F2F2F2" w:themeFill="background1" w:themeFillShade="F2"/>
            <w:vAlign w:val="center"/>
          </w:tcPr>
          <w:p w14:paraId="627AE9BB"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20658586"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71C0304E" w14:textId="77777777" w:rsidR="002775E5" w:rsidRPr="00BF210F" w:rsidRDefault="002775E5" w:rsidP="002775E5">
            <w:pPr>
              <w:jc w:val="center"/>
              <w:rPr>
                <w:rFonts w:cs="Arial"/>
                <w:color w:val="000000"/>
                <w:sz w:val="18"/>
                <w:szCs w:val="20"/>
              </w:rPr>
            </w:pPr>
            <w:r w:rsidRPr="00BF210F">
              <w:rPr>
                <w:rFonts w:cs="Arial"/>
                <w:color w:val="000000"/>
                <w:sz w:val="18"/>
                <w:szCs w:val="20"/>
              </w:rPr>
              <w:t>21 (all)</w:t>
            </w:r>
          </w:p>
        </w:tc>
        <w:tc>
          <w:tcPr>
            <w:tcW w:w="886" w:type="dxa"/>
            <w:tcBorders>
              <w:left w:val="nil"/>
              <w:right w:val="nil"/>
            </w:tcBorders>
            <w:shd w:val="clear" w:color="auto" w:fill="F2F2F2" w:themeFill="background1" w:themeFillShade="F2"/>
            <w:vAlign w:val="center"/>
          </w:tcPr>
          <w:p w14:paraId="750A1D3D" w14:textId="77777777" w:rsidR="002775E5" w:rsidRPr="00BF210F" w:rsidRDefault="002775E5" w:rsidP="002775E5">
            <w:pPr>
              <w:jc w:val="center"/>
              <w:rPr>
                <w:rFonts w:cs="Arial"/>
                <w:color w:val="000000"/>
                <w:sz w:val="18"/>
                <w:szCs w:val="20"/>
              </w:rPr>
            </w:pPr>
            <w:r w:rsidRPr="00BF210F">
              <w:rPr>
                <w:rFonts w:cs="Arial"/>
                <w:color w:val="000000"/>
                <w:sz w:val="18"/>
                <w:szCs w:val="20"/>
              </w:rPr>
              <w:t xml:space="preserve">20 </w:t>
            </w:r>
          </w:p>
          <w:p w14:paraId="2010A592" w14:textId="77777777" w:rsidR="002775E5" w:rsidRPr="00BF210F" w:rsidRDefault="002775E5" w:rsidP="002775E5">
            <w:pPr>
              <w:jc w:val="center"/>
              <w:rPr>
                <w:rFonts w:cs="Arial"/>
                <w:color w:val="000000"/>
                <w:sz w:val="18"/>
                <w:szCs w:val="20"/>
              </w:rPr>
            </w:pPr>
            <w:r w:rsidRPr="00BF210F">
              <w:rPr>
                <w:rFonts w:cs="Arial"/>
                <w:color w:val="000000"/>
                <w:sz w:val="18"/>
                <w:szCs w:val="20"/>
              </w:rPr>
              <w:t>(95%)</w:t>
            </w:r>
          </w:p>
        </w:tc>
        <w:tc>
          <w:tcPr>
            <w:tcW w:w="886" w:type="dxa"/>
            <w:tcBorders>
              <w:left w:val="nil"/>
              <w:right w:val="nil"/>
            </w:tcBorders>
            <w:shd w:val="clear" w:color="auto" w:fill="F2F2F2" w:themeFill="background1" w:themeFillShade="F2"/>
            <w:vAlign w:val="center"/>
          </w:tcPr>
          <w:p w14:paraId="39ACA7FC"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2FB52F23" w14:textId="77777777" w:rsidR="002775E5" w:rsidRPr="00BF210F" w:rsidRDefault="002775E5" w:rsidP="002775E5">
            <w:pPr>
              <w:jc w:val="center"/>
              <w:rPr>
                <w:rFonts w:cs="Arial"/>
                <w:color w:val="000000"/>
                <w:sz w:val="18"/>
                <w:szCs w:val="20"/>
              </w:rPr>
            </w:pPr>
            <w:r w:rsidRPr="00BF210F">
              <w:rPr>
                <w:rFonts w:cs="Arial"/>
                <w:color w:val="000000"/>
                <w:sz w:val="18"/>
                <w:szCs w:val="20"/>
              </w:rPr>
              <w:t>44</w:t>
            </w:r>
          </w:p>
        </w:tc>
        <w:tc>
          <w:tcPr>
            <w:tcW w:w="886" w:type="dxa"/>
            <w:tcBorders>
              <w:left w:val="nil"/>
              <w:right w:val="nil"/>
            </w:tcBorders>
            <w:vAlign w:val="center"/>
          </w:tcPr>
          <w:p w14:paraId="54DE1B38"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67C71473"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5B686933" w14:textId="77777777" w:rsidR="002775E5" w:rsidRPr="00BF210F" w:rsidRDefault="002775E5" w:rsidP="002775E5">
            <w:pPr>
              <w:jc w:val="center"/>
              <w:rPr>
                <w:rFonts w:cs="Arial"/>
                <w:color w:val="000000"/>
                <w:sz w:val="18"/>
                <w:szCs w:val="20"/>
              </w:rPr>
            </w:pPr>
            <w:r w:rsidRPr="00BF210F">
              <w:rPr>
                <w:rFonts w:cs="Arial"/>
                <w:color w:val="000000"/>
                <w:sz w:val="18"/>
                <w:szCs w:val="20"/>
              </w:rPr>
              <w:t>44 (100%)</w:t>
            </w:r>
          </w:p>
        </w:tc>
        <w:tc>
          <w:tcPr>
            <w:tcW w:w="886" w:type="dxa"/>
            <w:tcBorders>
              <w:left w:val="nil"/>
              <w:right w:val="nil"/>
            </w:tcBorders>
            <w:vAlign w:val="center"/>
          </w:tcPr>
          <w:p w14:paraId="4F98B92B" w14:textId="77777777" w:rsidR="002775E5" w:rsidRPr="00BF210F" w:rsidRDefault="002775E5" w:rsidP="002775E5">
            <w:pPr>
              <w:jc w:val="center"/>
              <w:rPr>
                <w:rFonts w:cs="Arial"/>
                <w:color w:val="000000"/>
                <w:sz w:val="18"/>
                <w:szCs w:val="20"/>
              </w:rPr>
            </w:pPr>
            <w:r w:rsidRPr="00BF210F">
              <w:rPr>
                <w:rFonts w:cs="Arial"/>
                <w:color w:val="000000"/>
                <w:sz w:val="18"/>
                <w:szCs w:val="20"/>
              </w:rPr>
              <w:t>44 (100%)</w:t>
            </w:r>
          </w:p>
        </w:tc>
        <w:tc>
          <w:tcPr>
            <w:tcW w:w="886" w:type="dxa"/>
            <w:tcBorders>
              <w:left w:val="nil"/>
              <w:right w:val="nil"/>
            </w:tcBorders>
            <w:vAlign w:val="center"/>
          </w:tcPr>
          <w:p w14:paraId="31049930" w14:textId="77777777" w:rsidR="002775E5" w:rsidRPr="00BF210F" w:rsidRDefault="002775E5" w:rsidP="002775E5">
            <w:pPr>
              <w:jc w:val="center"/>
              <w:rPr>
                <w:rFonts w:cs="Arial"/>
                <w:sz w:val="18"/>
                <w:szCs w:val="20"/>
              </w:rPr>
            </w:pPr>
            <w:r w:rsidRPr="00BF210F">
              <w:rPr>
                <w:rFonts w:cs="Arial"/>
                <w:sz w:val="18"/>
                <w:szCs w:val="20"/>
              </w:rPr>
              <w:t>NR</w:t>
            </w:r>
          </w:p>
        </w:tc>
      </w:tr>
      <w:tr w:rsidR="002775E5" w:rsidRPr="00BF210F" w14:paraId="682E9D97" w14:textId="77777777" w:rsidTr="007C25F8">
        <w:tc>
          <w:tcPr>
            <w:tcW w:w="1844" w:type="dxa"/>
            <w:tcBorders>
              <w:left w:val="nil"/>
              <w:right w:val="nil"/>
            </w:tcBorders>
            <w:vAlign w:val="center"/>
          </w:tcPr>
          <w:p w14:paraId="72030770" w14:textId="4ACD2007" w:rsidR="002775E5" w:rsidRPr="00BF210F" w:rsidRDefault="002775E5" w:rsidP="002775E5">
            <w:pPr>
              <w:rPr>
                <w:rFonts w:cs="Arial"/>
                <w:sz w:val="18"/>
                <w:szCs w:val="20"/>
                <w:lang w:val="en-US"/>
              </w:rPr>
            </w:pPr>
            <w:r w:rsidRPr="00BF210F">
              <w:rPr>
                <w:rFonts w:cs="Arial"/>
                <w:sz w:val="18"/>
                <w:szCs w:val="20"/>
                <w:lang w:val="en-US"/>
              </w:rPr>
              <w:t>Presti et al (2017)</w:t>
            </w:r>
            <w:r w:rsidRPr="00BF210F">
              <w:rPr>
                <w:rFonts w:cs="Arial"/>
                <w:sz w:val="18"/>
                <w:szCs w:val="20"/>
                <w:lang w:val="en-US"/>
              </w:rPr>
              <w:fldChar w:fldCharType="begin"/>
            </w:r>
            <w:r w:rsidR="0064139E">
              <w:rPr>
                <w:rFonts w:cs="Arial"/>
                <w:sz w:val="18"/>
                <w:szCs w:val="20"/>
                <w:lang w:val="en-US"/>
              </w:rPr>
              <w:instrText xml:space="preserve"> ADDIN ZOTERO_ITEM CSL_CITATION {"citationID":"zhfyszOj","properties":{"formattedCitation":"[12]","plainCitation":"[12]","noteIndex":0},"citationItems":[{"id":2173,"uris":["http://zotero.org/users/4481446/items/48XW72YQ"],"uri":["http://zotero.org/users/4481446/items/48XW72YQ"],"itemData":{"id":2173,"type":"article-journal","abstract":"Purpose: The incidence of breast cancer in HIV-positive patients continues to increase as the population ages. There is limited data to support standard\nscreening, diagnosis, or treatment protocols for breast cancer in HIV-positive patients, and current standard of practice guidelines are derived from HIVnegative,\nnon-immunosuppressed patients. Because of the current HIV epidemic and high breast cancer mortality rate, we compared the characteristics of a\nunique population of HIV-positive women in the Baltimore-Washington, D.C. area with breast cancer.\nPatients and Methods: This study analyzed all breast cancer diagnoses in HIV-positive patients (N=43) from January 1, 2004 - December 31, 2014 at four\nhospitals in the Baltimore-Washington, D.C. area. Demographic comparisons were conducted using Fisher’s Exact test for categorical variables and t-tests for\ncontinuous variables.\nResults: The average age in years at breast cancer diagnosis was significantly lower in HIV positive individuals than the control (53 vs. 60, p=0.009). A\nsignificant difference was found in hormone receptor status for luminal B (ER+/PR-/HER2-), HER2 enriched (ER-/PR-/HER2+), and basal types (triple negative\nER-/PR-/HER2-), p=0.04, p=0.009, and p=0.002 respectively. However, no significant differences were found when comparing stage at diagnosis (p=0.31).\nChemotherapy was the only treatment administered at a statistically higher rate to HIV-positive patients when compared to the control (p=0.02).\nConclusions: In this small demographic study, HIV-positive breast cancer patients presented at a younger age, not unlike findings suggested in other large\nanalyses of non-AIDS-defining cancers in similar patient populations. This study further highlights the need for future research of breast cancer in HIV-positive\npatients to help guide preventive care guidelines for screening and diagnosis of breast cancer.","container-title":"J Prev Med Healthc","issue":"2","page":"1009","title":"Breast Cancer in HIV-positive Patients: A Multi-Institutional Retrospective Review.","volume":"1","author":[{"family":"Presti","given":"Cassandra"},{"family":"Haslinger","given":"Michelle L."},{"family":"Wehner","given":"Patricia"}],"issued":{"date-parts":[["2017",8,16]]}}}],"schema":"https://github.com/citation-style-language/schema/raw/master/csl-citation.json"}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[12]</w:t>
            </w:r>
            <w:r w:rsidRPr="00BF210F">
              <w:rPr>
                <w:rFonts w:cs="Arial"/>
                <w:sz w:val="18"/>
                <w:szCs w:val="20"/>
                <w:lang w:val="en-US"/>
              </w:rPr>
              <w:fldChar w:fldCharType="end"/>
            </w:r>
          </w:p>
        </w:tc>
        <w:tc>
          <w:tcPr>
            <w:tcW w:w="1275" w:type="dxa"/>
            <w:tcBorders>
              <w:left w:val="nil"/>
              <w:right w:val="nil"/>
            </w:tcBorders>
            <w:vAlign w:val="center"/>
          </w:tcPr>
          <w:p w14:paraId="74B46A2B" w14:textId="7533FEFF" w:rsidR="002775E5" w:rsidRPr="00BF210F" w:rsidRDefault="002775E5" w:rsidP="002775E5">
            <w:pPr>
              <w:rPr>
                <w:rFonts w:cs="Arial"/>
                <w:color w:val="000000"/>
                <w:sz w:val="18"/>
                <w:szCs w:val="20"/>
              </w:rPr>
            </w:pPr>
            <w:r w:rsidRPr="00BF210F">
              <w:rPr>
                <w:rFonts w:cs="Arial"/>
                <w:color w:val="000000"/>
                <w:sz w:val="18"/>
                <w:szCs w:val="20"/>
              </w:rPr>
              <w:t>Mean: 53.2 (SD 9.5)</w:t>
            </w:r>
          </w:p>
        </w:tc>
        <w:tc>
          <w:tcPr>
            <w:tcW w:w="1276" w:type="dxa"/>
            <w:tcBorders>
              <w:left w:val="nil"/>
              <w:right w:val="nil"/>
            </w:tcBorders>
            <w:vAlign w:val="center"/>
          </w:tcPr>
          <w:p w14:paraId="794150D1" w14:textId="376A512C" w:rsidR="002775E5" w:rsidRPr="00BF210F" w:rsidRDefault="002775E5" w:rsidP="002775E5">
            <w:pPr>
              <w:rPr>
                <w:rFonts w:cs="Arial"/>
                <w:color w:val="000000"/>
                <w:sz w:val="18"/>
                <w:szCs w:val="20"/>
              </w:rPr>
            </w:pPr>
            <w:r w:rsidRPr="00BF210F">
              <w:rPr>
                <w:rFonts w:cs="Arial"/>
                <w:color w:val="000000"/>
                <w:sz w:val="18"/>
                <w:szCs w:val="20"/>
              </w:rPr>
              <w:t>Mean: 60.6 (SD: NR)</w:t>
            </w:r>
          </w:p>
        </w:tc>
        <w:tc>
          <w:tcPr>
            <w:tcW w:w="885" w:type="dxa"/>
            <w:tcBorders>
              <w:left w:val="nil"/>
              <w:right w:val="nil"/>
            </w:tcBorders>
            <w:shd w:val="clear" w:color="auto" w:fill="F2F2F2" w:themeFill="background1" w:themeFillShade="F2"/>
            <w:vAlign w:val="center"/>
          </w:tcPr>
          <w:p w14:paraId="59C648F3" w14:textId="77777777" w:rsidR="002775E5" w:rsidRPr="00BF210F" w:rsidRDefault="002775E5" w:rsidP="002775E5">
            <w:pPr>
              <w:jc w:val="center"/>
              <w:rPr>
                <w:rFonts w:cs="Arial"/>
                <w:sz w:val="18"/>
                <w:szCs w:val="20"/>
              </w:rPr>
            </w:pPr>
            <w:r w:rsidRPr="00BF210F">
              <w:rPr>
                <w:rFonts w:cs="Arial"/>
                <w:sz w:val="18"/>
                <w:szCs w:val="20"/>
              </w:rPr>
              <w:t>43</w:t>
            </w:r>
          </w:p>
        </w:tc>
        <w:tc>
          <w:tcPr>
            <w:tcW w:w="886" w:type="dxa"/>
            <w:tcBorders>
              <w:left w:val="nil"/>
              <w:right w:val="nil"/>
            </w:tcBorders>
            <w:shd w:val="clear" w:color="auto" w:fill="F2F2F2" w:themeFill="background1" w:themeFillShade="F2"/>
            <w:vAlign w:val="center"/>
          </w:tcPr>
          <w:p w14:paraId="26E98931"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6840DA64" w14:textId="77777777" w:rsidR="002775E5" w:rsidRPr="00BF210F" w:rsidRDefault="002775E5" w:rsidP="002775E5">
            <w:pPr>
              <w:jc w:val="center"/>
              <w:rPr>
                <w:rFonts w:cs="Arial"/>
                <w:sz w:val="18"/>
                <w:szCs w:val="20"/>
              </w:rPr>
            </w:pPr>
            <w:r w:rsidRPr="00BF210F">
              <w:rPr>
                <w:rFonts w:cs="Arial"/>
                <w:sz w:val="18"/>
                <w:szCs w:val="20"/>
              </w:rPr>
              <w:t xml:space="preserve">38 </w:t>
            </w:r>
          </w:p>
          <w:p w14:paraId="1B071402" w14:textId="77777777" w:rsidR="002775E5" w:rsidRPr="00BF210F" w:rsidRDefault="002775E5" w:rsidP="002775E5">
            <w:pPr>
              <w:jc w:val="center"/>
              <w:rPr>
                <w:rFonts w:cs="Arial"/>
                <w:sz w:val="18"/>
                <w:szCs w:val="20"/>
              </w:rPr>
            </w:pPr>
            <w:r w:rsidRPr="00BF210F">
              <w:rPr>
                <w:rFonts w:cs="Arial"/>
                <w:sz w:val="18"/>
                <w:szCs w:val="20"/>
              </w:rPr>
              <w:t>(88%)</w:t>
            </w:r>
          </w:p>
        </w:tc>
        <w:tc>
          <w:tcPr>
            <w:tcW w:w="886" w:type="dxa"/>
            <w:tcBorders>
              <w:left w:val="nil"/>
              <w:right w:val="nil"/>
            </w:tcBorders>
            <w:shd w:val="clear" w:color="auto" w:fill="F2F2F2" w:themeFill="background1" w:themeFillShade="F2"/>
            <w:vAlign w:val="center"/>
          </w:tcPr>
          <w:p w14:paraId="799756DB" w14:textId="77777777" w:rsidR="002775E5" w:rsidRPr="00BF210F" w:rsidRDefault="002775E5" w:rsidP="002775E5">
            <w:pPr>
              <w:jc w:val="center"/>
              <w:rPr>
                <w:rFonts w:cs="Arial"/>
                <w:sz w:val="18"/>
                <w:szCs w:val="20"/>
              </w:rPr>
            </w:pPr>
            <w:r w:rsidRPr="00BF210F">
              <w:rPr>
                <w:rFonts w:cs="Arial"/>
                <w:sz w:val="18"/>
                <w:szCs w:val="20"/>
              </w:rPr>
              <w:t xml:space="preserve">26 </w:t>
            </w:r>
          </w:p>
          <w:p w14:paraId="3DEC105C" w14:textId="77777777" w:rsidR="002775E5" w:rsidRPr="00BF210F" w:rsidRDefault="002775E5" w:rsidP="002775E5">
            <w:pPr>
              <w:jc w:val="center"/>
              <w:rPr>
                <w:rFonts w:cs="Arial"/>
                <w:sz w:val="18"/>
                <w:szCs w:val="20"/>
              </w:rPr>
            </w:pPr>
            <w:r w:rsidRPr="00BF210F">
              <w:rPr>
                <w:rFonts w:cs="Arial"/>
                <w:sz w:val="18"/>
                <w:szCs w:val="20"/>
              </w:rPr>
              <w:t>(61%)</w:t>
            </w:r>
          </w:p>
        </w:tc>
        <w:tc>
          <w:tcPr>
            <w:tcW w:w="886" w:type="dxa"/>
            <w:tcBorders>
              <w:left w:val="nil"/>
              <w:right w:val="nil"/>
            </w:tcBorders>
            <w:shd w:val="clear" w:color="auto" w:fill="F2F2F2" w:themeFill="background1" w:themeFillShade="F2"/>
            <w:vAlign w:val="center"/>
          </w:tcPr>
          <w:p w14:paraId="243C7C8E"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3F8312FA" w14:textId="77777777" w:rsidR="002775E5" w:rsidRPr="00BF210F" w:rsidRDefault="002775E5" w:rsidP="002775E5">
            <w:pPr>
              <w:jc w:val="center"/>
              <w:rPr>
                <w:rFonts w:cs="Arial"/>
                <w:sz w:val="18"/>
                <w:szCs w:val="20"/>
              </w:rPr>
            </w:pPr>
            <w:r w:rsidRPr="00BF210F">
              <w:rPr>
                <w:rFonts w:cs="Arial"/>
                <w:sz w:val="18"/>
                <w:szCs w:val="20"/>
              </w:rPr>
              <w:t xml:space="preserve">30 </w:t>
            </w:r>
          </w:p>
          <w:p w14:paraId="227BCDEC" w14:textId="77777777" w:rsidR="002775E5" w:rsidRPr="00BF210F" w:rsidRDefault="002775E5" w:rsidP="002775E5">
            <w:pPr>
              <w:jc w:val="center"/>
              <w:rPr>
                <w:rFonts w:cs="Arial"/>
                <w:sz w:val="18"/>
                <w:szCs w:val="20"/>
              </w:rPr>
            </w:pPr>
            <w:r w:rsidRPr="00BF210F">
              <w:rPr>
                <w:rFonts w:cs="Arial"/>
                <w:sz w:val="18"/>
                <w:szCs w:val="20"/>
              </w:rPr>
              <w:t>(70%)</w:t>
            </w:r>
          </w:p>
        </w:tc>
        <w:tc>
          <w:tcPr>
            <w:tcW w:w="886" w:type="dxa"/>
            <w:tcBorders>
              <w:left w:val="nil"/>
              <w:right w:val="nil"/>
            </w:tcBorders>
            <w:vAlign w:val="center"/>
          </w:tcPr>
          <w:p w14:paraId="0297AD0E" w14:textId="77777777" w:rsidR="002775E5" w:rsidRPr="00BF210F" w:rsidRDefault="002775E5" w:rsidP="002775E5">
            <w:pPr>
              <w:jc w:val="center"/>
              <w:rPr>
                <w:rFonts w:cs="Arial"/>
                <w:sz w:val="18"/>
                <w:szCs w:val="20"/>
              </w:rPr>
            </w:pPr>
            <w:r w:rsidRPr="00BF210F">
              <w:rPr>
                <w:rFonts w:cs="Arial"/>
                <w:sz w:val="18"/>
                <w:szCs w:val="20"/>
              </w:rPr>
              <w:t>3012</w:t>
            </w:r>
          </w:p>
        </w:tc>
        <w:tc>
          <w:tcPr>
            <w:tcW w:w="886" w:type="dxa"/>
            <w:tcBorders>
              <w:left w:val="nil"/>
              <w:right w:val="nil"/>
            </w:tcBorders>
            <w:vAlign w:val="center"/>
          </w:tcPr>
          <w:p w14:paraId="0FD6AF28"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3A0A466F" w14:textId="77777777" w:rsidR="002775E5" w:rsidRPr="00BF210F" w:rsidRDefault="002775E5" w:rsidP="002775E5">
            <w:pPr>
              <w:jc w:val="center"/>
              <w:rPr>
                <w:rFonts w:cs="Arial"/>
                <w:sz w:val="18"/>
                <w:szCs w:val="20"/>
              </w:rPr>
            </w:pPr>
            <w:r w:rsidRPr="00BF210F">
              <w:rPr>
                <w:rFonts w:cs="Arial"/>
                <w:sz w:val="18"/>
                <w:szCs w:val="20"/>
              </w:rPr>
              <w:t>2697 (90%)</w:t>
            </w:r>
          </w:p>
        </w:tc>
        <w:tc>
          <w:tcPr>
            <w:tcW w:w="886" w:type="dxa"/>
            <w:tcBorders>
              <w:left w:val="nil"/>
              <w:right w:val="nil"/>
            </w:tcBorders>
            <w:vAlign w:val="center"/>
          </w:tcPr>
          <w:p w14:paraId="373CE3F2" w14:textId="77777777" w:rsidR="002775E5" w:rsidRPr="00BF210F" w:rsidRDefault="002775E5" w:rsidP="002775E5">
            <w:pPr>
              <w:jc w:val="center"/>
              <w:rPr>
                <w:rFonts w:cs="Arial"/>
                <w:color w:val="000000"/>
                <w:sz w:val="18"/>
                <w:szCs w:val="20"/>
              </w:rPr>
            </w:pPr>
            <w:r w:rsidRPr="00BF210F">
              <w:rPr>
                <w:rFonts w:cs="Arial"/>
                <w:color w:val="000000"/>
                <w:sz w:val="18"/>
                <w:szCs w:val="20"/>
              </w:rPr>
              <w:t>1273 (43%)</w:t>
            </w:r>
          </w:p>
        </w:tc>
        <w:tc>
          <w:tcPr>
            <w:tcW w:w="886" w:type="dxa"/>
            <w:tcBorders>
              <w:left w:val="nil"/>
              <w:right w:val="nil"/>
            </w:tcBorders>
            <w:vAlign w:val="center"/>
          </w:tcPr>
          <w:p w14:paraId="360189AA"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740B14EC" w14:textId="77777777" w:rsidR="002775E5" w:rsidRPr="00BF210F" w:rsidRDefault="002775E5" w:rsidP="002775E5">
            <w:pPr>
              <w:jc w:val="center"/>
              <w:rPr>
                <w:rFonts w:cs="Arial"/>
                <w:color w:val="000000"/>
                <w:sz w:val="18"/>
                <w:szCs w:val="20"/>
              </w:rPr>
            </w:pPr>
            <w:r w:rsidRPr="00BF210F">
              <w:rPr>
                <w:rFonts w:cs="Arial"/>
                <w:color w:val="000000"/>
                <w:sz w:val="18"/>
                <w:szCs w:val="20"/>
              </w:rPr>
              <w:t>1869 (62%)</w:t>
            </w:r>
          </w:p>
        </w:tc>
      </w:tr>
      <w:tr w:rsidR="002775E5" w:rsidRPr="00BF210F" w14:paraId="4E1012EE" w14:textId="77777777" w:rsidTr="007C25F8">
        <w:tc>
          <w:tcPr>
            <w:tcW w:w="1844" w:type="dxa"/>
            <w:tcBorders>
              <w:left w:val="nil"/>
              <w:right w:val="nil"/>
            </w:tcBorders>
            <w:vAlign w:val="center"/>
          </w:tcPr>
          <w:p w14:paraId="5F608D6F" w14:textId="3D2BE2C7" w:rsidR="002775E5" w:rsidRPr="00BF210F" w:rsidRDefault="002775E5" w:rsidP="002775E5">
            <w:pPr>
              <w:rPr>
                <w:rFonts w:cs="Arial"/>
                <w:color w:val="000000"/>
                <w:sz w:val="18"/>
                <w:szCs w:val="20"/>
                <w:lang w:val="en-US"/>
              </w:rPr>
            </w:pPr>
            <w:r w:rsidRPr="00BF210F">
              <w:rPr>
                <w:rFonts w:cs="Arial"/>
                <w:color w:val="000000"/>
                <w:sz w:val="18"/>
                <w:szCs w:val="20"/>
                <w:lang w:val="en-US"/>
              </w:rPr>
              <w:t>McKenzie et al (2018)</w:t>
            </w:r>
            <w:r w:rsidRPr="00BF210F">
              <w:rPr>
                <w:rFonts w:cs="Arial"/>
                <w:color w:val="000000"/>
                <w:sz w:val="18"/>
                <w:szCs w:val="20"/>
                <w:lang w:val="en-US"/>
              </w:rPr>
              <w:fldChar w:fldCharType="begin"/>
            </w:r>
            <w:r w:rsidR="0064139E">
              <w:rPr>
                <w:rFonts w:cs="Arial"/>
                <w:color w:val="000000"/>
                <w:sz w:val="18"/>
                <w:szCs w:val="20"/>
                <w:lang w:val="en-US"/>
              </w:rPr>
              <w:instrText xml:space="preserve"> ADDIN ZOTERO_ITEM CSL_CITATION {"citationID":"vwif2UIN","properties":{"formattedCitation":"[13]","plainCitation":"[13]","noteIndex":0},"citationItems":[{"id":2262,"uris":["http://zotero.org/users/4481446/items/XYKT3EFR"],"uri":["http://zotero.org/users/4481446/items/XYKT3EFR"],"itemData":{"id":2262,"type":"article-journal","abstract":"Breast cancer (BC) survival rates in sub-Saharan Africa (SSA) are low in part due to advanced stage at diagnosis. As one component of a study of the entire journey of SSA women with BC, we aimed to identify shared and setting-specific drivers of advanced stage BC. Women newly diagnosed in the multicountry African Breast Cancer–Disparities in Outcomes (ABC-DO) study completed a baseline interview and their stage information was extracted from medical records. Ordinal logistic regression was used to estimate odds ratios (OR) and 95% confidence intervals (CI) for advanced stage (I, II, III, IV) in relation to individual woman-level, referral and biological factors. A total of 1795 women were included from Nigeria, Uganda, Zambia, and the multiracial populations of Namibia and South Africa, 1091 of whom (61%) were stage III/IV. Stage was lower in women with greater BC knowledge (OR 0.77 (95% CI: 0.70, 0.85) per point on a 6 point scale). More advanced stage was associated with being black (4.00 (2.79, 5.74)), having attended &lt;secondary education (1.75 (1.42, 2.16)), having never heard of BC (1.64 (1.31, 2.06)), an unskilled job (1.77 (1.43, 2.20)) and pregnancy in the past 3 years (30% of ≤45 year olds) (1.63 (1.15, 2.31)), and were mediated through delays to diagnosis: symptom duration of ≥ 1 year (OR 2.47 (1.93, 3.15)). These findings provide further evidence that late-stage BC in SSA is largely attributed to modifiable factors and strategies to improve BC education and awareness in women and the health system should be intensified.","container-title":"International Journal of Cancer","DOI":"10.1002/ijc.31187","ISSN":"1097-0215","issue":"8","language":"en","page":"1568-1579","source":"Wiley Online Library","title":"Drivers of advanced stage at breast cancer diagnosis in the multicountry African breast cancer – disparities in outcomes (ABC-DO) study","volume":"142","author":[{"family":"McKenzie","given":"Fiona"},{"family":"Zietsman","given":"Annelle"},{"family":"Galukande","given":"Moses"},{"family":"Anele","given":"Angelica"},{"family":"Adisa","given":"Charles"},{"family":"Parham","given":"Groesbeck"},{"family":"Pinder","given":"Leeya"},{"family":"Cubasch","given":"Herbert"},{"family":"Joffe","given":"Maureen"},{"family":"Kidaaga","given":"Frederick"},{"family":"Lukande","given":"Robert"},{"family":"Offiah","given":"Awa U."},{"family":"Egejuru","given":"Ralph O."},{"family":"Shibemba","given":"Aaron"},{"family":"Schuz","given":"Joachim"},{"family":"Anderson","given":"Benjamin O."},{"family":"Silva","given":"Isabel dos Santos"},{"family":"McCormack","given":"Valerie"}],"issued":{"date-parts":[["2018"]]}}}],"schema":"https://github.com/citation-style-language/schema/raw/master/csl-citation.json"} </w:instrText>
            </w:r>
            <w:r w:rsidRPr="00BF210F">
              <w:rPr>
                <w:rFonts w:cs="Arial"/>
                <w:color w:val="000000"/>
                <w:sz w:val="18"/>
                <w:szCs w:val="20"/>
                <w:lang w:val="en-US"/>
              </w:rPr>
              <w:fldChar w:fldCharType="separate"/>
            </w:r>
            <w:r w:rsidR="0064139E" w:rsidRPr="0064139E">
              <w:rPr>
                <w:rFonts w:ascii="Calibri" w:hAnsi="Calibri"/>
                <w:sz w:val="18"/>
              </w:rPr>
              <w:t>[13]</w:t>
            </w:r>
            <w:r w:rsidRPr="00BF210F">
              <w:rPr>
                <w:rFonts w:cs="Arial"/>
                <w:color w:val="000000"/>
                <w:sz w:val="18"/>
                <w:szCs w:val="20"/>
                <w:lang w:val="en-US"/>
              </w:rPr>
              <w:fldChar w:fldCharType="end"/>
            </w:r>
          </w:p>
        </w:tc>
        <w:tc>
          <w:tcPr>
            <w:tcW w:w="1275" w:type="dxa"/>
            <w:tcBorders>
              <w:left w:val="nil"/>
              <w:right w:val="nil"/>
            </w:tcBorders>
            <w:vAlign w:val="center"/>
          </w:tcPr>
          <w:p w14:paraId="78C2C4BD" w14:textId="2949894A" w:rsidR="002775E5" w:rsidRPr="00BF210F" w:rsidRDefault="006B630E" w:rsidP="002775E5">
            <w:pPr>
              <w:rPr>
                <w:rFonts w:cs="Arial"/>
                <w:color w:val="000000"/>
                <w:sz w:val="18"/>
                <w:szCs w:val="20"/>
              </w:rPr>
            </w:pPr>
            <w:r w:rsidRPr="00BF210F">
              <w:rPr>
                <w:rFonts w:cs="Arial"/>
                <w:color w:val="000000"/>
                <w:sz w:val="18"/>
                <w:szCs w:val="20"/>
              </w:rPr>
              <w:t>NR</w:t>
            </w:r>
          </w:p>
        </w:tc>
        <w:tc>
          <w:tcPr>
            <w:tcW w:w="1276" w:type="dxa"/>
            <w:tcBorders>
              <w:left w:val="nil"/>
              <w:right w:val="nil"/>
            </w:tcBorders>
            <w:vAlign w:val="center"/>
          </w:tcPr>
          <w:p w14:paraId="161EC487" w14:textId="59162F96" w:rsidR="002775E5" w:rsidRPr="00BF210F" w:rsidRDefault="006B630E" w:rsidP="002775E5">
            <w:pPr>
              <w:rPr>
                <w:rFonts w:cs="Arial"/>
                <w:color w:val="000000"/>
                <w:sz w:val="18"/>
                <w:szCs w:val="20"/>
              </w:rPr>
            </w:pPr>
            <w:r w:rsidRPr="00BF210F">
              <w:rPr>
                <w:rFonts w:cs="Arial"/>
                <w:color w:val="000000"/>
                <w:sz w:val="18"/>
                <w:szCs w:val="20"/>
              </w:rPr>
              <w:t>NR</w:t>
            </w:r>
          </w:p>
        </w:tc>
        <w:tc>
          <w:tcPr>
            <w:tcW w:w="885" w:type="dxa"/>
            <w:tcBorders>
              <w:left w:val="nil"/>
              <w:right w:val="nil"/>
            </w:tcBorders>
            <w:shd w:val="clear" w:color="auto" w:fill="F2F2F2" w:themeFill="background1" w:themeFillShade="F2"/>
            <w:vAlign w:val="center"/>
          </w:tcPr>
          <w:p w14:paraId="3566236B"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2A699870"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3009CEFD"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035692A3"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2B4418B6"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6E74B902"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0EEA7917"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54342878"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70015783"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7E872736"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21F82EBE"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4925E6B2" w14:textId="77777777" w:rsidR="002775E5" w:rsidRPr="00BF210F" w:rsidRDefault="002775E5" w:rsidP="002775E5">
            <w:pPr>
              <w:jc w:val="center"/>
              <w:rPr>
                <w:rFonts w:cs="Arial"/>
                <w:sz w:val="18"/>
                <w:szCs w:val="20"/>
              </w:rPr>
            </w:pPr>
            <w:r w:rsidRPr="00BF210F">
              <w:rPr>
                <w:rFonts w:cs="Arial"/>
                <w:sz w:val="18"/>
                <w:szCs w:val="20"/>
              </w:rPr>
              <w:t>NR</w:t>
            </w:r>
          </w:p>
        </w:tc>
      </w:tr>
      <w:tr w:rsidR="002775E5" w:rsidRPr="00BF210F" w14:paraId="134EDD0D" w14:textId="77777777" w:rsidTr="007C25F8">
        <w:tc>
          <w:tcPr>
            <w:tcW w:w="1844" w:type="dxa"/>
            <w:tcBorders>
              <w:left w:val="nil"/>
              <w:right w:val="nil"/>
            </w:tcBorders>
            <w:vAlign w:val="center"/>
          </w:tcPr>
          <w:p w14:paraId="59B30D40" w14:textId="28FFCF31" w:rsidR="002775E5" w:rsidRPr="00BF210F" w:rsidRDefault="002775E5" w:rsidP="005400BB">
            <w:pPr>
              <w:rPr>
                <w:rFonts w:cs="Arial"/>
                <w:color w:val="000000"/>
                <w:sz w:val="18"/>
                <w:szCs w:val="20"/>
                <w:lang w:val="en-US"/>
              </w:rPr>
            </w:pPr>
            <w:r w:rsidRPr="00BF210F">
              <w:rPr>
                <w:rFonts w:cs="Arial"/>
                <w:color w:val="000000"/>
                <w:sz w:val="18"/>
                <w:szCs w:val="20"/>
                <w:lang w:val="en-US"/>
              </w:rPr>
              <w:t>Van Zyl et al (2018)</w:t>
            </w:r>
            <w:r w:rsidRPr="00BF210F">
              <w:rPr>
                <w:rFonts w:cs="Arial"/>
                <w:color w:val="000000"/>
                <w:sz w:val="18"/>
                <w:szCs w:val="20"/>
                <w:lang w:val="en-US"/>
              </w:rPr>
              <w:fldChar w:fldCharType="begin"/>
            </w:r>
            <w:r w:rsidR="0064139E">
              <w:rPr>
                <w:rFonts w:cs="Arial"/>
                <w:color w:val="000000"/>
                <w:sz w:val="18"/>
                <w:szCs w:val="20"/>
                <w:lang w:val="en-US"/>
              </w:rPr>
              <w:instrText xml:space="preserve"> ADDIN ZOTERO_ITEM CSL_CITATION {"citationID":"8prhwKWp","properties":{"formattedCitation":"[17]","plainCitation":"[17]","noteIndex":0},"citationItems":[{"id":2937,"uris":["http://zotero.org/users/4481446/items/JTWWHCUB"],"uri":["http://zotero.org/users/4481446/items/JTWWHCUB"],"itemData":{"id":2937,"type":"article-journal","abstract":"BACKGROUND: Since the advent of highly active anti-retroviral therapy, improved immune functioning and prolonged survival of Human immunodeficiency virus (HIV)-positive patients has been accompanied by an increased incidence of non-AIDS-defining cancers (NADC). Breast cancer is the most prevalent NADC among HIV-positive women. However, data regarding the interaction between these two diagnoses remain limited. OBJECTIVES: To determine the effect of HIV status on the presentation of breast cancer patients at Dr. George Mukhari Academic Hospital (DGMAH). METHODS: The age, gender, HIV status, CD4 count and tumour node metastases stage at presentation were recorded from the files of patients with histologically proven breast carcinoma, who had presented to the breast clinic at DGMAH from 01 January 2013 to 30 November 2017. Histological subtypes and molecular markers were retrieved from the National Health Laboratory Service. Prevalence of HIV among breast cancer patients was calculated. Cross-tabulations compared the variables between HIV-positive and HIV-negative groups. Statistical significance was assessed using Fisher's Exact Test RESULTS: HIV status was determined in 129 breast cancer patients. Eighty (62.02%) were HIV-negative and 49 (37.98%) were HIV-positive. All patients were female. The mean age at presentation with breast cancer in the HIV-positive group was approximately 10 years younger, compared to the entire population and to the HIV-negative group (p &lt; 0.0001). No further statistically significant associations were observed concerning HIV status and other variables. CONCLUSION: HIV-positive women present with breast cancer at a significantly younger mean age. Breast cancer screening protocols may need to be adjusted accordingly in such patients.","archive":"SciELO South Africa","container-title":"SA Journal of Radiology","DOI":"10.4102/sajr.v22i2.1361","ISSN":"2078-6778","issue":"2","journalAbbreviation":"SA Journal of Radiology","language":"en","page":"1-7","source":"http://www.scielo.org/","title":"Human immunodeficiency virus infection in breast cancer patients: The prevalence thereof and its effect on breast cancer characteristics at Dr. George Mukhari Academic Hospital Breast Clinic, Ga-Rankuwa, South Africa","volume":"22","author":[{"family":"Zyl","given":"Nikoli","non-dropping-particle":"van"},{"family":"Minné","given":"Cornelia"},{"family":"Mokone","given":"Dikeledi H."}],"issued":{"date-parts":[["2018"]]}}}],"schema":"https://github.com/citation-style-language/schema/raw/master/csl-citation.json"} </w:instrText>
            </w:r>
            <w:r w:rsidRPr="00BF210F">
              <w:rPr>
                <w:rFonts w:cs="Arial"/>
                <w:color w:val="000000"/>
                <w:sz w:val="18"/>
                <w:szCs w:val="20"/>
                <w:lang w:val="en-US"/>
              </w:rPr>
              <w:fldChar w:fldCharType="separate"/>
            </w:r>
            <w:r w:rsidR="0064139E" w:rsidRPr="0064139E">
              <w:rPr>
                <w:rFonts w:ascii="Calibri" w:hAnsi="Calibri"/>
                <w:sz w:val="18"/>
              </w:rPr>
              <w:t>[17]</w:t>
            </w:r>
            <w:r w:rsidRPr="00BF210F">
              <w:rPr>
                <w:rFonts w:cs="Arial"/>
                <w:color w:val="000000"/>
                <w:sz w:val="18"/>
                <w:szCs w:val="20"/>
                <w:lang w:val="en-US"/>
              </w:rPr>
              <w:fldChar w:fldCharType="end"/>
            </w:r>
          </w:p>
        </w:tc>
        <w:tc>
          <w:tcPr>
            <w:tcW w:w="1275" w:type="dxa"/>
            <w:tcBorders>
              <w:left w:val="nil"/>
              <w:right w:val="nil"/>
            </w:tcBorders>
            <w:vAlign w:val="center"/>
          </w:tcPr>
          <w:p w14:paraId="346B422F" w14:textId="645A0D4F" w:rsidR="002775E5" w:rsidRPr="00BF210F" w:rsidRDefault="002775E5" w:rsidP="002775E5">
            <w:pPr>
              <w:rPr>
                <w:rFonts w:cs="Arial"/>
                <w:color w:val="000000"/>
                <w:sz w:val="18"/>
                <w:szCs w:val="20"/>
              </w:rPr>
            </w:pPr>
            <w:r w:rsidRPr="00BF210F">
              <w:rPr>
                <w:rFonts w:cs="Arial"/>
                <w:color w:val="000000"/>
                <w:sz w:val="18"/>
                <w:szCs w:val="20"/>
              </w:rPr>
              <w:t>Mean: 44.9 (SD 9)</w:t>
            </w:r>
          </w:p>
        </w:tc>
        <w:tc>
          <w:tcPr>
            <w:tcW w:w="1276" w:type="dxa"/>
            <w:tcBorders>
              <w:left w:val="nil"/>
              <w:right w:val="nil"/>
            </w:tcBorders>
            <w:vAlign w:val="center"/>
          </w:tcPr>
          <w:p w14:paraId="45103374" w14:textId="67013AE3" w:rsidR="002775E5" w:rsidRPr="00BF210F" w:rsidRDefault="002775E5" w:rsidP="002775E5">
            <w:pPr>
              <w:rPr>
                <w:rFonts w:cs="Arial"/>
                <w:color w:val="000000"/>
                <w:sz w:val="18"/>
                <w:szCs w:val="20"/>
              </w:rPr>
            </w:pPr>
            <w:r w:rsidRPr="00BF210F">
              <w:rPr>
                <w:rFonts w:cs="Arial"/>
                <w:color w:val="000000"/>
                <w:sz w:val="18"/>
                <w:szCs w:val="20"/>
              </w:rPr>
              <w:t>Mean: 53.2 (SD 12.5)</w:t>
            </w:r>
          </w:p>
        </w:tc>
        <w:tc>
          <w:tcPr>
            <w:tcW w:w="885" w:type="dxa"/>
            <w:tcBorders>
              <w:left w:val="nil"/>
              <w:right w:val="nil"/>
            </w:tcBorders>
            <w:shd w:val="clear" w:color="auto" w:fill="F2F2F2" w:themeFill="background1" w:themeFillShade="F2"/>
            <w:vAlign w:val="center"/>
          </w:tcPr>
          <w:p w14:paraId="1992D5DD"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31234844"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31982F65"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365F159A"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78CC7B99"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57AEA7CC"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626829D4"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5119995C"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5E1D351D"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218B7972"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7EBED111"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79678464" w14:textId="77777777" w:rsidR="002775E5" w:rsidRPr="00BF210F" w:rsidRDefault="002775E5" w:rsidP="002775E5">
            <w:pPr>
              <w:jc w:val="center"/>
              <w:rPr>
                <w:rFonts w:cs="Arial"/>
                <w:sz w:val="18"/>
                <w:szCs w:val="20"/>
              </w:rPr>
            </w:pPr>
            <w:r w:rsidRPr="00BF210F">
              <w:rPr>
                <w:rFonts w:cs="Arial"/>
                <w:sz w:val="18"/>
                <w:szCs w:val="20"/>
              </w:rPr>
              <w:t>NR</w:t>
            </w:r>
          </w:p>
        </w:tc>
      </w:tr>
      <w:tr w:rsidR="002775E5" w:rsidRPr="00BF210F" w14:paraId="1135D7B2" w14:textId="77777777" w:rsidTr="007C25F8">
        <w:tc>
          <w:tcPr>
            <w:tcW w:w="1844" w:type="dxa"/>
            <w:tcBorders>
              <w:left w:val="nil"/>
              <w:right w:val="nil"/>
            </w:tcBorders>
            <w:vAlign w:val="center"/>
          </w:tcPr>
          <w:p w14:paraId="538304C7" w14:textId="49406649" w:rsidR="002775E5" w:rsidRPr="00BF210F" w:rsidRDefault="002775E5" w:rsidP="005400BB">
            <w:pPr>
              <w:rPr>
                <w:rFonts w:cs="Arial"/>
                <w:color w:val="000000"/>
                <w:sz w:val="18"/>
                <w:szCs w:val="20"/>
                <w:lang w:val="en-US"/>
              </w:rPr>
            </w:pPr>
            <w:r w:rsidRPr="00BF210F">
              <w:rPr>
                <w:rFonts w:cs="Arial"/>
                <w:color w:val="000000"/>
                <w:sz w:val="18"/>
                <w:szCs w:val="20"/>
                <w:lang w:val="en-US"/>
              </w:rPr>
              <w:t>Sadigh et al (2019)</w:t>
            </w:r>
            <w:r w:rsidRPr="00BF210F">
              <w:rPr>
                <w:rFonts w:cs="Arial"/>
                <w:color w:val="000000"/>
                <w:sz w:val="18"/>
                <w:szCs w:val="20"/>
                <w:lang w:val="en-US"/>
              </w:rPr>
              <w:fldChar w:fldCharType="begin"/>
            </w:r>
            <w:r w:rsidR="0064139E">
              <w:rPr>
                <w:rFonts w:cs="Arial"/>
                <w:color w:val="000000"/>
                <w:sz w:val="18"/>
                <w:szCs w:val="20"/>
                <w:lang w:val="en-US"/>
              </w:rPr>
              <w:instrText xml:space="preserve"> ADDIN ZOTERO_ITEM CSL_CITATION {"citationID":"ZikWMZce","properties":{"formattedCitation":"[18]","plainCitation":"[18]","noteIndex":0},"citationItems":[{"id":2150,"uris":["http://zotero.org/users/4481446/items/NNFI87XQ"],"uri":["http://zotero.org/users/4481446/items/NNFI87XQ"],"itemData":{"id":2150,"type":"webpage","title":"HIV IS ASSOCIATED WITH DECREASED BREAST CANCER SURVIVAL: A PROSPECTIVE COHORT STUDY | CROI Conference","URL":"http://www.croiconference.org/sessions/hiv-associated-decreased-breast-cancer-survival-prospective-cohort-study","author":[{"family":"Sadigh","given":"KS"},{"family":"Hodgeman","given":"RM"},{"family":"Tapela","given":"N"}],"accessed":{"date-parts":[["2019",4,17]]},"issued":{"date-parts":[["2019",3,4]]}}}],"schema":"https://github.com/citation-style-language/schema/raw/master/csl-citation.json"} </w:instrText>
            </w:r>
            <w:r w:rsidRPr="00BF210F">
              <w:rPr>
                <w:rFonts w:cs="Arial"/>
                <w:color w:val="000000"/>
                <w:sz w:val="18"/>
                <w:szCs w:val="20"/>
                <w:lang w:val="en-US"/>
              </w:rPr>
              <w:fldChar w:fldCharType="separate"/>
            </w:r>
            <w:r w:rsidR="0064139E" w:rsidRPr="0064139E">
              <w:rPr>
                <w:rFonts w:ascii="Calibri" w:hAnsi="Calibri"/>
                <w:sz w:val="18"/>
              </w:rPr>
              <w:t>[18]</w:t>
            </w:r>
            <w:r w:rsidRPr="00BF210F">
              <w:rPr>
                <w:rFonts w:cs="Arial"/>
                <w:color w:val="000000"/>
                <w:sz w:val="18"/>
                <w:szCs w:val="20"/>
                <w:lang w:val="en-US"/>
              </w:rPr>
              <w:fldChar w:fldCharType="end"/>
            </w:r>
          </w:p>
        </w:tc>
        <w:tc>
          <w:tcPr>
            <w:tcW w:w="1275" w:type="dxa"/>
            <w:tcBorders>
              <w:left w:val="nil"/>
              <w:right w:val="nil"/>
            </w:tcBorders>
            <w:vAlign w:val="center"/>
          </w:tcPr>
          <w:p w14:paraId="0F4A43B5" w14:textId="6E6F495B" w:rsidR="002775E5" w:rsidRPr="00BF210F" w:rsidRDefault="002775E5" w:rsidP="002775E5">
            <w:pPr>
              <w:rPr>
                <w:rFonts w:cs="Arial"/>
                <w:color w:val="000000"/>
                <w:sz w:val="18"/>
                <w:szCs w:val="20"/>
              </w:rPr>
            </w:pPr>
            <w:r w:rsidRPr="00BF210F">
              <w:rPr>
                <w:rFonts w:cs="Arial"/>
                <w:color w:val="000000"/>
                <w:sz w:val="18"/>
                <w:szCs w:val="20"/>
              </w:rPr>
              <w:t>Median: 47.2 (IQR 41-54)</w:t>
            </w:r>
          </w:p>
        </w:tc>
        <w:tc>
          <w:tcPr>
            <w:tcW w:w="1276" w:type="dxa"/>
            <w:tcBorders>
              <w:left w:val="nil"/>
              <w:right w:val="nil"/>
            </w:tcBorders>
            <w:vAlign w:val="center"/>
          </w:tcPr>
          <w:p w14:paraId="645B23F4" w14:textId="3D0FE9F3" w:rsidR="002775E5" w:rsidRPr="00BF210F" w:rsidRDefault="002775E5" w:rsidP="002775E5">
            <w:pPr>
              <w:rPr>
                <w:rFonts w:cs="Arial"/>
                <w:color w:val="000000"/>
                <w:sz w:val="18"/>
                <w:szCs w:val="20"/>
              </w:rPr>
            </w:pPr>
            <w:r w:rsidRPr="00BF210F">
              <w:rPr>
                <w:rFonts w:cs="Arial"/>
                <w:color w:val="000000"/>
                <w:sz w:val="18"/>
                <w:szCs w:val="20"/>
              </w:rPr>
              <w:t>Median:</w:t>
            </w:r>
            <w:r w:rsidRPr="00BF210F">
              <w:rPr>
                <w:rFonts w:cs="Arial"/>
                <w:sz w:val="18"/>
                <w:szCs w:val="20"/>
              </w:rPr>
              <w:t xml:space="preserve"> </w:t>
            </w:r>
            <w:r w:rsidRPr="00BF210F">
              <w:rPr>
                <w:rFonts w:cs="Arial"/>
                <w:color w:val="000000"/>
                <w:sz w:val="18"/>
                <w:szCs w:val="20"/>
              </w:rPr>
              <w:t>55.9 (IQR 45-66)</w:t>
            </w:r>
          </w:p>
        </w:tc>
        <w:tc>
          <w:tcPr>
            <w:tcW w:w="885" w:type="dxa"/>
            <w:tcBorders>
              <w:left w:val="nil"/>
              <w:right w:val="nil"/>
            </w:tcBorders>
            <w:shd w:val="clear" w:color="auto" w:fill="F2F2F2" w:themeFill="background1" w:themeFillShade="F2"/>
            <w:vAlign w:val="center"/>
          </w:tcPr>
          <w:p w14:paraId="177F236E" w14:textId="77777777" w:rsidR="002775E5" w:rsidRPr="00BF210F" w:rsidRDefault="002775E5" w:rsidP="002775E5">
            <w:pPr>
              <w:jc w:val="center"/>
              <w:rPr>
                <w:rFonts w:cs="Arial"/>
                <w:color w:val="000000"/>
                <w:sz w:val="18"/>
                <w:szCs w:val="20"/>
              </w:rPr>
            </w:pPr>
            <w:r w:rsidRPr="00BF210F">
              <w:rPr>
                <w:rFonts w:cs="Arial"/>
                <w:color w:val="000000"/>
                <w:sz w:val="18"/>
                <w:szCs w:val="20"/>
              </w:rPr>
              <w:t>151</w:t>
            </w:r>
          </w:p>
        </w:tc>
        <w:tc>
          <w:tcPr>
            <w:tcW w:w="886" w:type="dxa"/>
            <w:tcBorders>
              <w:left w:val="nil"/>
              <w:right w:val="nil"/>
            </w:tcBorders>
            <w:shd w:val="clear" w:color="auto" w:fill="F2F2F2" w:themeFill="background1" w:themeFillShade="F2"/>
            <w:vAlign w:val="center"/>
          </w:tcPr>
          <w:p w14:paraId="037EF9FF"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3949669B" w14:textId="77777777" w:rsidR="002775E5" w:rsidRPr="00BF210F" w:rsidRDefault="002775E5" w:rsidP="002775E5">
            <w:pPr>
              <w:jc w:val="center"/>
              <w:rPr>
                <w:rFonts w:cs="Arial"/>
                <w:color w:val="000000"/>
                <w:sz w:val="18"/>
                <w:szCs w:val="20"/>
              </w:rPr>
            </w:pPr>
            <w:r w:rsidRPr="00BF210F">
              <w:rPr>
                <w:rFonts w:cs="Arial"/>
                <w:color w:val="000000"/>
                <w:sz w:val="18"/>
                <w:szCs w:val="20"/>
              </w:rPr>
              <w:t>111 (76%)</w:t>
            </w:r>
          </w:p>
        </w:tc>
        <w:tc>
          <w:tcPr>
            <w:tcW w:w="886" w:type="dxa"/>
            <w:tcBorders>
              <w:left w:val="nil"/>
              <w:right w:val="nil"/>
            </w:tcBorders>
            <w:shd w:val="clear" w:color="auto" w:fill="F2F2F2" w:themeFill="background1" w:themeFillShade="F2"/>
            <w:vAlign w:val="center"/>
          </w:tcPr>
          <w:p w14:paraId="4FF22046" w14:textId="77777777" w:rsidR="002775E5" w:rsidRPr="00BF210F" w:rsidRDefault="002775E5" w:rsidP="002775E5">
            <w:pPr>
              <w:jc w:val="center"/>
              <w:rPr>
                <w:rFonts w:cs="Arial"/>
                <w:color w:val="000000"/>
                <w:sz w:val="18"/>
                <w:szCs w:val="20"/>
              </w:rPr>
            </w:pPr>
            <w:r w:rsidRPr="00BF210F">
              <w:rPr>
                <w:rFonts w:cs="Arial"/>
                <w:color w:val="000000"/>
                <w:sz w:val="18"/>
                <w:szCs w:val="20"/>
              </w:rPr>
              <w:t xml:space="preserve">76 </w:t>
            </w:r>
          </w:p>
          <w:p w14:paraId="16CD00B6" w14:textId="77777777" w:rsidR="002775E5" w:rsidRPr="00BF210F" w:rsidRDefault="002775E5" w:rsidP="002775E5">
            <w:pPr>
              <w:jc w:val="center"/>
              <w:rPr>
                <w:rFonts w:cs="Arial"/>
                <w:color w:val="000000"/>
                <w:sz w:val="18"/>
                <w:szCs w:val="20"/>
              </w:rPr>
            </w:pPr>
            <w:r w:rsidRPr="00BF210F">
              <w:rPr>
                <w:rFonts w:cs="Arial"/>
                <w:color w:val="000000"/>
                <w:sz w:val="18"/>
                <w:szCs w:val="20"/>
              </w:rPr>
              <w:t>(50%)</w:t>
            </w:r>
          </w:p>
        </w:tc>
        <w:tc>
          <w:tcPr>
            <w:tcW w:w="886" w:type="dxa"/>
            <w:tcBorders>
              <w:left w:val="nil"/>
              <w:right w:val="nil"/>
            </w:tcBorders>
            <w:shd w:val="clear" w:color="auto" w:fill="F2F2F2" w:themeFill="background1" w:themeFillShade="F2"/>
            <w:vAlign w:val="center"/>
          </w:tcPr>
          <w:p w14:paraId="51A11371"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2B73C146" w14:textId="77777777" w:rsidR="002775E5" w:rsidRPr="00BF210F" w:rsidRDefault="002775E5" w:rsidP="002775E5">
            <w:pPr>
              <w:jc w:val="center"/>
              <w:rPr>
                <w:rFonts w:cs="Arial"/>
                <w:color w:val="000000"/>
                <w:sz w:val="18"/>
                <w:szCs w:val="20"/>
              </w:rPr>
            </w:pPr>
            <w:r w:rsidRPr="00BF210F">
              <w:rPr>
                <w:rFonts w:cs="Arial"/>
                <w:color w:val="000000"/>
                <w:sz w:val="18"/>
                <w:szCs w:val="20"/>
              </w:rPr>
              <w:t xml:space="preserve">64 </w:t>
            </w:r>
          </w:p>
          <w:p w14:paraId="12CA7180" w14:textId="77777777" w:rsidR="002775E5" w:rsidRPr="00BF210F" w:rsidRDefault="002775E5" w:rsidP="002775E5">
            <w:pPr>
              <w:jc w:val="center"/>
              <w:rPr>
                <w:rFonts w:cs="Arial"/>
                <w:color w:val="000000"/>
                <w:sz w:val="18"/>
                <w:szCs w:val="20"/>
              </w:rPr>
            </w:pPr>
            <w:r w:rsidRPr="00BF210F">
              <w:rPr>
                <w:rFonts w:cs="Arial"/>
                <w:color w:val="000000"/>
                <w:sz w:val="18"/>
                <w:szCs w:val="20"/>
              </w:rPr>
              <w:t>(43%)</w:t>
            </w:r>
          </w:p>
        </w:tc>
        <w:tc>
          <w:tcPr>
            <w:tcW w:w="886" w:type="dxa"/>
            <w:tcBorders>
              <w:left w:val="nil"/>
              <w:right w:val="nil"/>
            </w:tcBorders>
            <w:vAlign w:val="center"/>
          </w:tcPr>
          <w:p w14:paraId="7B70F185" w14:textId="77777777" w:rsidR="002775E5" w:rsidRPr="00BF210F" w:rsidRDefault="002775E5" w:rsidP="002775E5">
            <w:pPr>
              <w:jc w:val="center"/>
              <w:rPr>
                <w:rFonts w:cs="Arial"/>
                <w:color w:val="000000"/>
                <w:sz w:val="18"/>
                <w:szCs w:val="20"/>
              </w:rPr>
            </w:pPr>
            <w:r w:rsidRPr="00BF210F">
              <w:rPr>
                <w:rFonts w:cs="Arial"/>
                <w:color w:val="000000"/>
                <w:sz w:val="18"/>
                <w:szCs w:val="20"/>
              </w:rPr>
              <w:t>327</w:t>
            </w:r>
          </w:p>
        </w:tc>
        <w:tc>
          <w:tcPr>
            <w:tcW w:w="886" w:type="dxa"/>
            <w:tcBorders>
              <w:left w:val="nil"/>
              <w:right w:val="nil"/>
            </w:tcBorders>
            <w:vAlign w:val="center"/>
          </w:tcPr>
          <w:p w14:paraId="36EE7A19"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75CED171" w14:textId="77777777" w:rsidR="002775E5" w:rsidRPr="00BF210F" w:rsidRDefault="002775E5" w:rsidP="002775E5">
            <w:pPr>
              <w:jc w:val="center"/>
              <w:rPr>
                <w:rFonts w:cs="Arial"/>
                <w:color w:val="000000"/>
                <w:sz w:val="18"/>
                <w:szCs w:val="20"/>
              </w:rPr>
            </w:pPr>
            <w:r w:rsidRPr="00BF210F">
              <w:rPr>
                <w:rFonts w:cs="Arial"/>
                <w:color w:val="000000"/>
                <w:sz w:val="18"/>
                <w:szCs w:val="20"/>
              </w:rPr>
              <w:t>262 (82%)</w:t>
            </w:r>
          </w:p>
        </w:tc>
        <w:tc>
          <w:tcPr>
            <w:tcW w:w="886" w:type="dxa"/>
            <w:tcBorders>
              <w:left w:val="nil"/>
              <w:right w:val="nil"/>
            </w:tcBorders>
            <w:vAlign w:val="center"/>
          </w:tcPr>
          <w:p w14:paraId="1A45DD61" w14:textId="77777777" w:rsidR="002775E5" w:rsidRPr="00BF210F" w:rsidRDefault="002775E5" w:rsidP="002775E5">
            <w:pPr>
              <w:jc w:val="center"/>
              <w:rPr>
                <w:rFonts w:cs="Arial"/>
                <w:color w:val="000000"/>
                <w:sz w:val="18"/>
                <w:szCs w:val="20"/>
              </w:rPr>
            </w:pPr>
            <w:r w:rsidRPr="00BF210F">
              <w:rPr>
                <w:rFonts w:cs="Arial"/>
                <w:color w:val="000000"/>
                <w:sz w:val="18"/>
                <w:szCs w:val="20"/>
              </w:rPr>
              <w:t>147 (45%)</w:t>
            </w:r>
          </w:p>
        </w:tc>
        <w:tc>
          <w:tcPr>
            <w:tcW w:w="886" w:type="dxa"/>
            <w:tcBorders>
              <w:left w:val="nil"/>
              <w:right w:val="nil"/>
            </w:tcBorders>
            <w:vAlign w:val="center"/>
          </w:tcPr>
          <w:p w14:paraId="054A9980"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19EF6D03" w14:textId="77777777" w:rsidR="002775E5" w:rsidRPr="00BF210F" w:rsidRDefault="002775E5" w:rsidP="002775E5">
            <w:pPr>
              <w:jc w:val="center"/>
              <w:rPr>
                <w:rFonts w:cs="Arial"/>
                <w:color w:val="000000"/>
                <w:sz w:val="18"/>
                <w:szCs w:val="20"/>
              </w:rPr>
            </w:pPr>
            <w:r w:rsidRPr="00BF210F">
              <w:rPr>
                <w:rFonts w:cs="Arial"/>
                <w:color w:val="000000"/>
                <w:sz w:val="18"/>
                <w:szCs w:val="20"/>
              </w:rPr>
              <w:t>166 (50%)</w:t>
            </w:r>
          </w:p>
        </w:tc>
      </w:tr>
      <w:tr w:rsidR="002775E5" w:rsidRPr="00BF210F" w14:paraId="67AA4FAE" w14:textId="77777777" w:rsidTr="007C25F8">
        <w:tc>
          <w:tcPr>
            <w:tcW w:w="1844" w:type="dxa"/>
            <w:tcBorders>
              <w:left w:val="nil"/>
              <w:right w:val="nil"/>
            </w:tcBorders>
            <w:vAlign w:val="center"/>
          </w:tcPr>
          <w:p w14:paraId="59A085B4" w14:textId="33B294D0" w:rsidR="002775E5" w:rsidRPr="00BF210F" w:rsidRDefault="002775E5" w:rsidP="005400BB">
            <w:pPr>
              <w:rPr>
                <w:rFonts w:cs="Arial"/>
                <w:sz w:val="18"/>
                <w:szCs w:val="20"/>
                <w:lang w:val="en-US"/>
              </w:rPr>
            </w:pPr>
            <w:r w:rsidRPr="00BF210F">
              <w:rPr>
                <w:rFonts w:cs="Arial"/>
                <w:sz w:val="18"/>
                <w:szCs w:val="20"/>
                <w:lang w:val="en-US"/>
              </w:rPr>
              <w:t>Brandao et al (2019)</w:t>
            </w:r>
            <w:r w:rsidRPr="00BF210F">
              <w:rPr>
                <w:rFonts w:cs="Arial"/>
                <w:sz w:val="18"/>
                <w:szCs w:val="20"/>
                <w:lang w:val="en-US"/>
              </w:rPr>
              <w:fldChar w:fldCharType="begin"/>
            </w:r>
            <w:r w:rsidR="0064139E">
              <w:rPr>
                <w:rFonts w:cs="Arial"/>
                <w:sz w:val="18"/>
                <w:szCs w:val="20"/>
                <w:lang w:val="en-US"/>
              </w:rPr>
              <w:instrText xml:space="preserve"> ADDIN ZOTERO_ITEM CSL_CITATION {"citationID":"pxp8AMZp","properties":{"formattedCitation":"[19]","plainCitation":"[19]","noteIndex":0},"citationItems":[{"id":2988,"uris":["http://zotero.org/users/4481446/items/FXALSHA7"],"uri":["http://zotero.org/users/4481446/items/FXALSHA7"],"itemData":{"id":2988,"type":"article-journal","abstract":"Background: Breast cancer (BC) burden is increasing among women living with HIV (HIV+). Yet, data regarding epidemiology, BC presentation, treatment, and progno","container-title":"Annals of Oncology","DOI":"10.1093/annonc/mdz101.014","ISSN":"0923-7534","issue":"Supplement_3","journalAbbreviation":"Ann Oncol","language":"en","source":"academic.oup.com","title":"213PHIV infection in breast cancer patients from Mozambique: A prospective cohort study","title-short":"213PHIV infection in breast cancer patients from Mozambique","URL":"https://academic.oup.com/annonc/article/30/Supplement_3/mdz101.014/5488303","volume":"30","author":[{"family":"Brandão","given":"Mariana"},{"family":"Guisseve","given":"A."},{"family":"Bata","given":"G."},{"family":"Morais","given":"G.","non-dropping-particle":"de"},{"family":"Alberto","given":"M."},{"family":"Schmitt","given":"F."},{"family":"Lorenzoni","given":"C."},{"family":"Tulsidás","given":"S."},{"family":"Lunet","given":"N."},{"family":"Carrilho","given":"C."}],"accessed":{"date-parts":[["2019",6,26]]},"issued":{"date-parts":[["2019",5,1]]}}}],"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[19]</w:t>
            </w:r>
            <w:r w:rsidRPr="00BF210F">
              <w:rPr>
                <w:rFonts w:cs="Arial"/>
                <w:sz w:val="18"/>
                <w:szCs w:val="20"/>
                <w:lang w:val="en-US"/>
              </w:rPr>
              <w:fldChar w:fldCharType="end"/>
            </w:r>
          </w:p>
        </w:tc>
        <w:tc>
          <w:tcPr>
            <w:tcW w:w="1275" w:type="dxa"/>
            <w:tcBorders>
              <w:left w:val="nil"/>
              <w:right w:val="nil"/>
            </w:tcBorders>
            <w:vAlign w:val="center"/>
          </w:tcPr>
          <w:p w14:paraId="61D2A1A8" w14:textId="0BF3E7BB" w:rsidR="002775E5" w:rsidRPr="00BF210F" w:rsidRDefault="002775E5" w:rsidP="002775E5">
            <w:pPr>
              <w:rPr>
                <w:rFonts w:cs="Arial"/>
                <w:color w:val="000000"/>
                <w:sz w:val="18"/>
                <w:szCs w:val="20"/>
              </w:rPr>
            </w:pPr>
            <w:r w:rsidRPr="00BF210F">
              <w:rPr>
                <w:rFonts w:cs="Arial"/>
                <w:color w:val="000000"/>
                <w:sz w:val="18"/>
                <w:szCs w:val="20"/>
              </w:rPr>
              <w:t>Mean: 45.2 (SD 10.1)</w:t>
            </w:r>
          </w:p>
        </w:tc>
        <w:tc>
          <w:tcPr>
            <w:tcW w:w="1276" w:type="dxa"/>
            <w:tcBorders>
              <w:left w:val="nil"/>
              <w:right w:val="nil"/>
            </w:tcBorders>
            <w:vAlign w:val="center"/>
          </w:tcPr>
          <w:p w14:paraId="7E363383" w14:textId="3CCA0925" w:rsidR="002775E5" w:rsidRPr="00BF210F" w:rsidRDefault="002775E5" w:rsidP="002775E5">
            <w:pPr>
              <w:rPr>
                <w:rFonts w:cs="Arial"/>
                <w:color w:val="000000"/>
                <w:sz w:val="18"/>
                <w:szCs w:val="20"/>
              </w:rPr>
            </w:pPr>
            <w:r w:rsidRPr="00BF210F">
              <w:rPr>
                <w:rFonts w:cs="Arial"/>
                <w:color w:val="000000"/>
                <w:sz w:val="18"/>
                <w:szCs w:val="20"/>
              </w:rPr>
              <w:t>Mean: 50.8 (SD 14.3)</w:t>
            </w:r>
          </w:p>
        </w:tc>
        <w:tc>
          <w:tcPr>
            <w:tcW w:w="885" w:type="dxa"/>
            <w:tcBorders>
              <w:left w:val="nil"/>
              <w:right w:val="nil"/>
            </w:tcBorders>
            <w:shd w:val="clear" w:color="auto" w:fill="F2F2F2" w:themeFill="background1" w:themeFillShade="F2"/>
            <w:vAlign w:val="center"/>
          </w:tcPr>
          <w:p w14:paraId="006322BA" w14:textId="77777777" w:rsidR="002775E5" w:rsidRPr="00BF210F" w:rsidRDefault="002775E5" w:rsidP="002775E5">
            <w:pPr>
              <w:jc w:val="center"/>
              <w:rPr>
                <w:rFonts w:cs="Arial"/>
                <w:sz w:val="18"/>
                <w:szCs w:val="20"/>
              </w:rPr>
            </w:pPr>
            <w:r w:rsidRPr="00BF210F">
              <w:rPr>
                <w:rFonts w:cs="Arial"/>
                <w:sz w:val="18"/>
                <w:szCs w:val="20"/>
              </w:rPr>
              <w:t>52</w:t>
            </w:r>
          </w:p>
        </w:tc>
        <w:tc>
          <w:tcPr>
            <w:tcW w:w="886" w:type="dxa"/>
            <w:tcBorders>
              <w:left w:val="nil"/>
              <w:right w:val="nil"/>
            </w:tcBorders>
            <w:shd w:val="clear" w:color="auto" w:fill="F2F2F2" w:themeFill="background1" w:themeFillShade="F2"/>
            <w:vAlign w:val="center"/>
          </w:tcPr>
          <w:p w14:paraId="7637F00A" w14:textId="77777777" w:rsidR="002775E5" w:rsidRPr="00BF210F" w:rsidRDefault="002775E5" w:rsidP="002775E5">
            <w:pPr>
              <w:jc w:val="center"/>
              <w:rPr>
                <w:rFonts w:cs="Arial"/>
                <w:color w:val="000000"/>
                <w:sz w:val="18"/>
                <w:szCs w:val="20"/>
              </w:rPr>
            </w:pPr>
            <w:r w:rsidRPr="00BF210F">
              <w:rPr>
                <w:rFonts w:cs="Arial"/>
                <w:color w:val="000000"/>
                <w:sz w:val="18"/>
                <w:szCs w:val="20"/>
              </w:rPr>
              <w:t>52 (100%)</w:t>
            </w:r>
          </w:p>
        </w:tc>
        <w:tc>
          <w:tcPr>
            <w:tcW w:w="886" w:type="dxa"/>
            <w:tcBorders>
              <w:left w:val="nil"/>
              <w:right w:val="nil"/>
            </w:tcBorders>
            <w:shd w:val="clear" w:color="auto" w:fill="F2F2F2" w:themeFill="background1" w:themeFillShade="F2"/>
            <w:vAlign w:val="center"/>
          </w:tcPr>
          <w:p w14:paraId="5B00B1DC" w14:textId="77777777" w:rsidR="002775E5" w:rsidRPr="00BF210F" w:rsidRDefault="002775E5" w:rsidP="002775E5">
            <w:pPr>
              <w:jc w:val="center"/>
              <w:rPr>
                <w:rFonts w:cs="Arial"/>
                <w:color w:val="000000"/>
                <w:sz w:val="18"/>
                <w:szCs w:val="20"/>
              </w:rPr>
            </w:pPr>
            <w:r w:rsidRPr="00BF210F">
              <w:rPr>
                <w:rFonts w:cs="Arial"/>
                <w:color w:val="000000"/>
                <w:sz w:val="18"/>
                <w:szCs w:val="20"/>
              </w:rPr>
              <w:t xml:space="preserve">41 </w:t>
            </w:r>
          </w:p>
          <w:p w14:paraId="44B4214F" w14:textId="77777777" w:rsidR="002775E5" w:rsidRPr="00BF210F" w:rsidRDefault="002775E5" w:rsidP="002775E5">
            <w:pPr>
              <w:jc w:val="center"/>
              <w:rPr>
                <w:rFonts w:cs="Arial"/>
                <w:color w:val="000000"/>
                <w:sz w:val="18"/>
                <w:szCs w:val="20"/>
              </w:rPr>
            </w:pPr>
            <w:r w:rsidRPr="00BF210F">
              <w:rPr>
                <w:rFonts w:cs="Arial"/>
                <w:color w:val="000000"/>
                <w:sz w:val="18"/>
                <w:szCs w:val="20"/>
              </w:rPr>
              <w:t>(79%)</w:t>
            </w:r>
          </w:p>
        </w:tc>
        <w:tc>
          <w:tcPr>
            <w:tcW w:w="886" w:type="dxa"/>
            <w:tcBorders>
              <w:left w:val="nil"/>
              <w:right w:val="nil"/>
            </w:tcBorders>
            <w:shd w:val="clear" w:color="auto" w:fill="F2F2F2" w:themeFill="background1" w:themeFillShade="F2"/>
            <w:vAlign w:val="center"/>
          </w:tcPr>
          <w:p w14:paraId="4D6EAC1D" w14:textId="77777777" w:rsidR="002775E5" w:rsidRPr="00BF210F" w:rsidRDefault="002775E5" w:rsidP="002775E5">
            <w:pPr>
              <w:jc w:val="center"/>
              <w:rPr>
                <w:rFonts w:cs="Arial"/>
                <w:color w:val="000000"/>
                <w:sz w:val="18"/>
                <w:szCs w:val="20"/>
              </w:rPr>
            </w:pPr>
            <w:r w:rsidRPr="00BF210F">
              <w:rPr>
                <w:rFonts w:cs="Arial"/>
                <w:color w:val="000000"/>
                <w:sz w:val="18"/>
                <w:szCs w:val="20"/>
              </w:rPr>
              <w:t xml:space="preserve">49 </w:t>
            </w:r>
          </w:p>
          <w:p w14:paraId="29CDBB43" w14:textId="77777777" w:rsidR="002775E5" w:rsidRPr="00BF210F" w:rsidRDefault="002775E5" w:rsidP="002775E5">
            <w:pPr>
              <w:jc w:val="center"/>
              <w:rPr>
                <w:rFonts w:cs="Arial"/>
                <w:color w:val="000000"/>
                <w:sz w:val="18"/>
                <w:szCs w:val="20"/>
              </w:rPr>
            </w:pPr>
            <w:r w:rsidRPr="00BF210F">
              <w:rPr>
                <w:rFonts w:cs="Arial"/>
                <w:color w:val="000000"/>
                <w:sz w:val="18"/>
                <w:szCs w:val="20"/>
              </w:rPr>
              <w:t>(94%)</w:t>
            </w:r>
          </w:p>
        </w:tc>
        <w:tc>
          <w:tcPr>
            <w:tcW w:w="886" w:type="dxa"/>
            <w:tcBorders>
              <w:left w:val="nil"/>
              <w:right w:val="nil"/>
            </w:tcBorders>
            <w:shd w:val="clear" w:color="auto" w:fill="F2F2F2" w:themeFill="background1" w:themeFillShade="F2"/>
            <w:vAlign w:val="center"/>
          </w:tcPr>
          <w:p w14:paraId="5495D44D" w14:textId="77777777" w:rsidR="002775E5" w:rsidRPr="00BF210F" w:rsidRDefault="002775E5" w:rsidP="002775E5">
            <w:pPr>
              <w:jc w:val="center"/>
              <w:rPr>
                <w:rFonts w:cs="Arial"/>
                <w:color w:val="000000"/>
                <w:sz w:val="18"/>
                <w:szCs w:val="20"/>
              </w:rPr>
            </w:pPr>
            <w:r w:rsidRPr="00BF210F">
              <w:rPr>
                <w:rFonts w:cs="Arial"/>
                <w:color w:val="000000"/>
                <w:sz w:val="18"/>
                <w:szCs w:val="20"/>
              </w:rPr>
              <w:t xml:space="preserve">35 </w:t>
            </w:r>
          </w:p>
          <w:p w14:paraId="12FE7B72" w14:textId="77777777" w:rsidR="002775E5" w:rsidRPr="00BF210F" w:rsidRDefault="002775E5" w:rsidP="002775E5">
            <w:pPr>
              <w:jc w:val="center"/>
              <w:rPr>
                <w:rFonts w:cs="Arial"/>
                <w:color w:val="000000"/>
                <w:sz w:val="18"/>
                <w:szCs w:val="20"/>
              </w:rPr>
            </w:pPr>
            <w:r w:rsidRPr="00BF210F">
              <w:rPr>
                <w:rFonts w:cs="Arial"/>
                <w:color w:val="000000"/>
                <w:sz w:val="18"/>
                <w:szCs w:val="20"/>
              </w:rPr>
              <w:t>(71%)</w:t>
            </w:r>
          </w:p>
        </w:tc>
        <w:tc>
          <w:tcPr>
            <w:tcW w:w="886" w:type="dxa"/>
            <w:tcBorders>
              <w:left w:val="nil"/>
              <w:right w:val="nil"/>
            </w:tcBorders>
            <w:shd w:val="clear" w:color="auto" w:fill="F2F2F2" w:themeFill="background1" w:themeFillShade="F2"/>
            <w:vAlign w:val="center"/>
          </w:tcPr>
          <w:p w14:paraId="47D2865A" w14:textId="77777777" w:rsidR="002775E5" w:rsidRPr="00BF210F" w:rsidRDefault="002775E5" w:rsidP="002775E5">
            <w:pPr>
              <w:jc w:val="center"/>
              <w:rPr>
                <w:rFonts w:cs="Arial"/>
                <w:color w:val="000000"/>
                <w:sz w:val="18"/>
                <w:szCs w:val="20"/>
              </w:rPr>
            </w:pPr>
            <w:r w:rsidRPr="00BF210F">
              <w:rPr>
                <w:rFonts w:cs="Arial"/>
                <w:color w:val="000000"/>
                <w:sz w:val="18"/>
                <w:szCs w:val="20"/>
              </w:rPr>
              <w:t>0</w:t>
            </w:r>
          </w:p>
        </w:tc>
        <w:tc>
          <w:tcPr>
            <w:tcW w:w="886" w:type="dxa"/>
            <w:tcBorders>
              <w:left w:val="nil"/>
              <w:right w:val="nil"/>
            </w:tcBorders>
            <w:vAlign w:val="center"/>
          </w:tcPr>
          <w:p w14:paraId="7278FE8A" w14:textId="77777777" w:rsidR="002775E5" w:rsidRPr="00BF210F" w:rsidRDefault="002775E5" w:rsidP="002775E5">
            <w:pPr>
              <w:jc w:val="center"/>
              <w:rPr>
                <w:rFonts w:cs="Arial"/>
                <w:color w:val="000000"/>
                <w:sz w:val="18"/>
                <w:szCs w:val="20"/>
              </w:rPr>
            </w:pPr>
            <w:r w:rsidRPr="00BF210F">
              <w:rPr>
                <w:rFonts w:cs="Arial"/>
                <w:color w:val="000000"/>
                <w:sz w:val="18"/>
                <w:szCs w:val="20"/>
              </w:rPr>
              <w:t>152</w:t>
            </w:r>
          </w:p>
        </w:tc>
        <w:tc>
          <w:tcPr>
            <w:tcW w:w="886" w:type="dxa"/>
            <w:tcBorders>
              <w:left w:val="nil"/>
              <w:right w:val="nil"/>
            </w:tcBorders>
            <w:vAlign w:val="center"/>
          </w:tcPr>
          <w:p w14:paraId="26C9D7CA" w14:textId="77777777" w:rsidR="002775E5" w:rsidRPr="00BF210F" w:rsidRDefault="002775E5" w:rsidP="002775E5">
            <w:pPr>
              <w:jc w:val="center"/>
              <w:rPr>
                <w:rFonts w:cs="Arial"/>
                <w:color w:val="000000"/>
                <w:sz w:val="18"/>
                <w:szCs w:val="20"/>
              </w:rPr>
            </w:pPr>
            <w:r w:rsidRPr="00BF210F">
              <w:rPr>
                <w:rFonts w:cs="Arial"/>
                <w:color w:val="000000"/>
                <w:sz w:val="18"/>
                <w:szCs w:val="20"/>
              </w:rPr>
              <w:t>148 (97%)</w:t>
            </w:r>
          </w:p>
        </w:tc>
        <w:tc>
          <w:tcPr>
            <w:tcW w:w="886" w:type="dxa"/>
            <w:tcBorders>
              <w:left w:val="nil"/>
              <w:right w:val="nil"/>
            </w:tcBorders>
            <w:vAlign w:val="center"/>
          </w:tcPr>
          <w:p w14:paraId="28682A57" w14:textId="77777777" w:rsidR="002775E5" w:rsidRPr="00BF210F" w:rsidRDefault="002775E5" w:rsidP="002775E5">
            <w:pPr>
              <w:jc w:val="center"/>
              <w:rPr>
                <w:rFonts w:cs="Arial"/>
                <w:color w:val="000000"/>
                <w:sz w:val="18"/>
                <w:szCs w:val="20"/>
              </w:rPr>
            </w:pPr>
            <w:r w:rsidRPr="00BF210F">
              <w:rPr>
                <w:rFonts w:cs="Arial"/>
                <w:color w:val="000000"/>
                <w:sz w:val="18"/>
                <w:szCs w:val="20"/>
              </w:rPr>
              <w:t>125 (82%)</w:t>
            </w:r>
          </w:p>
        </w:tc>
        <w:tc>
          <w:tcPr>
            <w:tcW w:w="886" w:type="dxa"/>
            <w:tcBorders>
              <w:left w:val="nil"/>
              <w:right w:val="nil"/>
            </w:tcBorders>
            <w:vAlign w:val="center"/>
          </w:tcPr>
          <w:p w14:paraId="3F2D09CC" w14:textId="77777777" w:rsidR="002775E5" w:rsidRPr="00BF210F" w:rsidRDefault="002775E5" w:rsidP="002775E5">
            <w:pPr>
              <w:jc w:val="center"/>
              <w:rPr>
                <w:rFonts w:cs="Arial"/>
                <w:color w:val="000000"/>
                <w:sz w:val="18"/>
                <w:szCs w:val="20"/>
              </w:rPr>
            </w:pPr>
            <w:r w:rsidRPr="00BF210F">
              <w:rPr>
                <w:rFonts w:cs="Arial"/>
                <w:color w:val="000000"/>
                <w:sz w:val="18"/>
                <w:szCs w:val="20"/>
              </w:rPr>
              <w:t>143 (94%)</w:t>
            </w:r>
          </w:p>
        </w:tc>
        <w:tc>
          <w:tcPr>
            <w:tcW w:w="886" w:type="dxa"/>
            <w:tcBorders>
              <w:left w:val="nil"/>
              <w:right w:val="nil"/>
            </w:tcBorders>
            <w:vAlign w:val="center"/>
          </w:tcPr>
          <w:p w14:paraId="3DDDA7CF" w14:textId="77777777" w:rsidR="002775E5" w:rsidRPr="00BF210F" w:rsidRDefault="002775E5" w:rsidP="002775E5">
            <w:pPr>
              <w:jc w:val="center"/>
              <w:rPr>
                <w:rFonts w:cs="Arial"/>
                <w:color w:val="000000"/>
                <w:sz w:val="18"/>
                <w:szCs w:val="20"/>
              </w:rPr>
            </w:pPr>
            <w:r w:rsidRPr="00BF210F">
              <w:rPr>
                <w:rFonts w:cs="Arial"/>
                <w:color w:val="000000"/>
                <w:sz w:val="18"/>
                <w:szCs w:val="20"/>
              </w:rPr>
              <w:t>103 (73%)</w:t>
            </w:r>
          </w:p>
        </w:tc>
        <w:tc>
          <w:tcPr>
            <w:tcW w:w="886" w:type="dxa"/>
            <w:tcBorders>
              <w:left w:val="nil"/>
              <w:right w:val="nil"/>
            </w:tcBorders>
            <w:vAlign w:val="center"/>
          </w:tcPr>
          <w:p w14:paraId="7B7B7BB9" w14:textId="77777777" w:rsidR="002775E5" w:rsidRPr="00BF210F" w:rsidRDefault="002775E5" w:rsidP="002775E5">
            <w:pPr>
              <w:jc w:val="center"/>
              <w:rPr>
                <w:rFonts w:cs="Arial"/>
                <w:color w:val="000000"/>
                <w:sz w:val="18"/>
                <w:szCs w:val="20"/>
              </w:rPr>
            </w:pPr>
            <w:r w:rsidRPr="00BF210F">
              <w:rPr>
                <w:rFonts w:cs="Arial"/>
                <w:color w:val="000000"/>
                <w:sz w:val="18"/>
                <w:szCs w:val="20"/>
              </w:rPr>
              <w:t xml:space="preserve">9 </w:t>
            </w:r>
          </w:p>
          <w:p w14:paraId="4B466C01" w14:textId="77777777" w:rsidR="002775E5" w:rsidRPr="00BF210F" w:rsidRDefault="002775E5" w:rsidP="002775E5">
            <w:pPr>
              <w:jc w:val="center"/>
              <w:rPr>
                <w:rFonts w:cs="Arial"/>
                <w:color w:val="000000"/>
                <w:sz w:val="18"/>
                <w:szCs w:val="20"/>
              </w:rPr>
            </w:pPr>
            <w:r w:rsidRPr="00BF210F">
              <w:rPr>
                <w:rFonts w:cs="Arial"/>
                <w:color w:val="000000"/>
                <w:sz w:val="18"/>
                <w:szCs w:val="20"/>
              </w:rPr>
              <w:t>(6%)</w:t>
            </w:r>
          </w:p>
        </w:tc>
      </w:tr>
      <w:tr w:rsidR="002775E5" w:rsidRPr="00BF210F" w14:paraId="18156781" w14:textId="77777777" w:rsidTr="007C25F8">
        <w:tc>
          <w:tcPr>
            <w:tcW w:w="1844" w:type="dxa"/>
            <w:tcBorders>
              <w:left w:val="nil"/>
              <w:right w:val="nil"/>
            </w:tcBorders>
            <w:vAlign w:val="center"/>
          </w:tcPr>
          <w:p w14:paraId="0BBFC6F1" w14:textId="6A393FCF" w:rsidR="002775E5" w:rsidRPr="00BF210F" w:rsidRDefault="002775E5" w:rsidP="005400BB">
            <w:pPr>
              <w:rPr>
                <w:rFonts w:cs="Arial"/>
                <w:sz w:val="18"/>
                <w:szCs w:val="20"/>
                <w:lang w:val="en-US"/>
              </w:rPr>
            </w:pPr>
            <w:r w:rsidRPr="00BF210F">
              <w:rPr>
                <w:rFonts w:cs="Arial"/>
                <w:sz w:val="18"/>
                <w:szCs w:val="20"/>
                <w:lang w:val="en-US"/>
              </w:rPr>
              <w:t>Phakathi et al (2019)</w:t>
            </w:r>
            <w:r w:rsidRPr="00BF210F">
              <w:rPr>
                <w:rFonts w:cs="Arial"/>
                <w:sz w:val="18"/>
                <w:szCs w:val="20"/>
                <w:lang w:val="en-US"/>
              </w:rPr>
              <w:fldChar w:fldCharType="begin"/>
            </w:r>
            <w:r w:rsidR="0064139E">
              <w:rPr>
                <w:rFonts w:cs="Arial"/>
                <w:sz w:val="18"/>
                <w:szCs w:val="20"/>
                <w:lang w:val="en-US"/>
              </w:rPr>
              <w:instrText xml:space="preserve"> ADDIN ZOTERO_ITEM CSL_CITATION {"citationID":"zts7TRKS","properties":{"formattedCitation":"[20]","plainCitation":"[20]","noteIndex":0},"citationItems":[{"id":1956,"uris":["http://zotero.org/users/4481446/items/DBWD7553"],"uri":["http://zotero.org/users/4481446/items/DBWD7553"],"itemData":{"id":1956,"type":"article-journal","abstract":"Purpose\nBreast cancer is the most common cancer in women and a leading cause of cancer-related mortality worldwide. South Africa has the largest global burden of HIV infection and the largest anti-retroviral treatment (ART) program. This study aimed to analyse the association of HIV and ART use with breast cancer clinico-pathological characteristics.\nMethods\nStudy participants were females, newly diagnosed from May 2015 through September 2017 with invasive breast cancer at two academic Surgical Breast Units in Johannesburg, South Africa at the Charlotte Maxeke Johannesburg Academic Hospital and Chris Hani Baragwanath Academic Hospital. We compared HIV-positive and HIV negative patients' demographic and clinical-pathological characteristics at the time of breast cancer diagnosis.\nResults\nOf 1050 patients enrolled, 1016 (96.8%) had known HIV status, with 226 (22.2%) being HIV positive. HIV positive patients were younger (median (IQR) age 45 (40–52) years), than HIV-negative patients (median (IQR) age 57 (46–67)) (p &lt; 0.001). HIV positive patients were more likely to be diagnosed with late stage breast cancer (p = 0.01). However, HIV positive patients receiving ART at the time of breast cancer diagnosis were less likely to present with metastatic disease than those not on ART (p = 0.05).\nConclusion\nHIV-positive patients present with breast cancer at a younger age and later stage disease than HIV-negative patients. Neither the duration of HIV infection nor ART use was associated with clinico-pathological characteristics of breast cancer.","container-title":"The Breast","DOI":"10.1016/j.breast.2018.12.005","ISSN":"0960-9776","journalAbbreviation":"The Breast","page":"123-129","source":"ScienceDirect","title":"Clinico-pathological characteristics among South African women with breast cancer receiving anti-retroviral therapy for HIV","volume":"43","author":[{"family":"Phakathi","given":"Boitumelo"},{"family":"Cubasch","given":"Herbert"},{"family":"Nietz","given":"Sarah"},{"family":"Dickens","given":"Caroline"},{"family":"Dix-Peek","given":"Therese"},{"family":"Joffe","given":"Maureen"},{"family":"Neugut","given":"Alfred I."},{"family":"Jacobson","given":"Judith"},{"family":"Duarte","given":"Raquel"},{"family":"Ruff","given":"Paul"}],"issued":{"date-parts":[["2019",2,1]]}}}],"schema":"https://github.com/citation-style-language/schema/raw/master/csl-citation.json"}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[20]</w:t>
            </w:r>
            <w:r w:rsidRPr="00BF210F">
              <w:rPr>
                <w:rFonts w:cs="Arial"/>
                <w:sz w:val="18"/>
                <w:szCs w:val="20"/>
                <w:lang w:val="en-US"/>
              </w:rPr>
              <w:fldChar w:fldCharType="end"/>
            </w:r>
          </w:p>
        </w:tc>
        <w:tc>
          <w:tcPr>
            <w:tcW w:w="1275" w:type="dxa"/>
            <w:tcBorders>
              <w:left w:val="nil"/>
              <w:right w:val="nil"/>
            </w:tcBorders>
            <w:vAlign w:val="center"/>
          </w:tcPr>
          <w:p w14:paraId="171CDB79" w14:textId="13EC3435" w:rsidR="002775E5" w:rsidRPr="00BF210F" w:rsidRDefault="002775E5" w:rsidP="002775E5">
            <w:pPr>
              <w:rPr>
                <w:rFonts w:cs="Arial"/>
                <w:color w:val="000000"/>
                <w:sz w:val="18"/>
                <w:szCs w:val="20"/>
              </w:rPr>
            </w:pPr>
            <w:r w:rsidRPr="00BF210F">
              <w:rPr>
                <w:rFonts w:cs="Arial"/>
                <w:color w:val="000000"/>
                <w:sz w:val="18"/>
                <w:szCs w:val="20"/>
              </w:rPr>
              <w:t>Median: 45.0 (IQR 40-52)</w:t>
            </w:r>
          </w:p>
        </w:tc>
        <w:tc>
          <w:tcPr>
            <w:tcW w:w="1276" w:type="dxa"/>
            <w:tcBorders>
              <w:left w:val="nil"/>
              <w:right w:val="nil"/>
            </w:tcBorders>
            <w:vAlign w:val="center"/>
          </w:tcPr>
          <w:p w14:paraId="573FC146" w14:textId="05439938" w:rsidR="002775E5" w:rsidRPr="00BF210F" w:rsidRDefault="002775E5" w:rsidP="002775E5">
            <w:pPr>
              <w:rPr>
                <w:rFonts w:cs="Arial"/>
                <w:color w:val="000000"/>
                <w:sz w:val="18"/>
                <w:szCs w:val="20"/>
              </w:rPr>
            </w:pPr>
            <w:r w:rsidRPr="00BF210F">
              <w:rPr>
                <w:rFonts w:cs="Arial"/>
                <w:color w:val="000000"/>
                <w:sz w:val="18"/>
                <w:szCs w:val="20"/>
              </w:rPr>
              <w:t>Median: 57.0 (46-67)</w:t>
            </w:r>
          </w:p>
        </w:tc>
        <w:tc>
          <w:tcPr>
            <w:tcW w:w="885" w:type="dxa"/>
            <w:tcBorders>
              <w:left w:val="nil"/>
              <w:right w:val="nil"/>
            </w:tcBorders>
            <w:shd w:val="clear" w:color="auto" w:fill="F2F2F2" w:themeFill="background1" w:themeFillShade="F2"/>
            <w:vAlign w:val="center"/>
          </w:tcPr>
          <w:p w14:paraId="43E67D56"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7C631D16"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015FD4D3"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547451A2"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0D6C896D"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17E0C3D0"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24C4B24B"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28F8B5C6"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68622E31"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1992EFA9"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3500E26A" w14:textId="77777777" w:rsidR="002775E5" w:rsidRPr="00BF210F" w:rsidRDefault="002775E5" w:rsidP="002775E5">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7DFAC2F0" w14:textId="77777777" w:rsidR="002775E5" w:rsidRPr="00BF210F" w:rsidRDefault="002775E5" w:rsidP="002775E5">
            <w:pPr>
              <w:jc w:val="center"/>
              <w:rPr>
                <w:rFonts w:cs="Arial"/>
                <w:sz w:val="18"/>
                <w:szCs w:val="20"/>
              </w:rPr>
            </w:pPr>
            <w:r w:rsidRPr="00BF210F">
              <w:rPr>
                <w:rFonts w:cs="Arial"/>
                <w:sz w:val="18"/>
                <w:szCs w:val="20"/>
              </w:rPr>
              <w:t>NR</w:t>
            </w:r>
          </w:p>
        </w:tc>
      </w:tr>
      <w:tr w:rsidR="00863807" w:rsidRPr="00BF210F" w14:paraId="033E967C" w14:textId="77777777" w:rsidTr="00527DD9">
        <w:tc>
          <w:tcPr>
            <w:tcW w:w="1844" w:type="dxa"/>
            <w:tcBorders>
              <w:left w:val="nil"/>
              <w:right w:val="nil"/>
            </w:tcBorders>
            <w:vAlign w:val="center"/>
          </w:tcPr>
          <w:p w14:paraId="08306C26" w14:textId="1E65F40C" w:rsidR="00863807" w:rsidRPr="00BF210F" w:rsidRDefault="00863807" w:rsidP="005400BB">
            <w:pPr>
              <w:rPr>
                <w:rFonts w:cs="Arial"/>
                <w:sz w:val="18"/>
                <w:szCs w:val="20"/>
                <w:lang w:val="en-US"/>
              </w:rPr>
            </w:pPr>
            <w:r w:rsidRPr="00BF210F">
              <w:rPr>
                <w:rFonts w:cs="Arial"/>
                <w:sz w:val="18"/>
                <w:szCs w:val="20"/>
                <w:lang w:val="en-US"/>
              </w:rPr>
              <w:t>Bhatia et al (2019)</w:t>
            </w:r>
            <w:r w:rsidRPr="00BF210F">
              <w:rPr>
                <w:rFonts w:cs="Arial"/>
                <w:sz w:val="18"/>
                <w:szCs w:val="20"/>
                <w:lang w:val="en-US"/>
              </w:rPr>
              <w:fldChar w:fldCharType="begin"/>
            </w:r>
            <w:r w:rsidR="0064139E">
              <w:rPr>
                <w:rFonts w:cs="Arial"/>
                <w:sz w:val="18"/>
                <w:szCs w:val="20"/>
                <w:lang w:val="en-US"/>
              </w:rPr>
              <w:instrText xml:space="preserve"> ADDIN ZOTERO_ITEM CSL_CITATION {"citationID":"W9WwoHTH","properties":{"formattedCitation":"[21]","plainCitation":"[21]","noteIndex":0},"citationItems":[{"id":"XhB0aKvp/77F043gO","uris":["http://zotero.org/users/4481446/items/BTUMSDGF"],"uri":["http://zotero.org/users/4481446/items/BTUMSDGF"],"itemData":{"id":5818,"type":"article-journal","title":"Report of clinico-pathological features of breast cancer in HIV-infected and uninfected women in Botswana.","container-title":"Infectious agents and cancer","page":"28","volume":"14","abstract":"Background: To characterize the clinico-pathological features including estrogen  receptor (ER), progesterone receptor (PR) and Her-2/neu (HER2) expression in breast cancers in Botswana, and to compare them by HIV status. Methods: This was  a retrospective study using data from the National Health Laboratory and Diagnofirm Medical Laboratory in Gaborone from January 1, 2011 to December 31, 2015. Clinico-pathological details of patients were abstracted from electronic medical records. Results: A total of 384 unique breast cancer reports met our inclusion criteria. Of the patients with known HIV status, 42.7% (50/117) were","DOI":"10.1186/s13027-019-0245-6","ISSN":"1750-9378 1750-9378","note":"PMID: 31649747 \nPMCID: PMC6805363","journalAbbreviation":"Infect Agent Cancer","language":"eng","author":[{"family":"Bhatia","given":"Rohini K."},{"family":"Narasimhamurthy","given":"Mohan"},{"family":"Martei","given":"Yehoda M."},{"family":"Prabhakar","given":"Pooja"},{"family":"Hutson","given":"Jere"},{"family":"Chiyapo","given":"Sebathu"},{"family":"Makozhombwe","given":"Ignetious"},{"family":"Feldman","given":"Michael"},{"family":"Kayembe","given":"Mukendi K. A."},{"family":"Cooper","given":"Kum"},{"family":"Grover","given":"Surbhi"}],"issued":{"date-parts":[["2019"]]}}}],"schema":"https://github.com/citation-style-language/schema/raw/master/csl-citation.json"}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[21]</w:t>
            </w:r>
            <w:r w:rsidRPr="00BF210F">
              <w:rPr>
                <w:rFonts w:cs="Arial"/>
                <w:sz w:val="18"/>
                <w:szCs w:val="20"/>
                <w:lang w:val="en-US"/>
              </w:rPr>
              <w:fldChar w:fldCharType="end"/>
            </w:r>
          </w:p>
        </w:tc>
        <w:tc>
          <w:tcPr>
            <w:tcW w:w="1275" w:type="dxa"/>
            <w:tcBorders>
              <w:left w:val="nil"/>
              <w:right w:val="nil"/>
            </w:tcBorders>
          </w:tcPr>
          <w:p w14:paraId="733C0F20" w14:textId="3EDE90D9" w:rsidR="00863807" w:rsidRPr="00BF210F" w:rsidRDefault="00863807" w:rsidP="00863807">
            <w:pPr>
              <w:rPr>
                <w:rFonts w:cs="Arial"/>
                <w:sz w:val="18"/>
                <w:szCs w:val="20"/>
              </w:rPr>
            </w:pPr>
            <w:r w:rsidRPr="00BF210F">
              <w:rPr>
                <w:rFonts w:cs="Arial"/>
                <w:sz w:val="18"/>
                <w:szCs w:val="20"/>
              </w:rPr>
              <w:t>NR</w:t>
            </w:r>
            <w:r w:rsidRPr="00BF210F">
              <w:rPr>
                <w:rFonts w:cs="Arial"/>
                <w:sz w:val="18"/>
                <w:szCs w:val="20"/>
                <w:vertAlign w:val="superscript"/>
              </w:rPr>
              <w:t>¥</w:t>
            </w:r>
          </w:p>
        </w:tc>
        <w:tc>
          <w:tcPr>
            <w:tcW w:w="1276" w:type="dxa"/>
            <w:tcBorders>
              <w:left w:val="nil"/>
              <w:right w:val="nil"/>
            </w:tcBorders>
          </w:tcPr>
          <w:p w14:paraId="44B1AEB1" w14:textId="7B67A5A4" w:rsidR="00863807" w:rsidRPr="00BF210F" w:rsidRDefault="00863807" w:rsidP="00863807">
            <w:pPr>
              <w:rPr>
                <w:rFonts w:cs="Arial"/>
                <w:sz w:val="18"/>
                <w:szCs w:val="20"/>
              </w:rPr>
            </w:pPr>
            <w:r w:rsidRPr="00BF210F">
              <w:rPr>
                <w:rFonts w:cs="Arial"/>
                <w:sz w:val="18"/>
                <w:szCs w:val="20"/>
              </w:rPr>
              <w:t>NR</w:t>
            </w:r>
            <w:r w:rsidRPr="00BF210F">
              <w:rPr>
                <w:rFonts w:cs="Arial"/>
                <w:sz w:val="18"/>
                <w:szCs w:val="20"/>
                <w:vertAlign w:val="superscript"/>
              </w:rPr>
              <w:t>¥</w:t>
            </w:r>
          </w:p>
        </w:tc>
        <w:tc>
          <w:tcPr>
            <w:tcW w:w="885" w:type="dxa"/>
            <w:tcBorders>
              <w:left w:val="nil"/>
              <w:right w:val="nil"/>
            </w:tcBorders>
            <w:shd w:val="clear" w:color="auto" w:fill="F2F2F2" w:themeFill="background1" w:themeFillShade="F2"/>
            <w:vAlign w:val="center"/>
          </w:tcPr>
          <w:p w14:paraId="6F87A1AD"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415260D6"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1059B64E"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5CB38987"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6EAFECE9"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6E20A3EC"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753D898B"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54D2A097"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2F67ADE1"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37864F3B"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369A50A4"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591484FC" w14:textId="77777777" w:rsidR="00863807" w:rsidRPr="00BF210F" w:rsidRDefault="00863807" w:rsidP="00863807">
            <w:pPr>
              <w:jc w:val="center"/>
              <w:rPr>
                <w:rFonts w:cs="Arial"/>
                <w:sz w:val="18"/>
                <w:szCs w:val="20"/>
              </w:rPr>
            </w:pPr>
            <w:r w:rsidRPr="00BF210F">
              <w:rPr>
                <w:rFonts w:cs="Arial"/>
                <w:sz w:val="18"/>
                <w:szCs w:val="20"/>
              </w:rPr>
              <w:t>NR</w:t>
            </w:r>
          </w:p>
        </w:tc>
      </w:tr>
      <w:tr w:rsidR="00863807" w:rsidRPr="00BF210F" w14:paraId="581EB620" w14:textId="77777777" w:rsidTr="007C25F8">
        <w:tc>
          <w:tcPr>
            <w:tcW w:w="1844" w:type="dxa"/>
            <w:tcBorders>
              <w:left w:val="nil"/>
              <w:right w:val="nil"/>
            </w:tcBorders>
            <w:vAlign w:val="center"/>
          </w:tcPr>
          <w:p w14:paraId="131FCBD8" w14:textId="4262A3EC" w:rsidR="00863807" w:rsidRPr="00BF210F" w:rsidRDefault="00863807" w:rsidP="005400BB">
            <w:pPr>
              <w:rPr>
                <w:rFonts w:cs="Arial"/>
                <w:sz w:val="18"/>
                <w:szCs w:val="20"/>
                <w:lang w:val="en-US"/>
              </w:rPr>
            </w:pPr>
            <w:r w:rsidRPr="00BF210F">
              <w:rPr>
                <w:rFonts w:cs="Arial"/>
                <w:sz w:val="18"/>
                <w:szCs w:val="20"/>
                <w:lang w:val="en-US"/>
              </w:rPr>
              <w:t>Ayeni et al (2019)</w:t>
            </w:r>
            <w:r w:rsidRPr="00BF210F">
              <w:rPr>
                <w:rFonts w:cs="Arial"/>
                <w:sz w:val="18"/>
                <w:szCs w:val="20"/>
                <w:lang w:val="en-US"/>
              </w:rPr>
              <w:fldChar w:fldCharType="begin"/>
            </w:r>
            <w:r w:rsidR="0064139E">
              <w:rPr>
                <w:rFonts w:cs="Arial"/>
                <w:sz w:val="18"/>
                <w:szCs w:val="20"/>
                <w:lang w:val="en-US"/>
              </w:rPr>
              <w:instrText xml:space="preserve"> ADDIN ZOTERO_ITEM CSL_CITATION {"citationID":"ZA9JAgQ1","properties":{"formattedCitation":"[22]","plainCitation":"[22]","noteIndex":0},"citationItems":[{"id":"XhB0aKvp/nUAfOyeI","uris":["http://zotero.org/users/4481446/items/JFZ8HSCX"],"uri":["http://zotero.org/users/4481446/items/JFZ8HSCX"],"itemData":{"id":5827,"type":"article-journal","title":"The multimorbidity profile of South African women newly diagnosed with breast cancer.","container-title":"International journal of cancer","abstract":"Multimorbidity in women with breast cancer may delay presentation, affect treatment decisions and outcomes. We described the multimorbidity profile of women with breast cancer, its determinants, associations with stage at diagnosis  and treatments received. We collected self-reported data on five chronic conditions (hypertension, diabetes, cerebrovascular diseases, asthma/chronic obstructive pulmonary disease, tuberculosis), determined obesity using body mass  index (BMI) and tested HIV status, in women newly diagnosed with breast cancer between January 2016 and April 2018 in five public hospitals in South Africa. We  identified determinants of &gt;/=2 of the seven above-mentioned conditions (defined  as multimorbidity), multimorbidity itself with stage at diagnosis (advanced [III-IV] vs. early [0-II]) and multimorbidity with treatment modalities received. Among 2,281 women, 1,001 (44%) presented with multimorbidity. Obesity (52.8%), hypertension (41.3%), HIV (22.0%) and diabetes (13.7%) were the chronic conditions that occurred most frequently. Multimorbidity was more common with older age (OR = 1.02; 95% CI 1.01-1.03) and higher household socioeconomic status (HSES) (OR = 1.06; 95% CI 1.00-1.13). Multimorbidity was not associated with advanced-stage breast cancer at diagnosis, but for self-reported hypertension there was less likelihood of being diagnosed with advanced-stage disease in the adjusted model (OR 0.80; 95% CI 0.64-0.98). Multimorbidity was associated with first treatment received in those with early-stage disease, p = 0.003. The prevalence of multimorbidity is high among patients with breast cancer. Our findings suggest that multimorbidity had a significant impact on treatment received in those with early-stage disease. There is need to understand the impact of multimorbidity on breast cancer outcomes.","DOI":"10.1002/ijc.32727","ISSN":"1097-0215 0020-7136","note":"PMID: 31600408","journalAbbreviation":"Int J Cancer","language":"eng","author":[{"family":"Ayeni","given":"Oluwatosin A."},{"family":"Norris","given":"Shane A."},{"family":"Joffe","given":"Maureen"},{"family":"Cubasch","given":"Herbert"},{"family":"Nietz","given":"Sarah"},{"family":"Buccimazza","given":"Ines"},{"family":"Singh","given":"Urishka"},{"family":"Cacala","given":"Sharon"},{"family":"Stopforth","given":"Laura"},{"family":"Chen","given":"Wenlong C."},{"family":"McCormack","given":"Valerie A."},{"family":"O'Neil","given":"Daniel S."},{"family":"Jacobson","given":"Judith S."},{"family":"Neugut","given":"Alfred I."},{"family":"Ruff","given":"Paul"},{"family":"Micklesfield","given":"Lisa K."}],"issued":{"date-parts":[["2019",10,10]]}}}],"schema":"https://github.com/citation-style-language/schema/raw/master/csl-citation.json"}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[22]</w:t>
            </w:r>
            <w:r w:rsidRPr="00BF210F">
              <w:rPr>
                <w:rFonts w:cs="Arial"/>
                <w:sz w:val="18"/>
                <w:szCs w:val="20"/>
                <w:lang w:val="en-US"/>
              </w:rPr>
              <w:fldChar w:fldCharType="end"/>
            </w:r>
          </w:p>
        </w:tc>
        <w:tc>
          <w:tcPr>
            <w:tcW w:w="1275" w:type="dxa"/>
            <w:tcBorders>
              <w:left w:val="nil"/>
              <w:right w:val="nil"/>
            </w:tcBorders>
            <w:vAlign w:val="center"/>
          </w:tcPr>
          <w:p w14:paraId="4BC4A9EE" w14:textId="7B2985E1" w:rsidR="00863807" w:rsidRPr="00BF210F" w:rsidRDefault="00863807" w:rsidP="00863807">
            <w:pPr>
              <w:rPr>
                <w:rFonts w:cs="Arial"/>
                <w:sz w:val="18"/>
                <w:szCs w:val="20"/>
              </w:rPr>
            </w:pPr>
            <w:r w:rsidRPr="00BF210F">
              <w:rPr>
                <w:rFonts w:cs="Arial"/>
                <w:sz w:val="18"/>
                <w:szCs w:val="20"/>
              </w:rPr>
              <w:t>NR</w:t>
            </w:r>
          </w:p>
        </w:tc>
        <w:tc>
          <w:tcPr>
            <w:tcW w:w="1276" w:type="dxa"/>
            <w:tcBorders>
              <w:left w:val="nil"/>
              <w:right w:val="nil"/>
            </w:tcBorders>
            <w:vAlign w:val="center"/>
          </w:tcPr>
          <w:p w14:paraId="45DBEB2C" w14:textId="2C3F0639" w:rsidR="00863807" w:rsidRPr="00BF210F" w:rsidRDefault="00863807" w:rsidP="00863807">
            <w:pPr>
              <w:rPr>
                <w:rFonts w:cs="Arial"/>
                <w:sz w:val="18"/>
                <w:szCs w:val="20"/>
              </w:rPr>
            </w:pPr>
            <w:r w:rsidRPr="00BF210F">
              <w:rPr>
                <w:rFonts w:cs="Arial"/>
                <w:sz w:val="18"/>
                <w:szCs w:val="20"/>
              </w:rPr>
              <w:t>NR</w:t>
            </w:r>
          </w:p>
        </w:tc>
        <w:tc>
          <w:tcPr>
            <w:tcW w:w="885" w:type="dxa"/>
            <w:tcBorders>
              <w:left w:val="nil"/>
              <w:right w:val="nil"/>
            </w:tcBorders>
            <w:shd w:val="clear" w:color="auto" w:fill="F2F2F2" w:themeFill="background1" w:themeFillShade="F2"/>
            <w:vAlign w:val="center"/>
          </w:tcPr>
          <w:p w14:paraId="20D9CF54"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5EF382E9"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3EF203BB"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6585E3AA"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5C7BDC94"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16CA0238"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5EC3D9C3"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1A85E941"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1E522D2B"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519B9A32"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59774641"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4FCF2080" w14:textId="77777777" w:rsidR="00863807" w:rsidRPr="00BF210F" w:rsidRDefault="00863807" w:rsidP="00863807">
            <w:pPr>
              <w:jc w:val="center"/>
              <w:rPr>
                <w:rFonts w:cs="Arial"/>
                <w:sz w:val="18"/>
                <w:szCs w:val="20"/>
              </w:rPr>
            </w:pPr>
            <w:r w:rsidRPr="00BF210F">
              <w:rPr>
                <w:rFonts w:cs="Arial"/>
                <w:sz w:val="18"/>
                <w:szCs w:val="20"/>
              </w:rPr>
              <w:t>NR</w:t>
            </w:r>
          </w:p>
        </w:tc>
      </w:tr>
      <w:tr w:rsidR="00863807" w:rsidRPr="00BF210F" w14:paraId="3E07EB90" w14:textId="77777777" w:rsidTr="00527DD9">
        <w:tc>
          <w:tcPr>
            <w:tcW w:w="1844" w:type="dxa"/>
            <w:tcBorders>
              <w:left w:val="nil"/>
              <w:right w:val="nil"/>
            </w:tcBorders>
            <w:vAlign w:val="center"/>
          </w:tcPr>
          <w:p w14:paraId="2D3DCB7C" w14:textId="03D6CF92" w:rsidR="00863807" w:rsidRPr="00BF210F" w:rsidRDefault="00863807" w:rsidP="005400BB">
            <w:pPr>
              <w:rPr>
                <w:rFonts w:cs="Arial"/>
                <w:sz w:val="18"/>
                <w:szCs w:val="20"/>
                <w:lang w:val="en-US"/>
              </w:rPr>
            </w:pPr>
            <w:r w:rsidRPr="00BF210F">
              <w:rPr>
                <w:rFonts w:cs="Arial"/>
                <w:sz w:val="18"/>
                <w:szCs w:val="20"/>
                <w:lang w:val="en-US"/>
              </w:rPr>
              <w:t>Coghill et al (2019)</w:t>
            </w:r>
            <w:r w:rsidRPr="00BF210F">
              <w:rPr>
                <w:rFonts w:cs="Arial"/>
                <w:sz w:val="18"/>
                <w:szCs w:val="20"/>
                <w:lang w:val="en-US"/>
              </w:rPr>
              <w:fldChar w:fldCharType="begin"/>
            </w:r>
            <w:r w:rsidR="0064139E">
              <w:rPr>
                <w:rFonts w:cs="Arial"/>
                <w:sz w:val="18"/>
                <w:szCs w:val="20"/>
                <w:lang w:val="en-US"/>
              </w:rPr>
              <w:instrText xml:space="preserve"> ADDIN ZOTERO_ITEM CSL_CITATION {"citationID":"hwytlLtl","properties":{"formattedCitation":"[23]","plainCitation":"[23]","noteIndex":0},"citationItems":[{"id":"XhB0aKvp/mxc8fejx","uris":["http://zotero.org/users/4481446/items/KULGMNH2"],"uri":["http://zotero.org/users/4481446/items/KULGMNH2"],"itemData":{"id":5914,"type":"article-journal","title":"Advanced stage at diagnosis and elevated mortality among US patients with cancer  infected with HIV in the National Cancer Data Base.","container-title":"Cancer","page":"2868-2876","volume":"125","issue":"16","abstract":"BACKGROUND: People living with HIV (PLWH) are at an increased risk of developing  several cancers, but to the authors' knowledge less is known regarding how HIV impacts the rate of progression to advanced cancer or death. METHODS: The authors compared stage of disease at the time of presentation and mortality after diagnosis between 14,453 PLWH and 6,368,126 HIV-uninfected patients diagnosed with cancers of the oral cavity, stomach, colorectum, anus, liver, pancreas, lung, female breast, cervix, prostate, bladder, kidney, and thyroid and melanoma  using data from the National Cancer Data Base (2004-2014). Polytomous logistic regression and Cox proportional hazards regression were used to evaluate the association between HIV, cancer stage, and stage-adjusted mortality after diagnosis, respectively. Regression models accounted for the type of health facility at which cancer treatment was administered and the type of individual health insurance. RESULTS: HIV-infected patients with cancer were found to be more likely to be uninsured (HIV-infected: 5.0% vs HIV-uninfected: 3.3%; P &lt; .0001) and were less likely to have private health insurance (25.4% vs 44.7%; P &lt; .0001). Compared with those not infected with HIV, the odds of being diagnosed at an advanced stage of disease were significantly elevated in PLWH for melanoma and cancers of the oral cavity, liver, female breast, prostate, and thyroid (odds ratio for stage IV vs stage I range, 1.24-2.06). PLWH who were diagnosed with stage I to stage III disease experienced elevated mortality after diagnosis across 13 of the 14 cancer sites evaluated, with hazard ratios ranging from 1.20  (95% CI, 1.14-1.26) for lung cancer to 1.85 (95% CI, 1.68-2.04), 1.85 (95% CI, 1.51-2.27), and 2.93 (95% CI, 2.08-4.13), respectively, for cancers of the female breast, cervix, and thyroid. CONCLUSIONS: PLWH were more likely to be diagnosed with advanced-stage cancers and to experience elevated mortality after a cancer diagnosis, even after accounting for health care-related factors.","DOI":"10.1002/cncr.32158","ISSN":"1097-0142 0008-543X","note":"PMID: 31050361 \nPMCID: PMC6663596","journalAbbreviation":"Cancer","language":"eng","author":[{"family":"Coghill","given":"Anna E."},{"family":"Han","given":"Xuesong"},{"family":"Suneja","given":"Gita"},{"family":"Lin","given":"Chun Chieh"},{"family":"Jemal","given":"Ahmedin"},{"family":"Shiels","given":"Meredith S."}],"issued":{"date-parts":[["2019",8,15]]}}}],"schema":"https://github.com/citation-style-language/schema/raw/master/csl-citation.json"} </w:instrText>
            </w:r>
            <w:r w:rsidRPr="00BF210F">
              <w:rPr>
                <w:rFonts w:cs="Arial"/>
                <w:sz w:val="18"/>
                <w:szCs w:val="20"/>
                <w:lang w:val="en-US"/>
              </w:rPr>
              <w:fldChar w:fldCharType="separate"/>
            </w:r>
            <w:r w:rsidR="0064139E" w:rsidRPr="0064139E">
              <w:rPr>
                <w:rFonts w:ascii="Calibri" w:hAnsi="Calibri"/>
                <w:sz w:val="18"/>
              </w:rPr>
              <w:t>[23]</w:t>
            </w:r>
            <w:r w:rsidRPr="00BF210F">
              <w:rPr>
                <w:rFonts w:cs="Arial"/>
                <w:sz w:val="18"/>
                <w:szCs w:val="20"/>
                <w:lang w:val="en-US"/>
              </w:rPr>
              <w:fldChar w:fldCharType="end"/>
            </w:r>
            <w:r w:rsidRPr="00BF210F">
              <w:rPr>
                <w:rFonts w:cs="Arial"/>
                <w:sz w:val="18"/>
                <w:szCs w:val="20"/>
                <w:lang w:val="en-US"/>
              </w:rPr>
              <w:t>*</w:t>
            </w:r>
          </w:p>
        </w:tc>
        <w:tc>
          <w:tcPr>
            <w:tcW w:w="1275" w:type="dxa"/>
            <w:tcBorders>
              <w:left w:val="nil"/>
              <w:right w:val="nil"/>
            </w:tcBorders>
          </w:tcPr>
          <w:p w14:paraId="076B667B" w14:textId="24C87AE8" w:rsidR="00863807" w:rsidRPr="00BF210F" w:rsidRDefault="00863807" w:rsidP="00863807">
            <w:pPr>
              <w:rPr>
                <w:rFonts w:cs="Arial"/>
                <w:sz w:val="18"/>
                <w:szCs w:val="20"/>
              </w:rPr>
            </w:pPr>
            <w:r w:rsidRPr="00BF210F">
              <w:rPr>
                <w:rFonts w:cs="Arial"/>
                <w:sz w:val="18"/>
                <w:szCs w:val="20"/>
              </w:rPr>
              <w:t>NR</w:t>
            </w:r>
            <w:r w:rsidRPr="00BF210F">
              <w:rPr>
                <w:rFonts w:cs="Arial"/>
                <w:sz w:val="18"/>
                <w:szCs w:val="20"/>
                <w:vertAlign w:val="superscript"/>
              </w:rPr>
              <w:t>¥</w:t>
            </w:r>
          </w:p>
        </w:tc>
        <w:tc>
          <w:tcPr>
            <w:tcW w:w="1276" w:type="dxa"/>
            <w:tcBorders>
              <w:left w:val="nil"/>
              <w:right w:val="nil"/>
            </w:tcBorders>
          </w:tcPr>
          <w:p w14:paraId="36B41011" w14:textId="3A1FE82E" w:rsidR="00863807" w:rsidRPr="00BF210F" w:rsidRDefault="00863807" w:rsidP="00863807">
            <w:pPr>
              <w:rPr>
                <w:rFonts w:cs="Arial"/>
                <w:sz w:val="18"/>
                <w:szCs w:val="20"/>
              </w:rPr>
            </w:pPr>
            <w:r w:rsidRPr="00BF210F">
              <w:rPr>
                <w:rFonts w:cs="Arial"/>
                <w:sz w:val="18"/>
                <w:szCs w:val="20"/>
              </w:rPr>
              <w:t>NR</w:t>
            </w:r>
            <w:r w:rsidRPr="00BF210F">
              <w:rPr>
                <w:rFonts w:cs="Arial"/>
                <w:sz w:val="18"/>
                <w:szCs w:val="20"/>
                <w:vertAlign w:val="superscript"/>
              </w:rPr>
              <w:t>¥</w:t>
            </w:r>
          </w:p>
        </w:tc>
        <w:tc>
          <w:tcPr>
            <w:tcW w:w="885" w:type="dxa"/>
            <w:tcBorders>
              <w:left w:val="nil"/>
              <w:right w:val="nil"/>
            </w:tcBorders>
            <w:shd w:val="clear" w:color="auto" w:fill="F2F2F2" w:themeFill="background1" w:themeFillShade="F2"/>
            <w:vAlign w:val="center"/>
          </w:tcPr>
          <w:p w14:paraId="34D9229C"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09118AA0"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00FFC856"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6FB54529"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182B1F66"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shd w:val="clear" w:color="auto" w:fill="F2F2F2" w:themeFill="background1" w:themeFillShade="F2"/>
            <w:vAlign w:val="center"/>
          </w:tcPr>
          <w:p w14:paraId="4960417A"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0CBCD2B8"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42EC97D0"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0988DE88"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62CDC452"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0AF1717B" w14:textId="77777777" w:rsidR="00863807" w:rsidRPr="00BF210F" w:rsidRDefault="00863807" w:rsidP="00863807">
            <w:pPr>
              <w:jc w:val="center"/>
              <w:rPr>
                <w:rFonts w:cs="Arial"/>
                <w:sz w:val="18"/>
                <w:szCs w:val="20"/>
              </w:rPr>
            </w:pPr>
            <w:r w:rsidRPr="00BF210F">
              <w:rPr>
                <w:rFonts w:cs="Arial"/>
                <w:sz w:val="18"/>
                <w:szCs w:val="20"/>
              </w:rPr>
              <w:t>NR</w:t>
            </w:r>
          </w:p>
        </w:tc>
        <w:tc>
          <w:tcPr>
            <w:tcW w:w="886" w:type="dxa"/>
            <w:tcBorders>
              <w:left w:val="nil"/>
              <w:right w:val="nil"/>
            </w:tcBorders>
            <w:vAlign w:val="center"/>
          </w:tcPr>
          <w:p w14:paraId="6B9B408A" w14:textId="77777777" w:rsidR="00863807" w:rsidRPr="00BF210F" w:rsidRDefault="00863807" w:rsidP="00863807">
            <w:pPr>
              <w:jc w:val="center"/>
              <w:rPr>
                <w:rFonts w:cs="Arial"/>
                <w:sz w:val="18"/>
                <w:szCs w:val="20"/>
              </w:rPr>
            </w:pPr>
            <w:r w:rsidRPr="00BF210F">
              <w:rPr>
                <w:rFonts w:cs="Arial"/>
                <w:sz w:val="18"/>
                <w:szCs w:val="20"/>
              </w:rPr>
              <w:t>NR</w:t>
            </w:r>
          </w:p>
        </w:tc>
      </w:tr>
    </w:tbl>
    <w:p w14:paraId="50E4CFD9" w14:textId="77777777" w:rsidR="00CA1075" w:rsidRPr="00BF210F" w:rsidRDefault="00CA1075" w:rsidP="00D66A20">
      <w:pPr>
        <w:rPr>
          <w:rFonts w:cs="Arial"/>
        </w:rPr>
      </w:pPr>
    </w:p>
    <w:p w14:paraId="6E028FFE" w14:textId="4B1A9E6B" w:rsidR="00BF210F" w:rsidRDefault="00CA1075" w:rsidP="00D66A20">
      <w:pPr>
        <w:rPr>
          <w:rFonts w:cs="Arial"/>
          <w:sz w:val="16"/>
          <w:szCs w:val="20"/>
          <w:lang w:val="en-US"/>
        </w:rPr>
      </w:pPr>
      <w:r w:rsidRPr="00BF210F">
        <w:rPr>
          <w:rFonts w:cs="Arial"/>
          <w:sz w:val="16"/>
          <w:szCs w:val="20"/>
          <w:lang w:val="en-US"/>
        </w:rPr>
        <w:t>Legend: CT=chemotherapy; IQR=interquartile range; NR=not reported;</w:t>
      </w:r>
      <w:r w:rsidR="00FC10F5" w:rsidRPr="00BF210F">
        <w:rPr>
          <w:rFonts w:cs="Arial"/>
          <w:sz w:val="16"/>
          <w:szCs w:val="20"/>
          <w:lang w:val="en-US"/>
        </w:rPr>
        <w:t xml:space="preserve"> RT=radiotherapy;</w:t>
      </w:r>
      <w:r w:rsidRPr="00BF210F">
        <w:rPr>
          <w:rFonts w:cs="Arial"/>
          <w:sz w:val="16"/>
          <w:szCs w:val="20"/>
          <w:lang w:val="en-US"/>
        </w:rPr>
        <w:t xml:space="preserve"> SD=standard deviation; tx=treatment</w:t>
      </w:r>
      <w:r w:rsidR="00267E4A">
        <w:rPr>
          <w:rFonts w:cs="Arial"/>
          <w:sz w:val="16"/>
          <w:szCs w:val="20"/>
          <w:lang w:val="en-US"/>
        </w:rPr>
        <w:t>; WLWH=women living with HIV</w:t>
      </w:r>
      <w:r w:rsidR="003F7F3D" w:rsidRPr="00BF210F">
        <w:rPr>
          <w:rFonts w:cs="Arial"/>
          <w:sz w:val="16"/>
          <w:szCs w:val="20"/>
          <w:lang w:val="en-US"/>
        </w:rPr>
        <w:t>.</w:t>
      </w:r>
      <w:r w:rsidR="00BF210F">
        <w:rPr>
          <w:rFonts w:cs="Arial"/>
          <w:sz w:val="16"/>
          <w:szCs w:val="20"/>
          <w:lang w:val="en-US"/>
        </w:rPr>
        <w:t xml:space="preserve"> </w:t>
      </w:r>
    </w:p>
    <w:p w14:paraId="08ABA5B2" w14:textId="735AEE0B" w:rsidR="00CC7A0A" w:rsidRPr="00BF210F" w:rsidRDefault="00521297" w:rsidP="00D66A20">
      <w:pPr>
        <w:rPr>
          <w:rFonts w:cs="Arial"/>
          <w:color w:val="7030A0"/>
          <w:lang w:val="en-US"/>
        </w:rPr>
      </w:pPr>
      <w:r w:rsidRPr="00BF210F">
        <w:rPr>
          <w:rFonts w:cs="Arial"/>
          <w:sz w:val="16"/>
          <w:szCs w:val="20"/>
          <w:vertAlign w:val="superscript"/>
          <w:lang w:val="en-US"/>
        </w:rPr>
        <w:t>¥</w:t>
      </w:r>
      <w:r w:rsidRPr="00BF210F">
        <w:rPr>
          <w:rFonts w:cs="Arial"/>
          <w:sz w:val="16"/>
          <w:szCs w:val="20"/>
          <w:lang w:val="en-US"/>
        </w:rPr>
        <w:t>Not reported as a continuous variable</w:t>
      </w:r>
      <w:r w:rsidR="002775E5" w:rsidRPr="00BF210F">
        <w:rPr>
          <w:rFonts w:cs="Arial"/>
          <w:sz w:val="16"/>
          <w:szCs w:val="20"/>
          <w:lang w:val="en-US"/>
        </w:rPr>
        <w:t>, but in categories</w:t>
      </w:r>
      <w:r w:rsidRPr="00BF210F">
        <w:rPr>
          <w:rFonts w:cs="Arial"/>
          <w:sz w:val="16"/>
          <w:szCs w:val="20"/>
          <w:lang w:val="en-US"/>
        </w:rPr>
        <w:t xml:space="preserve">. </w:t>
      </w:r>
      <w:r w:rsidR="00CA1075" w:rsidRPr="00BF210F">
        <w:rPr>
          <w:rFonts w:cs="Arial"/>
          <w:sz w:val="16"/>
          <w:szCs w:val="20"/>
          <w:lang w:val="en-US"/>
        </w:rPr>
        <w:t>*Overall (all tumor types): Receipt of surgery, radiotherapy or chemotherapy among HIV-positive patients: 11,598 (80.2%) vs. among HIV-negative: 5,747,187 (90.3%).</w:t>
      </w:r>
      <w:r w:rsidR="00CC7A0A" w:rsidRPr="00BF210F">
        <w:rPr>
          <w:rFonts w:cs="Arial"/>
          <w:color w:val="7030A0"/>
          <w:lang w:val="en-US"/>
        </w:rPr>
        <w:br w:type="page"/>
      </w:r>
    </w:p>
    <w:p w14:paraId="3C0058A2" w14:textId="77777777" w:rsidR="00CA1075" w:rsidRPr="00BF210F" w:rsidRDefault="00CA1075" w:rsidP="00D66A20">
      <w:pPr>
        <w:autoSpaceDE w:val="0"/>
        <w:autoSpaceDN w:val="0"/>
        <w:adjustRightInd w:val="0"/>
        <w:rPr>
          <w:rFonts w:cs="Arial"/>
          <w:sz w:val="20"/>
          <w:szCs w:val="20"/>
        </w:rPr>
        <w:sectPr w:rsidR="00CA1075" w:rsidRPr="00BF210F" w:rsidSect="00CA1075">
          <w:pgSz w:w="16838" w:h="11906" w:orient="landscape"/>
          <w:pgMar w:top="1134" w:right="1134" w:bottom="1134" w:left="1134" w:header="567" w:footer="567" w:gutter="0"/>
          <w:cols w:space="708"/>
          <w:docGrid w:linePitch="360"/>
        </w:sectPr>
      </w:pPr>
    </w:p>
    <w:p w14:paraId="745516D1" w14:textId="77777777" w:rsidR="00C757AB" w:rsidRPr="00BF210F" w:rsidRDefault="00C757AB" w:rsidP="00D66A20">
      <w:pPr>
        <w:rPr>
          <w:rFonts w:cs="Times New Roman"/>
          <w:b/>
          <w:sz w:val="24"/>
          <w:szCs w:val="20"/>
          <w:lang w:val="en-US"/>
        </w:rPr>
      </w:pPr>
      <w:r w:rsidRPr="00BF210F">
        <w:rPr>
          <w:rFonts w:cs="Times New Roman"/>
          <w:b/>
          <w:sz w:val="24"/>
          <w:szCs w:val="20"/>
          <w:lang w:val="en-US"/>
        </w:rPr>
        <w:lastRenderedPageBreak/>
        <w:t>References</w:t>
      </w:r>
    </w:p>
    <w:p w14:paraId="7F593334" w14:textId="77777777" w:rsidR="00902803" w:rsidRPr="00BF210F" w:rsidRDefault="00902803" w:rsidP="00D66A20">
      <w:pPr>
        <w:rPr>
          <w:rFonts w:cs="Times New Roman"/>
          <w:sz w:val="20"/>
          <w:szCs w:val="20"/>
          <w:lang w:val="en-US"/>
        </w:rPr>
      </w:pPr>
    </w:p>
    <w:p w14:paraId="098088A8" w14:textId="77777777" w:rsidR="0064139E" w:rsidRPr="0064139E" w:rsidRDefault="00902803" w:rsidP="0064139E">
      <w:pPr>
        <w:pStyle w:val="Bibliography"/>
        <w:rPr>
          <w:rFonts w:ascii="Calibri" w:hAnsi="Calibri"/>
          <w:sz w:val="20"/>
        </w:rPr>
      </w:pPr>
      <w:r w:rsidRPr="00BF210F">
        <w:rPr>
          <w:sz w:val="20"/>
          <w:szCs w:val="20"/>
        </w:rPr>
        <w:fldChar w:fldCharType="begin"/>
      </w:r>
      <w:r w:rsidR="0064139E">
        <w:rPr>
          <w:sz w:val="20"/>
          <w:szCs w:val="20"/>
        </w:rPr>
        <w:instrText xml:space="preserve"> ADDIN ZOTERO_BIBL {"uncited":[],"omitted":[],"custom":[]} CSL_BIBLIOGRAPHY </w:instrText>
      </w:r>
      <w:r w:rsidRPr="00BF210F">
        <w:rPr>
          <w:sz w:val="20"/>
          <w:szCs w:val="20"/>
        </w:rPr>
        <w:fldChar w:fldCharType="separate"/>
      </w:r>
      <w:r w:rsidR="0064139E" w:rsidRPr="0064139E">
        <w:rPr>
          <w:rFonts w:ascii="Calibri" w:hAnsi="Calibri"/>
          <w:sz w:val="20"/>
        </w:rPr>
        <w:t xml:space="preserve">1 </w:t>
      </w:r>
      <w:r w:rsidR="0064139E" w:rsidRPr="0064139E">
        <w:rPr>
          <w:rFonts w:ascii="Calibri" w:hAnsi="Calibri"/>
          <w:sz w:val="20"/>
        </w:rPr>
        <w:tab/>
        <w:t xml:space="preserve">Biggar R, Engels E, Ly S, Kahn A, Schymura M, Sackoff J, </w:t>
      </w:r>
      <w:r w:rsidR="0064139E" w:rsidRPr="0064139E">
        <w:rPr>
          <w:rFonts w:ascii="Calibri" w:hAnsi="Calibri"/>
          <w:i/>
          <w:iCs/>
          <w:sz w:val="20"/>
        </w:rPr>
        <w:t>et al.</w:t>
      </w:r>
      <w:r w:rsidR="0064139E" w:rsidRPr="0064139E">
        <w:rPr>
          <w:rFonts w:ascii="Calibri" w:hAnsi="Calibri"/>
          <w:sz w:val="20"/>
        </w:rPr>
        <w:t xml:space="preserve"> </w:t>
      </w:r>
      <w:r w:rsidR="0064139E" w:rsidRPr="0064139E">
        <w:rPr>
          <w:rFonts w:ascii="Calibri" w:hAnsi="Calibri"/>
          <w:b/>
          <w:bCs/>
          <w:sz w:val="20"/>
        </w:rPr>
        <w:t>Survival After Cancer Diagnosis in Persons With AIDS</w:t>
      </w:r>
      <w:r w:rsidR="0064139E" w:rsidRPr="0064139E">
        <w:rPr>
          <w:rFonts w:ascii="Calibri" w:hAnsi="Calibri"/>
          <w:sz w:val="20"/>
        </w:rPr>
        <w:t xml:space="preserve">. </w:t>
      </w:r>
      <w:r w:rsidR="0064139E" w:rsidRPr="0064139E">
        <w:rPr>
          <w:rFonts w:ascii="Calibri" w:hAnsi="Calibri"/>
          <w:i/>
          <w:iCs/>
          <w:sz w:val="20"/>
        </w:rPr>
        <w:t>Jaids Journal of Acquired Immune Deficiency Syndromes</w:t>
      </w:r>
      <w:r w:rsidR="0064139E" w:rsidRPr="0064139E">
        <w:rPr>
          <w:rFonts w:ascii="Calibri" w:hAnsi="Calibri"/>
          <w:sz w:val="20"/>
        </w:rPr>
        <w:t xml:space="preserve"> 2005; </w:t>
      </w:r>
      <w:r w:rsidR="0064139E" w:rsidRPr="0064139E">
        <w:rPr>
          <w:rFonts w:ascii="Calibri" w:hAnsi="Calibri"/>
          <w:b/>
          <w:bCs/>
          <w:sz w:val="20"/>
        </w:rPr>
        <w:t>39</w:t>
      </w:r>
      <w:r w:rsidR="0064139E" w:rsidRPr="0064139E">
        <w:rPr>
          <w:rFonts w:ascii="Calibri" w:hAnsi="Calibri"/>
          <w:sz w:val="20"/>
        </w:rPr>
        <w:t>:293–299.</w:t>
      </w:r>
    </w:p>
    <w:p w14:paraId="23074A02" w14:textId="77777777" w:rsidR="0064139E" w:rsidRPr="0064139E" w:rsidRDefault="0064139E" w:rsidP="0064139E">
      <w:pPr>
        <w:pStyle w:val="Bibliography"/>
        <w:rPr>
          <w:rFonts w:ascii="Calibri" w:hAnsi="Calibri"/>
          <w:sz w:val="20"/>
        </w:rPr>
      </w:pPr>
      <w:r w:rsidRPr="0064139E">
        <w:rPr>
          <w:rFonts w:ascii="Calibri" w:hAnsi="Calibri"/>
          <w:sz w:val="20"/>
        </w:rPr>
        <w:t xml:space="preserve">2 </w:t>
      </w:r>
      <w:r w:rsidRPr="0064139E">
        <w:rPr>
          <w:rFonts w:ascii="Calibri" w:hAnsi="Calibri"/>
          <w:sz w:val="20"/>
        </w:rPr>
        <w:tab/>
        <w:t xml:space="preserve">Sseggwanyi J, Galukande M, Fualal J, Jombwe J. </w:t>
      </w:r>
      <w:r w:rsidRPr="0064139E">
        <w:rPr>
          <w:rFonts w:ascii="Calibri" w:hAnsi="Calibri"/>
          <w:b/>
          <w:bCs/>
          <w:sz w:val="20"/>
        </w:rPr>
        <w:t>Prevalence of HIV/AIDS among Breast Cancer Patients and the associated Clinico-pathological features</w:t>
      </w:r>
      <w:r w:rsidRPr="0064139E">
        <w:rPr>
          <w:rFonts w:ascii="Calibri" w:hAnsi="Calibri"/>
          <w:sz w:val="20"/>
        </w:rPr>
        <w:t xml:space="preserve">. </w:t>
      </w:r>
      <w:r w:rsidRPr="0064139E">
        <w:rPr>
          <w:rFonts w:ascii="Calibri" w:hAnsi="Calibri"/>
          <w:i/>
          <w:iCs/>
          <w:sz w:val="20"/>
        </w:rPr>
        <w:t>Annals of African Surgery</w:t>
      </w:r>
      <w:r w:rsidRPr="0064139E">
        <w:rPr>
          <w:rFonts w:ascii="Calibri" w:hAnsi="Calibri"/>
          <w:sz w:val="20"/>
        </w:rPr>
        <w:t xml:space="preserve"> 2011; </w:t>
      </w:r>
      <w:r w:rsidRPr="0064139E">
        <w:rPr>
          <w:rFonts w:ascii="Calibri" w:hAnsi="Calibri"/>
          <w:b/>
          <w:bCs/>
          <w:sz w:val="20"/>
        </w:rPr>
        <w:t>8</w:t>
      </w:r>
      <w:r w:rsidRPr="0064139E">
        <w:rPr>
          <w:rFonts w:ascii="Calibri" w:hAnsi="Calibri"/>
          <w:sz w:val="20"/>
        </w:rPr>
        <w:t>.https://www.ajol.info/index.php/aas/article/view/73526 (accessed 28 Aug2019).</w:t>
      </w:r>
    </w:p>
    <w:p w14:paraId="69AEF24F" w14:textId="77777777" w:rsidR="0064139E" w:rsidRPr="0064139E" w:rsidRDefault="0064139E" w:rsidP="0064139E">
      <w:pPr>
        <w:pStyle w:val="Bibliography"/>
        <w:rPr>
          <w:rFonts w:ascii="Calibri" w:hAnsi="Calibri"/>
          <w:sz w:val="20"/>
        </w:rPr>
      </w:pPr>
      <w:r w:rsidRPr="0064139E">
        <w:rPr>
          <w:rFonts w:ascii="Calibri" w:hAnsi="Calibri"/>
          <w:sz w:val="20"/>
        </w:rPr>
        <w:t xml:space="preserve">3 </w:t>
      </w:r>
      <w:r w:rsidRPr="0064139E">
        <w:rPr>
          <w:rFonts w:ascii="Calibri" w:hAnsi="Calibri"/>
          <w:sz w:val="20"/>
        </w:rPr>
        <w:tab/>
        <w:t xml:space="preserve">Coghill AE, Newcomb PA, Madeleine MM, Richardson BA, Mutyaba I, Okuku F, </w:t>
      </w:r>
      <w:r w:rsidRPr="0064139E">
        <w:rPr>
          <w:rFonts w:ascii="Calibri" w:hAnsi="Calibri"/>
          <w:i/>
          <w:iCs/>
          <w:sz w:val="20"/>
        </w:rPr>
        <w:t>et al.</w:t>
      </w:r>
      <w:r w:rsidRPr="0064139E">
        <w:rPr>
          <w:rFonts w:ascii="Calibri" w:hAnsi="Calibri"/>
          <w:sz w:val="20"/>
        </w:rPr>
        <w:t xml:space="preserve"> </w:t>
      </w:r>
      <w:r w:rsidRPr="0064139E">
        <w:rPr>
          <w:rFonts w:ascii="Calibri" w:hAnsi="Calibri"/>
          <w:b/>
          <w:bCs/>
          <w:sz w:val="20"/>
        </w:rPr>
        <w:t>Contribution of HIV infection to mortality among cancer patients in Uganda</w:t>
      </w:r>
      <w:r w:rsidRPr="0064139E">
        <w:rPr>
          <w:rFonts w:ascii="Calibri" w:hAnsi="Calibri"/>
          <w:sz w:val="20"/>
        </w:rPr>
        <w:t xml:space="preserve">. </w:t>
      </w:r>
      <w:r w:rsidRPr="0064139E">
        <w:rPr>
          <w:rFonts w:ascii="Calibri" w:hAnsi="Calibri"/>
          <w:i/>
          <w:iCs/>
          <w:sz w:val="20"/>
        </w:rPr>
        <w:t>AIDS</w:t>
      </w:r>
      <w:r w:rsidRPr="0064139E">
        <w:rPr>
          <w:rFonts w:ascii="Calibri" w:hAnsi="Calibri"/>
          <w:sz w:val="20"/>
        </w:rPr>
        <w:t xml:space="preserve"> 2013; </w:t>
      </w:r>
      <w:r w:rsidRPr="0064139E">
        <w:rPr>
          <w:rFonts w:ascii="Calibri" w:hAnsi="Calibri"/>
          <w:b/>
          <w:bCs/>
          <w:sz w:val="20"/>
        </w:rPr>
        <w:t>27</w:t>
      </w:r>
      <w:r w:rsidRPr="0064139E">
        <w:rPr>
          <w:rFonts w:ascii="Calibri" w:hAnsi="Calibri"/>
          <w:sz w:val="20"/>
        </w:rPr>
        <w:t>:2933–2942.</w:t>
      </w:r>
    </w:p>
    <w:p w14:paraId="7792BAC1" w14:textId="77777777" w:rsidR="0064139E" w:rsidRPr="0064139E" w:rsidRDefault="0064139E" w:rsidP="0064139E">
      <w:pPr>
        <w:pStyle w:val="Bibliography"/>
        <w:rPr>
          <w:rFonts w:ascii="Calibri" w:hAnsi="Calibri"/>
          <w:sz w:val="20"/>
        </w:rPr>
      </w:pPr>
      <w:r w:rsidRPr="0064139E">
        <w:rPr>
          <w:rFonts w:ascii="Calibri" w:hAnsi="Calibri"/>
          <w:sz w:val="20"/>
        </w:rPr>
        <w:t xml:space="preserve">4 </w:t>
      </w:r>
      <w:r w:rsidRPr="0064139E">
        <w:rPr>
          <w:rFonts w:ascii="Calibri" w:hAnsi="Calibri"/>
          <w:sz w:val="20"/>
        </w:rPr>
        <w:tab/>
        <w:t xml:space="preserve">Cubasch H, Joffe M, Hanisch R, Schuz J, Neugut AI, Karstaedt A, </w:t>
      </w:r>
      <w:r w:rsidRPr="0064139E">
        <w:rPr>
          <w:rFonts w:ascii="Calibri" w:hAnsi="Calibri"/>
          <w:i/>
          <w:iCs/>
          <w:sz w:val="20"/>
        </w:rPr>
        <w:t>et al.</w:t>
      </w:r>
      <w:r w:rsidRPr="0064139E">
        <w:rPr>
          <w:rFonts w:ascii="Calibri" w:hAnsi="Calibri"/>
          <w:sz w:val="20"/>
        </w:rPr>
        <w:t xml:space="preserve"> </w:t>
      </w:r>
      <w:r w:rsidRPr="0064139E">
        <w:rPr>
          <w:rFonts w:ascii="Calibri" w:hAnsi="Calibri"/>
          <w:b/>
          <w:bCs/>
          <w:sz w:val="20"/>
        </w:rPr>
        <w:t>Breast cancer characteristics and HIV among 1,092 women in Soweto, South Africa</w:t>
      </w:r>
      <w:r w:rsidRPr="0064139E">
        <w:rPr>
          <w:rFonts w:ascii="Calibri" w:hAnsi="Calibri"/>
          <w:sz w:val="20"/>
        </w:rPr>
        <w:t xml:space="preserve">. </w:t>
      </w:r>
      <w:r w:rsidRPr="0064139E">
        <w:rPr>
          <w:rFonts w:ascii="Calibri" w:hAnsi="Calibri"/>
          <w:i/>
          <w:iCs/>
          <w:sz w:val="20"/>
        </w:rPr>
        <w:t>Breast Cancer Res Treat</w:t>
      </w:r>
      <w:r w:rsidRPr="0064139E">
        <w:rPr>
          <w:rFonts w:ascii="Calibri" w:hAnsi="Calibri"/>
          <w:sz w:val="20"/>
        </w:rPr>
        <w:t xml:space="preserve"> 2013; </w:t>
      </w:r>
      <w:r w:rsidRPr="0064139E">
        <w:rPr>
          <w:rFonts w:ascii="Calibri" w:hAnsi="Calibri"/>
          <w:b/>
          <w:bCs/>
          <w:sz w:val="20"/>
        </w:rPr>
        <w:t>140</w:t>
      </w:r>
      <w:r w:rsidRPr="0064139E">
        <w:rPr>
          <w:rFonts w:ascii="Calibri" w:hAnsi="Calibri"/>
          <w:sz w:val="20"/>
        </w:rPr>
        <w:t>:177–186.</w:t>
      </w:r>
    </w:p>
    <w:p w14:paraId="53137A32" w14:textId="77777777" w:rsidR="0064139E" w:rsidRPr="0064139E" w:rsidRDefault="0064139E" w:rsidP="0064139E">
      <w:pPr>
        <w:pStyle w:val="Bibliography"/>
        <w:rPr>
          <w:rFonts w:ascii="Calibri" w:hAnsi="Calibri"/>
          <w:sz w:val="20"/>
        </w:rPr>
      </w:pPr>
      <w:r w:rsidRPr="0064139E">
        <w:rPr>
          <w:rFonts w:ascii="Calibri" w:hAnsi="Calibri"/>
          <w:sz w:val="20"/>
        </w:rPr>
        <w:t xml:space="preserve">5 </w:t>
      </w:r>
      <w:r w:rsidRPr="0064139E">
        <w:rPr>
          <w:rFonts w:ascii="Calibri" w:hAnsi="Calibri"/>
          <w:sz w:val="20"/>
        </w:rPr>
        <w:tab/>
        <w:t xml:space="preserve">Cubasch H, Dickens C, Joffe M, Duarte R, Murugan N, Tsai Chih M, </w:t>
      </w:r>
      <w:r w:rsidRPr="0064139E">
        <w:rPr>
          <w:rFonts w:ascii="Calibri" w:hAnsi="Calibri"/>
          <w:i/>
          <w:iCs/>
          <w:sz w:val="20"/>
        </w:rPr>
        <w:t>et al.</w:t>
      </w:r>
      <w:r w:rsidRPr="0064139E">
        <w:rPr>
          <w:rFonts w:ascii="Calibri" w:hAnsi="Calibri"/>
          <w:sz w:val="20"/>
        </w:rPr>
        <w:t xml:space="preserve"> </w:t>
      </w:r>
      <w:r w:rsidRPr="0064139E">
        <w:rPr>
          <w:rFonts w:ascii="Calibri" w:hAnsi="Calibri"/>
          <w:b/>
          <w:bCs/>
          <w:sz w:val="20"/>
        </w:rPr>
        <w:t>Breast cancer survival in Soweto, Johannesburg, South Africa: A receptor-defined cohort of women diagnosed from 2009 to 11</w:t>
      </w:r>
      <w:r w:rsidRPr="0064139E">
        <w:rPr>
          <w:rFonts w:ascii="Calibri" w:hAnsi="Calibri"/>
          <w:sz w:val="20"/>
        </w:rPr>
        <w:t xml:space="preserve">. </w:t>
      </w:r>
      <w:r w:rsidRPr="0064139E">
        <w:rPr>
          <w:rFonts w:ascii="Calibri" w:hAnsi="Calibri"/>
          <w:i/>
          <w:iCs/>
          <w:sz w:val="20"/>
        </w:rPr>
        <w:t>Cancer Epidemiology</w:t>
      </w:r>
      <w:r w:rsidRPr="0064139E">
        <w:rPr>
          <w:rFonts w:ascii="Calibri" w:hAnsi="Calibri"/>
          <w:sz w:val="20"/>
        </w:rPr>
        <w:t xml:space="preserve"> 2018; </w:t>
      </w:r>
      <w:r w:rsidRPr="0064139E">
        <w:rPr>
          <w:rFonts w:ascii="Calibri" w:hAnsi="Calibri"/>
          <w:b/>
          <w:bCs/>
          <w:sz w:val="20"/>
        </w:rPr>
        <w:t>52</w:t>
      </w:r>
      <w:r w:rsidRPr="0064139E">
        <w:rPr>
          <w:rFonts w:ascii="Calibri" w:hAnsi="Calibri"/>
          <w:sz w:val="20"/>
        </w:rPr>
        <w:t>:120–127.</w:t>
      </w:r>
    </w:p>
    <w:p w14:paraId="2D43A236" w14:textId="77777777" w:rsidR="0064139E" w:rsidRPr="0064139E" w:rsidRDefault="0064139E" w:rsidP="0064139E">
      <w:pPr>
        <w:pStyle w:val="Bibliography"/>
        <w:rPr>
          <w:rFonts w:ascii="Calibri" w:hAnsi="Calibri"/>
          <w:sz w:val="20"/>
        </w:rPr>
      </w:pPr>
      <w:r w:rsidRPr="0064139E">
        <w:rPr>
          <w:rFonts w:ascii="Calibri" w:hAnsi="Calibri"/>
          <w:sz w:val="20"/>
        </w:rPr>
        <w:t xml:space="preserve">6 </w:t>
      </w:r>
      <w:r w:rsidRPr="0064139E">
        <w:rPr>
          <w:rFonts w:ascii="Calibri" w:hAnsi="Calibri"/>
          <w:sz w:val="20"/>
        </w:rPr>
        <w:tab/>
        <w:t xml:space="preserve">Shiels MS, Copeland G, Goodman MT, Harrell J, Lynch CF, Pawlish K, </w:t>
      </w:r>
      <w:r w:rsidRPr="0064139E">
        <w:rPr>
          <w:rFonts w:ascii="Calibri" w:hAnsi="Calibri"/>
          <w:i/>
          <w:iCs/>
          <w:sz w:val="20"/>
        </w:rPr>
        <w:t>et al.</w:t>
      </w:r>
      <w:r w:rsidRPr="0064139E">
        <w:rPr>
          <w:rFonts w:ascii="Calibri" w:hAnsi="Calibri"/>
          <w:sz w:val="20"/>
        </w:rPr>
        <w:t xml:space="preserve"> </w:t>
      </w:r>
      <w:r w:rsidRPr="0064139E">
        <w:rPr>
          <w:rFonts w:ascii="Calibri" w:hAnsi="Calibri"/>
          <w:b/>
          <w:bCs/>
          <w:sz w:val="20"/>
        </w:rPr>
        <w:t>Cancer stage at diagnosis in patients infected with the human immunodeficiency virus and transplant recipients</w:t>
      </w:r>
      <w:r w:rsidRPr="0064139E">
        <w:rPr>
          <w:rFonts w:ascii="Calibri" w:hAnsi="Calibri"/>
          <w:sz w:val="20"/>
        </w:rPr>
        <w:t xml:space="preserve">. </w:t>
      </w:r>
      <w:r w:rsidRPr="0064139E">
        <w:rPr>
          <w:rFonts w:ascii="Calibri" w:hAnsi="Calibri"/>
          <w:i/>
          <w:iCs/>
          <w:sz w:val="20"/>
        </w:rPr>
        <w:t>Cancer</w:t>
      </w:r>
      <w:r w:rsidRPr="0064139E">
        <w:rPr>
          <w:rFonts w:ascii="Calibri" w:hAnsi="Calibri"/>
          <w:sz w:val="20"/>
        </w:rPr>
        <w:t xml:space="preserve"> 2015; </w:t>
      </w:r>
      <w:r w:rsidRPr="0064139E">
        <w:rPr>
          <w:rFonts w:ascii="Calibri" w:hAnsi="Calibri"/>
          <w:b/>
          <w:bCs/>
          <w:sz w:val="20"/>
        </w:rPr>
        <w:t>121</w:t>
      </w:r>
      <w:r w:rsidRPr="0064139E">
        <w:rPr>
          <w:rFonts w:ascii="Calibri" w:hAnsi="Calibri"/>
          <w:sz w:val="20"/>
        </w:rPr>
        <w:t>:2063–2071.</w:t>
      </w:r>
    </w:p>
    <w:p w14:paraId="16B2C77D" w14:textId="77777777" w:rsidR="0064139E" w:rsidRPr="0064139E" w:rsidRDefault="0064139E" w:rsidP="0064139E">
      <w:pPr>
        <w:pStyle w:val="Bibliography"/>
        <w:rPr>
          <w:rFonts w:ascii="Calibri" w:hAnsi="Calibri"/>
          <w:sz w:val="20"/>
        </w:rPr>
      </w:pPr>
      <w:r w:rsidRPr="0064139E">
        <w:rPr>
          <w:rFonts w:ascii="Calibri" w:hAnsi="Calibri"/>
          <w:sz w:val="20"/>
        </w:rPr>
        <w:t xml:space="preserve">7 </w:t>
      </w:r>
      <w:r w:rsidRPr="0064139E">
        <w:rPr>
          <w:rFonts w:ascii="Calibri" w:hAnsi="Calibri"/>
          <w:sz w:val="20"/>
        </w:rPr>
        <w:tab/>
        <w:t xml:space="preserve">Coghill AE, Shiels MS, Suneja G, Engels EA. </w:t>
      </w:r>
      <w:r w:rsidRPr="0064139E">
        <w:rPr>
          <w:rFonts w:ascii="Calibri" w:hAnsi="Calibri"/>
          <w:b/>
          <w:bCs/>
          <w:sz w:val="20"/>
        </w:rPr>
        <w:t>Elevated Cancer-Specific Mortality Among HIV-Infected Patients in the United States</w:t>
      </w:r>
      <w:r w:rsidRPr="0064139E">
        <w:rPr>
          <w:rFonts w:ascii="Calibri" w:hAnsi="Calibri"/>
          <w:sz w:val="20"/>
        </w:rPr>
        <w:t xml:space="preserve">. </w:t>
      </w:r>
      <w:r w:rsidRPr="0064139E">
        <w:rPr>
          <w:rFonts w:ascii="Calibri" w:hAnsi="Calibri"/>
          <w:i/>
          <w:iCs/>
          <w:sz w:val="20"/>
        </w:rPr>
        <w:t>JCO</w:t>
      </w:r>
      <w:r w:rsidRPr="0064139E">
        <w:rPr>
          <w:rFonts w:ascii="Calibri" w:hAnsi="Calibri"/>
          <w:sz w:val="20"/>
        </w:rPr>
        <w:t xml:space="preserve"> 2015; </w:t>
      </w:r>
      <w:r w:rsidRPr="0064139E">
        <w:rPr>
          <w:rFonts w:ascii="Calibri" w:hAnsi="Calibri"/>
          <w:b/>
          <w:bCs/>
          <w:sz w:val="20"/>
        </w:rPr>
        <w:t>33</w:t>
      </w:r>
      <w:r w:rsidRPr="0064139E">
        <w:rPr>
          <w:rFonts w:ascii="Calibri" w:hAnsi="Calibri"/>
          <w:sz w:val="20"/>
        </w:rPr>
        <w:t>:2376–2383.</w:t>
      </w:r>
    </w:p>
    <w:p w14:paraId="639BC007" w14:textId="77777777" w:rsidR="0064139E" w:rsidRPr="0064139E" w:rsidRDefault="0064139E" w:rsidP="0064139E">
      <w:pPr>
        <w:pStyle w:val="Bibliography"/>
        <w:rPr>
          <w:rFonts w:ascii="Calibri" w:hAnsi="Calibri"/>
          <w:sz w:val="20"/>
        </w:rPr>
      </w:pPr>
      <w:r w:rsidRPr="0064139E">
        <w:rPr>
          <w:rFonts w:ascii="Calibri" w:hAnsi="Calibri"/>
          <w:sz w:val="20"/>
        </w:rPr>
        <w:t xml:space="preserve">8 </w:t>
      </w:r>
      <w:r w:rsidRPr="0064139E">
        <w:rPr>
          <w:rFonts w:ascii="Calibri" w:hAnsi="Calibri"/>
          <w:sz w:val="20"/>
        </w:rPr>
        <w:tab/>
        <w:t xml:space="preserve">Traore B, Diane S, Sow MS, Keita M, Conde M, Traore FA, </w:t>
      </w:r>
      <w:r w:rsidRPr="0064139E">
        <w:rPr>
          <w:rFonts w:ascii="Calibri" w:hAnsi="Calibri"/>
          <w:i/>
          <w:iCs/>
          <w:sz w:val="20"/>
        </w:rPr>
        <w:t>et al.</w:t>
      </w:r>
      <w:r w:rsidRPr="0064139E">
        <w:rPr>
          <w:rFonts w:ascii="Calibri" w:hAnsi="Calibri"/>
          <w:sz w:val="20"/>
        </w:rPr>
        <w:t xml:space="preserve"> </w:t>
      </w:r>
      <w:r w:rsidRPr="0064139E">
        <w:rPr>
          <w:rFonts w:ascii="Calibri" w:hAnsi="Calibri"/>
          <w:b/>
          <w:bCs/>
          <w:sz w:val="20"/>
        </w:rPr>
        <w:t>[HIV infection in patients with breast cancer in Guinea (West Africa)].</w:t>
      </w:r>
      <w:r w:rsidRPr="0064139E">
        <w:rPr>
          <w:rFonts w:ascii="Calibri" w:hAnsi="Calibri"/>
          <w:sz w:val="20"/>
        </w:rPr>
        <w:t xml:space="preserve"> </w:t>
      </w:r>
      <w:r w:rsidRPr="0064139E">
        <w:rPr>
          <w:rFonts w:ascii="Calibri" w:hAnsi="Calibri"/>
          <w:i/>
          <w:iCs/>
          <w:sz w:val="20"/>
        </w:rPr>
        <w:t>Pan Afr Med J</w:t>
      </w:r>
      <w:r w:rsidRPr="0064139E">
        <w:rPr>
          <w:rFonts w:ascii="Calibri" w:hAnsi="Calibri"/>
          <w:sz w:val="20"/>
        </w:rPr>
        <w:t xml:space="preserve"> 2015; </w:t>
      </w:r>
      <w:r w:rsidRPr="0064139E">
        <w:rPr>
          <w:rFonts w:ascii="Calibri" w:hAnsi="Calibri"/>
          <w:b/>
          <w:bCs/>
          <w:sz w:val="20"/>
        </w:rPr>
        <w:t>21</w:t>
      </w:r>
      <w:r w:rsidRPr="0064139E">
        <w:rPr>
          <w:rFonts w:ascii="Calibri" w:hAnsi="Calibri"/>
          <w:sz w:val="20"/>
        </w:rPr>
        <w:t>:261.</w:t>
      </w:r>
    </w:p>
    <w:p w14:paraId="6922C088" w14:textId="77777777" w:rsidR="0064139E" w:rsidRPr="0064139E" w:rsidRDefault="0064139E" w:rsidP="0064139E">
      <w:pPr>
        <w:pStyle w:val="Bibliography"/>
        <w:rPr>
          <w:rFonts w:ascii="Calibri" w:hAnsi="Calibri"/>
          <w:sz w:val="20"/>
        </w:rPr>
      </w:pPr>
      <w:r w:rsidRPr="0064139E">
        <w:rPr>
          <w:rFonts w:ascii="Calibri" w:hAnsi="Calibri"/>
          <w:sz w:val="20"/>
        </w:rPr>
        <w:t xml:space="preserve">9 </w:t>
      </w:r>
      <w:r w:rsidRPr="0064139E">
        <w:rPr>
          <w:rFonts w:ascii="Calibri" w:hAnsi="Calibri"/>
          <w:sz w:val="20"/>
        </w:rPr>
        <w:tab/>
        <w:t xml:space="preserve">Phakathi BP, Basson G, Karusseit VOL, Olorunju SAS, Mokoena T. </w:t>
      </w:r>
      <w:r w:rsidRPr="0064139E">
        <w:rPr>
          <w:rFonts w:ascii="Calibri" w:hAnsi="Calibri"/>
          <w:b/>
          <w:bCs/>
          <w:sz w:val="20"/>
        </w:rPr>
        <w:t>The effect of HIV infection on the surgical, chemo- and radiotherapy management of breast cancer. A prospective cohort study</w:t>
      </w:r>
      <w:r w:rsidRPr="0064139E">
        <w:rPr>
          <w:rFonts w:ascii="Calibri" w:hAnsi="Calibri"/>
          <w:sz w:val="20"/>
        </w:rPr>
        <w:t xml:space="preserve">. </w:t>
      </w:r>
      <w:r w:rsidRPr="0064139E">
        <w:rPr>
          <w:rFonts w:ascii="Calibri" w:hAnsi="Calibri"/>
          <w:i/>
          <w:iCs/>
          <w:sz w:val="20"/>
        </w:rPr>
        <w:t>International Journal of Surgery</w:t>
      </w:r>
      <w:r w:rsidRPr="0064139E">
        <w:rPr>
          <w:rFonts w:ascii="Calibri" w:hAnsi="Calibri"/>
          <w:sz w:val="20"/>
        </w:rPr>
        <w:t xml:space="preserve"> 2016; </w:t>
      </w:r>
      <w:r w:rsidRPr="0064139E">
        <w:rPr>
          <w:rFonts w:ascii="Calibri" w:hAnsi="Calibri"/>
          <w:b/>
          <w:bCs/>
          <w:sz w:val="20"/>
        </w:rPr>
        <w:t>34</w:t>
      </w:r>
      <w:r w:rsidRPr="0064139E">
        <w:rPr>
          <w:rFonts w:ascii="Calibri" w:hAnsi="Calibri"/>
          <w:sz w:val="20"/>
        </w:rPr>
        <w:t>:109–115.</w:t>
      </w:r>
    </w:p>
    <w:p w14:paraId="75410223" w14:textId="77777777" w:rsidR="0064139E" w:rsidRPr="0064139E" w:rsidRDefault="0064139E" w:rsidP="0064139E">
      <w:pPr>
        <w:pStyle w:val="Bibliography"/>
        <w:rPr>
          <w:rFonts w:ascii="Calibri" w:hAnsi="Calibri"/>
          <w:sz w:val="20"/>
          <w:lang w:val="pt-PT"/>
        </w:rPr>
      </w:pPr>
      <w:r w:rsidRPr="0064139E">
        <w:rPr>
          <w:rFonts w:ascii="Calibri" w:hAnsi="Calibri"/>
          <w:sz w:val="20"/>
        </w:rPr>
        <w:t xml:space="preserve">10 </w:t>
      </w:r>
      <w:r w:rsidRPr="0064139E">
        <w:rPr>
          <w:rFonts w:ascii="Calibri" w:hAnsi="Calibri"/>
          <w:sz w:val="20"/>
        </w:rPr>
        <w:tab/>
        <w:t xml:space="preserve">Langenhoven L, Barnardt P, Neugut AI, Jacobson JS. </w:t>
      </w:r>
      <w:r w:rsidRPr="0064139E">
        <w:rPr>
          <w:rFonts w:ascii="Calibri" w:hAnsi="Calibri"/>
          <w:b/>
          <w:bCs/>
          <w:sz w:val="20"/>
        </w:rPr>
        <w:t>Phenotype and Treatment of Breast Cancer in HIV-Positive and -Negative Women in Cape Town, South Africa</w:t>
      </w:r>
      <w:r w:rsidRPr="0064139E">
        <w:rPr>
          <w:rFonts w:ascii="Calibri" w:hAnsi="Calibri"/>
          <w:sz w:val="20"/>
        </w:rPr>
        <w:t xml:space="preserve">. </w:t>
      </w:r>
      <w:r w:rsidRPr="0064139E">
        <w:rPr>
          <w:rFonts w:ascii="Calibri" w:hAnsi="Calibri"/>
          <w:i/>
          <w:iCs/>
          <w:sz w:val="20"/>
          <w:lang w:val="pt-PT"/>
        </w:rPr>
        <w:t>JGO</w:t>
      </w:r>
      <w:r w:rsidRPr="0064139E">
        <w:rPr>
          <w:rFonts w:ascii="Calibri" w:hAnsi="Calibri"/>
          <w:sz w:val="20"/>
          <w:lang w:val="pt-PT"/>
        </w:rPr>
        <w:t xml:space="preserve"> 2016; </w:t>
      </w:r>
      <w:r w:rsidRPr="0064139E">
        <w:rPr>
          <w:rFonts w:ascii="Calibri" w:hAnsi="Calibri"/>
          <w:b/>
          <w:bCs/>
          <w:sz w:val="20"/>
          <w:lang w:val="pt-PT"/>
        </w:rPr>
        <w:t>2</w:t>
      </w:r>
      <w:r w:rsidRPr="0064139E">
        <w:rPr>
          <w:rFonts w:ascii="Calibri" w:hAnsi="Calibri"/>
          <w:sz w:val="20"/>
          <w:lang w:val="pt-PT"/>
        </w:rPr>
        <w:t>:284–291.</w:t>
      </w:r>
    </w:p>
    <w:p w14:paraId="59FBE5A9" w14:textId="77777777" w:rsidR="0064139E" w:rsidRPr="0064139E" w:rsidRDefault="0064139E" w:rsidP="0064139E">
      <w:pPr>
        <w:pStyle w:val="Bibliography"/>
        <w:rPr>
          <w:rFonts w:ascii="Calibri" w:hAnsi="Calibri"/>
          <w:sz w:val="20"/>
        </w:rPr>
      </w:pPr>
      <w:r w:rsidRPr="0064139E">
        <w:rPr>
          <w:rFonts w:ascii="Calibri" w:hAnsi="Calibri"/>
          <w:sz w:val="20"/>
          <w:lang w:val="pt-PT"/>
        </w:rPr>
        <w:t xml:space="preserve">11 </w:t>
      </w:r>
      <w:r w:rsidRPr="0064139E">
        <w:rPr>
          <w:rFonts w:ascii="Calibri" w:hAnsi="Calibri"/>
          <w:sz w:val="20"/>
          <w:lang w:val="pt-PT"/>
        </w:rPr>
        <w:tab/>
        <w:t xml:space="preserve">Ngidi S, Magula N, Sartorius B, Govender P, Madiba TE. </w:t>
      </w:r>
      <w:r w:rsidRPr="0064139E">
        <w:rPr>
          <w:rFonts w:ascii="Calibri" w:hAnsi="Calibri"/>
          <w:b/>
          <w:bCs/>
          <w:sz w:val="20"/>
        </w:rPr>
        <w:t>Incidence of chemotherapy-induced neutropenia in HIV-infected and uninfected patients with breast cancer receiving neoadjuvant chemotherapy</w:t>
      </w:r>
      <w:r w:rsidRPr="0064139E">
        <w:rPr>
          <w:rFonts w:ascii="Calibri" w:hAnsi="Calibri"/>
          <w:sz w:val="20"/>
        </w:rPr>
        <w:t xml:space="preserve">. </w:t>
      </w:r>
      <w:r w:rsidRPr="0064139E">
        <w:rPr>
          <w:rFonts w:ascii="Calibri" w:hAnsi="Calibri"/>
          <w:i/>
          <w:iCs/>
          <w:sz w:val="20"/>
        </w:rPr>
        <w:t>South African Medical Journal</w:t>
      </w:r>
      <w:r w:rsidRPr="0064139E">
        <w:rPr>
          <w:rFonts w:ascii="Calibri" w:hAnsi="Calibri"/>
          <w:sz w:val="20"/>
        </w:rPr>
        <w:t xml:space="preserve"> 2017; </w:t>
      </w:r>
      <w:r w:rsidRPr="0064139E">
        <w:rPr>
          <w:rFonts w:ascii="Calibri" w:hAnsi="Calibri"/>
          <w:b/>
          <w:bCs/>
          <w:sz w:val="20"/>
        </w:rPr>
        <w:t>107</w:t>
      </w:r>
      <w:r w:rsidRPr="0064139E">
        <w:rPr>
          <w:rFonts w:ascii="Calibri" w:hAnsi="Calibri"/>
          <w:sz w:val="20"/>
        </w:rPr>
        <w:t>:595-601–601.</w:t>
      </w:r>
    </w:p>
    <w:p w14:paraId="2FA66248" w14:textId="77777777" w:rsidR="0064139E" w:rsidRPr="0064139E" w:rsidRDefault="0064139E" w:rsidP="0064139E">
      <w:pPr>
        <w:pStyle w:val="Bibliography"/>
        <w:rPr>
          <w:rFonts w:ascii="Calibri" w:hAnsi="Calibri"/>
          <w:sz w:val="20"/>
        </w:rPr>
      </w:pPr>
      <w:r w:rsidRPr="0064139E">
        <w:rPr>
          <w:rFonts w:ascii="Calibri" w:hAnsi="Calibri"/>
          <w:sz w:val="20"/>
        </w:rPr>
        <w:t xml:space="preserve">12 </w:t>
      </w:r>
      <w:r w:rsidRPr="0064139E">
        <w:rPr>
          <w:rFonts w:ascii="Calibri" w:hAnsi="Calibri"/>
          <w:sz w:val="20"/>
        </w:rPr>
        <w:tab/>
        <w:t xml:space="preserve">Presti C, Haslinger ML, Wehner P. </w:t>
      </w:r>
      <w:r w:rsidRPr="0064139E">
        <w:rPr>
          <w:rFonts w:ascii="Calibri" w:hAnsi="Calibri"/>
          <w:b/>
          <w:bCs/>
          <w:sz w:val="20"/>
        </w:rPr>
        <w:t>Breast Cancer in HIV-positive Patients: A Multi-Institutional Retrospective Review.</w:t>
      </w:r>
      <w:r w:rsidRPr="0064139E">
        <w:rPr>
          <w:rFonts w:ascii="Calibri" w:hAnsi="Calibri"/>
          <w:sz w:val="20"/>
        </w:rPr>
        <w:t xml:space="preserve"> </w:t>
      </w:r>
      <w:r w:rsidRPr="0064139E">
        <w:rPr>
          <w:rFonts w:ascii="Calibri" w:hAnsi="Calibri"/>
          <w:i/>
          <w:iCs/>
          <w:sz w:val="20"/>
        </w:rPr>
        <w:t>J Prev Med Healthc</w:t>
      </w:r>
      <w:r w:rsidRPr="0064139E">
        <w:rPr>
          <w:rFonts w:ascii="Calibri" w:hAnsi="Calibri"/>
          <w:sz w:val="20"/>
        </w:rPr>
        <w:t xml:space="preserve"> 2017; </w:t>
      </w:r>
      <w:r w:rsidRPr="0064139E">
        <w:rPr>
          <w:rFonts w:ascii="Calibri" w:hAnsi="Calibri"/>
          <w:b/>
          <w:bCs/>
          <w:sz w:val="20"/>
        </w:rPr>
        <w:t>1</w:t>
      </w:r>
      <w:r w:rsidRPr="0064139E">
        <w:rPr>
          <w:rFonts w:ascii="Calibri" w:hAnsi="Calibri"/>
          <w:sz w:val="20"/>
        </w:rPr>
        <w:t>:1009.</w:t>
      </w:r>
    </w:p>
    <w:p w14:paraId="1D152E7D" w14:textId="77777777" w:rsidR="0064139E" w:rsidRPr="0064139E" w:rsidRDefault="0064139E" w:rsidP="0064139E">
      <w:pPr>
        <w:pStyle w:val="Bibliography"/>
        <w:rPr>
          <w:rFonts w:ascii="Calibri" w:hAnsi="Calibri"/>
          <w:sz w:val="20"/>
        </w:rPr>
      </w:pPr>
      <w:r w:rsidRPr="0064139E">
        <w:rPr>
          <w:rFonts w:ascii="Calibri" w:hAnsi="Calibri"/>
          <w:sz w:val="20"/>
        </w:rPr>
        <w:t xml:space="preserve">13 </w:t>
      </w:r>
      <w:r w:rsidRPr="0064139E">
        <w:rPr>
          <w:rFonts w:ascii="Calibri" w:hAnsi="Calibri"/>
          <w:sz w:val="20"/>
        </w:rPr>
        <w:tab/>
        <w:t xml:space="preserve">McKenzie F, Zietsman A, Galukande M, Anele A, Adisa C, Parham G, </w:t>
      </w:r>
      <w:r w:rsidRPr="0064139E">
        <w:rPr>
          <w:rFonts w:ascii="Calibri" w:hAnsi="Calibri"/>
          <w:i/>
          <w:iCs/>
          <w:sz w:val="20"/>
        </w:rPr>
        <w:t>et al.</w:t>
      </w:r>
      <w:r w:rsidRPr="0064139E">
        <w:rPr>
          <w:rFonts w:ascii="Calibri" w:hAnsi="Calibri"/>
          <w:sz w:val="20"/>
        </w:rPr>
        <w:t xml:space="preserve"> </w:t>
      </w:r>
      <w:r w:rsidRPr="0064139E">
        <w:rPr>
          <w:rFonts w:ascii="Calibri" w:hAnsi="Calibri"/>
          <w:b/>
          <w:bCs/>
          <w:sz w:val="20"/>
        </w:rPr>
        <w:t>Drivers of advanced stage at breast cancer diagnosis in the multicountry African breast cancer – disparities in outcomes (ABC-DO) study</w:t>
      </w:r>
      <w:r w:rsidRPr="0064139E">
        <w:rPr>
          <w:rFonts w:ascii="Calibri" w:hAnsi="Calibri"/>
          <w:sz w:val="20"/>
        </w:rPr>
        <w:t xml:space="preserve">. </w:t>
      </w:r>
      <w:r w:rsidRPr="0064139E">
        <w:rPr>
          <w:rFonts w:ascii="Calibri" w:hAnsi="Calibri"/>
          <w:i/>
          <w:iCs/>
          <w:sz w:val="20"/>
        </w:rPr>
        <w:t>International Journal of Cancer</w:t>
      </w:r>
      <w:r w:rsidRPr="0064139E">
        <w:rPr>
          <w:rFonts w:ascii="Calibri" w:hAnsi="Calibri"/>
          <w:sz w:val="20"/>
        </w:rPr>
        <w:t xml:space="preserve"> 2018; </w:t>
      </w:r>
      <w:r w:rsidRPr="0064139E">
        <w:rPr>
          <w:rFonts w:ascii="Calibri" w:hAnsi="Calibri"/>
          <w:b/>
          <w:bCs/>
          <w:sz w:val="20"/>
        </w:rPr>
        <w:t>142</w:t>
      </w:r>
      <w:r w:rsidRPr="0064139E">
        <w:rPr>
          <w:rFonts w:ascii="Calibri" w:hAnsi="Calibri"/>
          <w:sz w:val="20"/>
        </w:rPr>
        <w:t>:1568–1579.</w:t>
      </w:r>
    </w:p>
    <w:p w14:paraId="50A52C14" w14:textId="77777777" w:rsidR="0064139E" w:rsidRPr="0064139E" w:rsidRDefault="0064139E" w:rsidP="0064139E">
      <w:pPr>
        <w:pStyle w:val="Bibliography"/>
        <w:rPr>
          <w:rFonts w:ascii="Calibri" w:hAnsi="Calibri"/>
          <w:sz w:val="20"/>
        </w:rPr>
      </w:pPr>
      <w:r w:rsidRPr="0064139E">
        <w:rPr>
          <w:rFonts w:ascii="Calibri" w:hAnsi="Calibri"/>
          <w:sz w:val="20"/>
        </w:rPr>
        <w:t xml:space="preserve">14 </w:t>
      </w:r>
      <w:r w:rsidRPr="0064139E">
        <w:rPr>
          <w:rFonts w:ascii="Calibri" w:hAnsi="Calibri"/>
          <w:sz w:val="20"/>
        </w:rPr>
        <w:tab/>
        <w:t xml:space="preserve">Wolff AC, Hammond MEH, Allison KH, Harvey BE, Mangu PB, Bartlett JMS, </w:t>
      </w:r>
      <w:r w:rsidRPr="0064139E">
        <w:rPr>
          <w:rFonts w:ascii="Calibri" w:hAnsi="Calibri"/>
          <w:i/>
          <w:iCs/>
          <w:sz w:val="20"/>
        </w:rPr>
        <w:t>et al.</w:t>
      </w:r>
      <w:r w:rsidRPr="0064139E">
        <w:rPr>
          <w:rFonts w:ascii="Calibri" w:hAnsi="Calibri"/>
          <w:sz w:val="20"/>
        </w:rPr>
        <w:t xml:space="preserve"> </w:t>
      </w:r>
      <w:r w:rsidRPr="0064139E">
        <w:rPr>
          <w:rFonts w:ascii="Calibri" w:hAnsi="Calibri"/>
          <w:b/>
          <w:bCs/>
          <w:sz w:val="20"/>
        </w:rPr>
        <w:t>Human Epidermal Growth Factor Receptor 2 Testing in Breast Cancer: American Society of Clinical Oncology/College of American Pathologists Clinical Practice Guideline Focused Update</w:t>
      </w:r>
      <w:r w:rsidRPr="0064139E">
        <w:rPr>
          <w:rFonts w:ascii="Calibri" w:hAnsi="Calibri"/>
          <w:sz w:val="20"/>
        </w:rPr>
        <w:t xml:space="preserve">. </w:t>
      </w:r>
      <w:r w:rsidRPr="0064139E">
        <w:rPr>
          <w:rFonts w:ascii="Calibri" w:hAnsi="Calibri"/>
          <w:i/>
          <w:iCs/>
          <w:sz w:val="20"/>
        </w:rPr>
        <w:t>JCO</w:t>
      </w:r>
      <w:r w:rsidRPr="0064139E">
        <w:rPr>
          <w:rFonts w:ascii="Calibri" w:hAnsi="Calibri"/>
          <w:sz w:val="20"/>
        </w:rPr>
        <w:t xml:space="preserve"> 2018; </w:t>
      </w:r>
      <w:r w:rsidRPr="0064139E">
        <w:rPr>
          <w:rFonts w:ascii="Calibri" w:hAnsi="Calibri"/>
          <w:b/>
          <w:bCs/>
          <w:sz w:val="20"/>
        </w:rPr>
        <w:t>36</w:t>
      </w:r>
      <w:r w:rsidRPr="0064139E">
        <w:rPr>
          <w:rFonts w:ascii="Calibri" w:hAnsi="Calibri"/>
          <w:sz w:val="20"/>
        </w:rPr>
        <w:t>:2105–2122.</w:t>
      </w:r>
    </w:p>
    <w:p w14:paraId="6B98DDB8" w14:textId="77777777" w:rsidR="0064139E" w:rsidRPr="0064139E" w:rsidRDefault="0064139E" w:rsidP="0064139E">
      <w:pPr>
        <w:pStyle w:val="Bibliography"/>
        <w:rPr>
          <w:rFonts w:ascii="Calibri" w:hAnsi="Calibri"/>
          <w:sz w:val="20"/>
        </w:rPr>
      </w:pPr>
      <w:r w:rsidRPr="0064139E">
        <w:rPr>
          <w:rFonts w:ascii="Calibri" w:hAnsi="Calibri"/>
          <w:sz w:val="20"/>
        </w:rPr>
        <w:t xml:space="preserve">15 </w:t>
      </w:r>
      <w:r w:rsidRPr="0064139E">
        <w:rPr>
          <w:rFonts w:ascii="Calibri" w:hAnsi="Calibri"/>
          <w:sz w:val="20"/>
        </w:rPr>
        <w:tab/>
        <w:t xml:space="preserve">Hammond MEH, Hayes DF, Dowsett M, Allred DC, Hagerty KL, Badve S, </w:t>
      </w:r>
      <w:r w:rsidRPr="0064139E">
        <w:rPr>
          <w:rFonts w:ascii="Calibri" w:hAnsi="Calibri"/>
          <w:i/>
          <w:iCs/>
          <w:sz w:val="20"/>
        </w:rPr>
        <w:t>et al.</w:t>
      </w:r>
      <w:r w:rsidRPr="0064139E">
        <w:rPr>
          <w:rFonts w:ascii="Calibri" w:hAnsi="Calibri"/>
          <w:sz w:val="20"/>
        </w:rPr>
        <w:t xml:space="preserve"> </w:t>
      </w:r>
      <w:r w:rsidRPr="0064139E">
        <w:rPr>
          <w:rFonts w:ascii="Calibri" w:hAnsi="Calibri"/>
          <w:b/>
          <w:bCs/>
          <w:sz w:val="20"/>
        </w:rPr>
        <w:t>American Society of Clinical Oncology/College of American Pathologists Guideline Recommendations for Immunohistochemical Testing of Estrogen and Progesterone Receptors in Breast Cancer</w:t>
      </w:r>
      <w:r w:rsidRPr="0064139E">
        <w:rPr>
          <w:rFonts w:ascii="Calibri" w:hAnsi="Calibri"/>
          <w:sz w:val="20"/>
        </w:rPr>
        <w:t xml:space="preserve">. </w:t>
      </w:r>
      <w:r w:rsidRPr="0064139E">
        <w:rPr>
          <w:rFonts w:ascii="Calibri" w:hAnsi="Calibri"/>
          <w:i/>
          <w:iCs/>
          <w:sz w:val="20"/>
        </w:rPr>
        <w:t>J Clin Oncol</w:t>
      </w:r>
      <w:r w:rsidRPr="0064139E">
        <w:rPr>
          <w:rFonts w:ascii="Calibri" w:hAnsi="Calibri"/>
          <w:sz w:val="20"/>
        </w:rPr>
        <w:t xml:space="preserve"> 2010; </w:t>
      </w:r>
      <w:r w:rsidRPr="0064139E">
        <w:rPr>
          <w:rFonts w:ascii="Calibri" w:hAnsi="Calibri"/>
          <w:b/>
          <w:bCs/>
          <w:sz w:val="20"/>
        </w:rPr>
        <w:t>28</w:t>
      </w:r>
      <w:r w:rsidRPr="0064139E">
        <w:rPr>
          <w:rFonts w:ascii="Calibri" w:hAnsi="Calibri"/>
          <w:sz w:val="20"/>
        </w:rPr>
        <w:t>:2784–2795.</w:t>
      </w:r>
    </w:p>
    <w:p w14:paraId="627ECF9B" w14:textId="77777777" w:rsidR="0064139E" w:rsidRPr="0064139E" w:rsidRDefault="0064139E" w:rsidP="0064139E">
      <w:pPr>
        <w:pStyle w:val="Bibliography"/>
        <w:rPr>
          <w:rFonts w:ascii="Calibri" w:hAnsi="Calibri"/>
          <w:sz w:val="20"/>
          <w:lang w:val="nl-BE"/>
        </w:rPr>
      </w:pPr>
      <w:r w:rsidRPr="0064139E">
        <w:rPr>
          <w:rFonts w:ascii="Calibri" w:hAnsi="Calibri"/>
          <w:sz w:val="20"/>
        </w:rPr>
        <w:t xml:space="preserve">16 </w:t>
      </w:r>
      <w:r w:rsidRPr="0064139E">
        <w:rPr>
          <w:rFonts w:ascii="Calibri" w:hAnsi="Calibri"/>
          <w:sz w:val="20"/>
        </w:rPr>
        <w:tab/>
        <w:t xml:space="preserve">Dowsett M, Nielsen TO, A’Hern R, Bartlett J, Coombes RC, Cuzick J, </w:t>
      </w:r>
      <w:r w:rsidRPr="0064139E">
        <w:rPr>
          <w:rFonts w:ascii="Calibri" w:hAnsi="Calibri"/>
          <w:i/>
          <w:iCs/>
          <w:sz w:val="20"/>
        </w:rPr>
        <w:t>et al.</w:t>
      </w:r>
      <w:r w:rsidRPr="0064139E">
        <w:rPr>
          <w:rFonts w:ascii="Calibri" w:hAnsi="Calibri"/>
          <w:sz w:val="20"/>
        </w:rPr>
        <w:t xml:space="preserve"> </w:t>
      </w:r>
      <w:r w:rsidRPr="0064139E">
        <w:rPr>
          <w:rFonts w:ascii="Calibri" w:hAnsi="Calibri"/>
          <w:b/>
          <w:bCs/>
          <w:sz w:val="20"/>
        </w:rPr>
        <w:t>Assessment of Ki67 in Breast Cancer: Recommendations from the International Ki67 in Breast Cancer Working Group</w:t>
      </w:r>
      <w:r w:rsidRPr="0064139E">
        <w:rPr>
          <w:rFonts w:ascii="Calibri" w:hAnsi="Calibri"/>
          <w:sz w:val="20"/>
        </w:rPr>
        <w:t xml:space="preserve">. </w:t>
      </w:r>
      <w:r w:rsidRPr="0064139E">
        <w:rPr>
          <w:rFonts w:ascii="Calibri" w:hAnsi="Calibri"/>
          <w:i/>
          <w:iCs/>
          <w:sz w:val="20"/>
          <w:lang w:val="nl-BE"/>
        </w:rPr>
        <w:t>J Natl Cancer Inst</w:t>
      </w:r>
      <w:r w:rsidRPr="0064139E">
        <w:rPr>
          <w:rFonts w:ascii="Calibri" w:hAnsi="Calibri"/>
          <w:sz w:val="20"/>
          <w:lang w:val="nl-BE"/>
        </w:rPr>
        <w:t xml:space="preserve"> 2011; </w:t>
      </w:r>
      <w:r w:rsidRPr="0064139E">
        <w:rPr>
          <w:rFonts w:ascii="Calibri" w:hAnsi="Calibri"/>
          <w:b/>
          <w:bCs/>
          <w:sz w:val="20"/>
          <w:lang w:val="nl-BE"/>
        </w:rPr>
        <w:t>103</w:t>
      </w:r>
      <w:r w:rsidRPr="0064139E">
        <w:rPr>
          <w:rFonts w:ascii="Calibri" w:hAnsi="Calibri"/>
          <w:sz w:val="20"/>
          <w:lang w:val="nl-BE"/>
        </w:rPr>
        <w:t>:1656–1664.</w:t>
      </w:r>
    </w:p>
    <w:p w14:paraId="35EF5F93" w14:textId="77777777" w:rsidR="0064139E" w:rsidRPr="0064139E" w:rsidRDefault="0064139E" w:rsidP="0064139E">
      <w:pPr>
        <w:pStyle w:val="Bibliography"/>
        <w:rPr>
          <w:rFonts w:ascii="Calibri" w:hAnsi="Calibri"/>
          <w:sz w:val="20"/>
        </w:rPr>
      </w:pPr>
      <w:r w:rsidRPr="0064139E">
        <w:rPr>
          <w:rFonts w:ascii="Calibri" w:hAnsi="Calibri"/>
          <w:sz w:val="20"/>
          <w:lang w:val="nl-BE"/>
        </w:rPr>
        <w:lastRenderedPageBreak/>
        <w:t xml:space="preserve">17 </w:t>
      </w:r>
      <w:r w:rsidRPr="0064139E">
        <w:rPr>
          <w:rFonts w:ascii="Calibri" w:hAnsi="Calibri"/>
          <w:sz w:val="20"/>
          <w:lang w:val="nl-BE"/>
        </w:rPr>
        <w:tab/>
        <w:t xml:space="preserve">van Zyl N, Minné C, Mokone DH. </w:t>
      </w:r>
      <w:r w:rsidRPr="0064139E">
        <w:rPr>
          <w:rFonts w:ascii="Calibri" w:hAnsi="Calibri"/>
          <w:b/>
          <w:bCs/>
          <w:sz w:val="20"/>
        </w:rPr>
        <w:t>Human immunodeficiency virus infection in breast cancer patients: The prevalence thereof and its effect on breast cancer characteristics at Dr. George Mukhari Academic Hospital Breast Clinic, Ga-Rankuwa, South Africa</w:t>
      </w:r>
      <w:r w:rsidRPr="0064139E">
        <w:rPr>
          <w:rFonts w:ascii="Calibri" w:hAnsi="Calibri"/>
          <w:sz w:val="20"/>
        </w:rPr>
        <w:t xml:space="preserve">. </w:t>
      </w:r>
      <w:r w:rsidRPr="0064139E">
        <w:rPr>
          <w:rFonts w:ascii="Calibri" w:hAnsi="Calibri"/>
          <w:i/>
          <w:iCs/>
          <w:sz w:val="20"/>
        </w:rPr>
        <w:t>SA Journal of Radiology</w:t>
      </w:r>
      <w:r w:rsidRPr="0064139E">
        <w:rPr>
          <w:rFonts w:ascii="Calibri" w:hAnsi="Calibri"/>
          <w:sz w:val="20"/>
        </w:rPr>
        <w:t xml:space="preserve"> 2018; </w:t>
      </w:r>
      <w:r w:rsidRPr="0064139E">
        <w:rPr>
          <w:rFonts w:ascii="Calibri" w:hAnsi="Calibri"/>
          <w:b/>
          <w:bCs/>
          <w:sz w:val="20"/>
        </w:rPr>
        <w:t>22</w:t>
      </w:r>
      <w:r w:rsidRPr="0064139E">
        <w:rPr>
          <w:rFonts w:ascii="Calibri" w:hAnsi="Calibri"/>
          <w:sz w:val="20"/>
        </w:rPr>
        <w:t>:1–7.</w:t>
      </w:r>
    </w:p>
    <w:p w14:paraId="3B326451" w14:textId="77777777" w:rsidR="0064139E" w:rsidRPr="0064139E" w:rsidRDefault="0064139E" w:rsidP="0064139E">
      <w:pPr>
        <w:pStyle w:val="Bibliography"/>
        <w:rPr>
          <w:rFonts w:ascii="Calibri" w:hAnsi="Calibri"/>
          <w:sz w:val="20"/>
        </w:rPr>
      </w:pPr>
      <w:r w:rsidRPr="0064139E">
        <w:rPr>
          <w:rFonts w:ascii="Calibri" w:hAnsi="Calibri"/>
          <w:sz w:val="20"/>
        </w:rPr>
        <w:t xml:space="preserve">18 </w:t>
      </w:r>
      <w:r w:rsidRPr="0064139E">
        <w:rPr>
          <w:rFonts w:ascii="Calibri" w:hAnsi="Calibri"/>
          <w:sz w:val="20"/>
        </w:rPr>
        <w:tab/>
        <w:t>Sadigh K, Hodgeman R, Tapela N. HIV IS ASSOCIATED WITH DECREASED BREAST CANCER SURVIVAL: A PROSPECTIVE COHORT STUDY | CROI Conference. 2019.http://www.croiconference.org/sessions/hiv-associated-decreased-breast-cancer-survival-prospective-cohort-study (accessed 17 Apr2019).</w:t>
      </w:r>
    </w:p>
    <w:p w14:paraId="173F5012" w14:textId="77777777" w:rsidR="0064139E" w:rsidRPr="00230C5D" w:rsidRDefault="0064139E" w:rsidP="0064139E">
      <w:pPr>
        <w:pStyle w:val="Bibliography"/>
        <w:rPr>
          <w:rFonts w:ascii="Calibri" w:hAnsi="Calibri"/>
          <w:sz w:val="20"/>
          <w:lang w:val="fr-BE"/>
        </w:rPr>
      </w:pPr>
      <w:r w:rsidRPr="0064139E">
        <w:rPr>
          <w:rFonts w:ascii="Calibri" w:hAnsi="Calibri"/>
          <w:sz w:val="20"/>
        </w:rPr>
        <w:t xml:space="preserve">19 </w:t>
      </w:r>
      <w:r w:rsidRPr="0064139E">
        <w:rPr>
          <w:rFonts w:ascii="Calibri" w:hAnsi="Calibri"/>
          <w:sz w:val="20"/>
        </w:rPr>
        <w:tab/>
        <w:t xml:space="preserve">Brandão M, Guisseve A, Bata G, de Morais G, Alberto M, Schmitt F, </w:t>
      </w:r>
      <w:r w:rsidRPr="0064139E">
        <w:rPr>
          <w:rFonts w:ascii="Calibri" w:hAnsi="Calibri"/>
          <w:i/>
          <w:iCs/>
          <w:sz w:val="20"/>
        </w:rPr>
        <w:t>et al.</w:t>
      </w:r>
      <w:r w:rsidRPr="0064139E">
        <w:rPr>
          <w:rFonts w:ascii="Calibri" w:hAnsi="Calibri"/>
          <w:sz w:val="20"/>
        </w:rPr>
        <w:t xml:space="preserve"> </w:t>
      </w:r>
      <w:r w:rsidRPr="0064139E">
        <w:rPr>
          <w:rFonts w:ascii="Calibri" w:hAnsi="Calibri"/>
          <w:b/>
          <w:bCs/>
          <w:sz w:val="20"/>
        </w:rPr>
        <w:t>213PHIV infection in breast cancer patients from Mozambique: A prospective cohort study</w:t>
      </w:r>
      <w:r w:rsidRPr="0064139E">
        <w:rPr>
          <w:rFonts w:ascii="Calibri" w:hAnsi="Calibri"/>
          <w:sz w:val="20"/>
        </w:rPr>
        <w:t xml:space="preserve">. </w:t>
      </w:r>
      <w:r w:rsidRPr="00230C5D">
        <w:rPr>
          <w:rFonts w:ascii="Calibri" w:hAnsi="Calibri"/>
          <w:i/>
          <w:iCs/>
          <w:sz w:val="20"/>
          <w:lang w:val="fr-BE"/>
        </w:rPr>
        <w:t>Ann Oncol</w:t>
      </w:r>
      <w:r w:rsidRPr="00230C5D">
        <w:rPr>
          <w:rFonts w:ascii="Calibri" w:hAnsi="Calibri"/>
          <w:sz w:val="20"/>
          <w:lang w:val="fr-BE"/>
        </w:rPr>
        <w:t xml:space="preserve"> 2019; </w:t>
      </w:r>
      <w:r w:rsidRPr="00230C5D">
        <w:rPr>
          <w:rFonts w:ascii="Calibri" w:hAnsi="Calibri"/>
          <w:b/>
          <w:bCs/>
          <w:sz w:val="20"/>
          <w:lang w:val="fr-BE"/>
        </w:rPr>
        <w:t>30</w:t>
      </w:r>
      <w:r w:rsidRPr="00230C5D">
        <w:rPr>
          <w:rFonts w:ascii="Calibri" w:hAnsi="Calibri"/>
          <w:sz w:val="20"/>
          <w:lang w:val="fr-BE"/>
        </w:rPr>
        <w:t>. doi:10.1093/annonc/mdz101.014</w:t>
      </w:r>
    </w:p>
    <w:p w14:paraId="72EF7171" w14:textId="77777777" w:rsidR="0064139E" w:rsidRPr="0064139E" w:rsidRDefault="0064139E" w:rsidP="0064139E">
      <w:pPr>
        <w:pStyle w:val="Bibliography"/>
        <w:rPr>
          <w:rFonts w:ascii="Calibri" w:hAnsi="Calibri"/>
          <w:sz w:val="20"/>
        </w:rPr>
      </w:pPr>
      <w:r w:rsidRPr="00230C5D">
        <w:rPr>
          <w:rFonts w:ascii="Calibri" w:hAnsi="Calibri"/>
          <w:sz w:val="20"/>
          <w:lang w:val="fr-BE"/>
        </w:rPr>
        <w:t xml:space="preserve">20 </w:t>
      </w:r>
      <w:r w:rsidRPr="00230C5D">
        <w:rPr>
          <w:rFonts w:ascii="Calibri" w:hAnsi="Calibri"/>
          <w:sz w:val="20"/>
          <w:lang w:val="fr-BE"/>
        </w:rPr>
        <w:tab/>
        <w:t xml:space="preserve">Phakathi B, Cubasch H, Nietz S, Dickens C, Dix-Peek T, Joffe M, </w:t>
      </w:r>
      <w:r w:rsidRPr="00230C5D">
        <w:rPr>
          <w:rFonts w:ascii="Calibri" w:hAnsi="Calibri"/>
          <w:i/>
          <w:iCs/>
          <w:sz w:val="20"/>
          <w:lang w:val="fr-BE"/>
        </w:rPr>
        <w:t>et al.</w:t>
      </w:r>
      <w:r w:rsidRPr="00230C5D">
        <w:rPr>
          <w:rFonts w:ascii="Calibri" w:hAnsi="Calibri"/>
          <w:sz w:val="20"/>
          <w:lang w:val="fr-BE"/>
        </w:rPr>
        <w:t xml:space="preserve"> </w:t>
      </w:r>
      <w:r w:rsidRPr="0064139E">
        <w:rPr>
          <w:rFonts w:ascii="Calibri" w:hAnsi="Calibri"/>
          <w:b/>
          <w:bCs/>
          <w:sz w:val="20"/>
        </w:rPr>
        <w:t>Clinico-pathological characteristics among South African women with breast cancer receiving anti-retroviral therapy for HIV</w:t>
      </w:r>
      <w:r w:rsidRPr="0064139E">
        <w:rPr>
          <w:rFonts w:ascii="Calibri" w:hAnsi="Calibri"/>
          <w:sz w:val="20"/>
        </w:rPr>
        <w:t xml:space="preserve">. </w:t>
      </w:r>
      <w:r w:rsidRPr="0064139E">
        <w:rPr>
          <w:rFonts w:ascii="Calibri" w:hAnsi="Calibri"/>
          <w:i/>
          <w:iCs/>
          <w:sz w:val="20"/>
        </w:rPr>
        <w:t>The Breast</w:t>
      </w:r>
      <w:r w:rsidRPr="0064139E">
        <w:rPr>
          <w:rFonts w:ascii="Calibri" w:hAnsi="Calibri"/>
          <w:sz w:val="20"/>
        </w:rPr>
        <w:t xml:space="preserve"> 2019; </w:t>
      </w:r>
      <w:r w:rsidRPr="0064139E">
        <w:rPr>
          <w:rFonts w:ascii="Calibri" w:hAnsi="Calibri"/>
          <w:b/>
          <w:bCs/>
          <w:sz w:val="20"/>
        </w:rPr>
        <w:t>43</w:t>
      </w:r>
      <w:r w:rsidRPr="0064139E">
        <w:rPr>
          <w:rFonts w:ascii="Calibri" w:hAnsi="Calibri"/>
          <w:sz w:val="20"/>
        </w:rPr>
        <w:t>:123–129.</w:t>
      </w:r>
    </w:p>
    <w:p w14:paraId="66DFF103" w14:textId="77777777" w:rsidR="0064139E" w:rsidRPr="0064139E" w:rsidRDefault="0064139E" w:rsidP="0064139E">
      <w:pPr>
        <w:pStyle w:val="Bibliography"/>
        <w:rPr>
          <w:rFonts w:ascii="Calibri" w:hAnsi="Calibri"/>
          <w:sz w:val="20"/>
        </w:rPr>
      </w:pPr>
      <w:r w:rsidRPr="0064139E">
        <w:rPr>
          <w:rFonts w:ascii="Calibri" w:hAnsi="Calibri"/>
          <w:sz w:val="20"/>
        </w:rPr>
        <w:t xml:space="preserve">21 </w:t>
      </w:r>
      <w:r w:rsidRPr="0064139E">
        <w:rPr>
          <w:rFonts w:ascii="Calibri" w:hAnsi="Calibri"/>
          <w:sz w:val="20"/>
        </w:rPr>
        <w:tab/>
        <w:t xml:space="preserve">Bhatia RK, Narasimhamurthy M, Martei YM, Prabhakar P, Hutson J, Chiyapo S, </w:t>
      </w:r>
      <w:r w:rsidRPr="0064139E">
        <w:rPr>
          <w:rFonts w:ascii="Calibri" w:hAnsi="Calibri"/>
          <w:i/>
          <w:iCs/>
          <w:sz w:val="20"/>
        </w:rPr>
        <w:t>et al.</w:t>
      </w:r>
      <w:r w:rsidRPr="0064139E">
        <w:rPr>
          <w:rFonts w:ascii="Calibri" w:hAnsi="Calibri"/>
          <w:sz w:val="20"/>
        </w:rPr>
        <w:t xml:space="preserve"> </w:t>
      </w:r>
      <w:r w:rsidRPr="0064139E">
        <w:rPr>
          <w:rFonts w:ascii="Calibri" w:hAnsi="Calibri"/>
          <w:b/>
          <w:bCs/>
          <w:sz w:val="20"/>
        </w:rPr>
        <w:t>Report of clinico-pathological features of breast cancer in HIV-infected and uninfected women in Botswana.</w:t>
      </w:r>
      <w:r w:rsidRPr="0064139E">
        <w:rPr>
          <w:rFonts w:ascii="Calibri" w:hAnsi="Calibri"/>
          <w:sz w:val="20"/>
        </w:rPr>
        <w:t xml:space="preserve"> </w:t>
      </w:r>
      <w:r w:rsidRPr="0064139E">
        <w:rPr>
          <w:rFonts w:ascii="Calibri" w:hAnsi="Calibri"/>
          <w:i/>
          <w:iCs/>
          <w:sz w:val="20"/>
        </w:rPr>
        <w:t>Infect Agent Cancer</w:t>
      </w:r>
      <w:r w:rsidRPr="0064139E">
        <w:rPr>
          <w:rFonts w:ascii="Calibri" w:hAnsi="Calibri"/>
          <w:sz w:val="20"/>
        </w:rPr>
        <w:t xml:space="preserve"> 2019; </w:t>
      </w:r>
      <w:r w:rsidRPr="0064139E">
        <w:rPr>
          <w:rFonts w:ascii="Calibri" w:hAnsi="Calibri"/>
          <w:b/>
          <w:bCs/>
          <w:sz w:val="20"/>
        </w:rPr>
        <w:t>14</w:t>
      </w:r>
      <w:r w:rsidRPr="0064139E">
        <w:rPr>
          <w:rFonts w:ascii="Calibri" w:hAnsi="Calibri"/>
          <w:sz w:val="20"/>
        </w:rPr>
        <w:t>:28.</w:t>
      </w:r>
    </w:p>
    <w:p w14:paraId="382DEEC2" w14:textId="77777777" w:rsidR="0064139E" w:rsidRPr="0064139E" w:rsidRDefault="0064139E" w:rsidP="0064139E">
      <w:pPr>
        <w:pStyle w:val="Bibliography"/>
        <w:rPr>
          <w:rFonts w:ascii="Calibri" w:hAnsi="Calibri"/>
          <w:sz w:val="20"/>
        </w:rPr>
      </w:pPr>
      <w:r w:rsidRPr="0064139E">
        <w:rPr>
          <w:rFonts w:ascii="Calibri" w:hAnsi="Calibri"/>
          <w:sz w:val="20"/>
        </w:rPr>
        <w:t xml:space="preserve">22 </w:t>
      </w:r>
      <w:r w:rsidRPr="0064139E">
        <w:rPr>
          <w:rFonts w:ascii="Calibri" w:hAnsi="Calibri"/>
          <w:sz w:val="20"/>
        </w:rPr>
        <w:tab/>
        <w:t xml:space="preserve">Ayeni OA, Norris SA, Joffe M, Cubasch H, Nietz S, Buccimazza I, </w:t>
      </w:r>
      <w:r w:rsidRPr="0064139E">
        <w:rPr>
          <w:rFonts w:ascii="Calibri" w:hAnsi="Calibri"/>
          <w:i/>
          <w:iCs/>
          <w:sz w:val="20"/>
        </w:rPr>
        <w:t>et al.</w:t>
      </w:r>
      <w:r w:rsidRPr="0064139E">
        <w:rPr>
          <w:rFonts w:ascii="Calibri" w:hAnsi="Calibri"/>
          <w:sz w:val="20"/>
        </w:rPr>
        <w:t xml:space="preserve"> </w:t>
      </w:r>
      <w:r w:rsidRPr="0064139E">
        <w:rPr>
          <w:rFonts w:ascii="Calibri" w:hAnsi="Calibri"/>
          <w:b/>
          <w:bCs/>
          <w:sz w:val="20"/>
        </w:rPr>
        <w:t>The multimorbidity profile of South African women newly diagnosed with breast cancer.</w:t>
      </w:r>
      <w:r w:rsidRPr="0064139E">
        <w:rPr>
          <w:rFonts w:ascii="Calibri" w:hAnsi="Calibri"/>
          <w:sz w:val="20"/>
        </w:rPr>
        <w:t xml:space="preserve"> </w:t>
      </w:r>
      <w:r w:rsidRPr="0064139E">
        <w:rPr>
          <w:rFonts w:ascii="Calibri" w:hAnsi="Calibri"/>
          <w:i/>
          <w:iCs/>
          <w:sz w:val="20"/>
        </w:rPr>
        <w:t>Int J Cancer</w:t>
      </w:r>
      <w:r w:rsidRPr="0064139E">
        <w:rPr>
          <w:rFonts w:ascii="Calibri" w:hAnsi="Calibri"/>
          <w:sz w:val="20"/>
        </w:rPr>
        <w:t xml:space="preserve"> Published Online First: 10 October 2019. doi:10.1002/ijc.32727</w:t>
      </w:r>
    </w:p>
    <w:p w14:paraId="552D6D2E" w14:textId="77777777" w:rsidR="0064139E" w:rsidRPr="0064139E" w:rsidRDefault="0064139E" w:rsidP="0064139E">
      <w:pPr>
        <w:pStyle w:val="Bibliography"/>
        <w:rPr>
          <w:rFonts w:ascii="Calibri" w:hAnsi="Calibri"/>
          <w:sz w:val="20"/>
        </w:rPr>
      </w:pPr>
      <w:r w:rsidRPr="0064139E">
        <w:rPr>
          <w:rFonts w:ascii="Calibri" w:hAnsi="Calibri"/>
          <w:sz w:val="20"/>
        </w:rPr>
        <w:t xml:space="preserve">23 </w:t>
      </w:r>
      <w:r w:rsidRPr="0064139E">
        <w:rPr>
          <w:rFonts w:ascii="Calibri" w:hAnsi="Calibri"/>
          <w:sz w:val="20"/>
        </w:rPr>
        <w:tab/>
        <w:t xml:space="preserve">Coghill AE, Han X, Suneja G, Lin CC, Jemal A, Shiels MS. </w:t>
      </w:r>
      <w:r w:rsidRPr="0064139E">
        <w:rPr>
          <w:rFonts w:ascii="Calibri" w:hAnsi="Calibri"/>
          <w:b/>
          <w:bCs/>
          <w:sz w:val="20"/>
        </w:rPr>
        <w:t>Advanced stage at diagnosis and elevated mortality among US patients with cancer  infected with HIV in the National Cancer Data Base.</w:t>
      </w:r>
      <w:r w:rsidRPr="0064139E">
        <w:rPr>
          <w:rFonts w:ascii="Calibri" w:hAnsi="Calibri"/>
          <w:sz w:val="20"/>
        </w:rPr>
        <w:t xml:space="preserve"> </w:t>
      </w:r>
      <w:r w:rsidRPr="0064139E">
        <w:rPr>
          <w:rFonts w:ascii="Calibri" w:hAnsi="Calibri"/>
          <w:i/>
          <w:iCs/>
          <w:sz w:val="20"/>
        </w:rPr>
        <w:t>Cancer</w:t>
      </w:r>
      <w:r w:rsidRPr="0064139E">
        <w:rPr>
          <w:rFonts w:ascii="Calibri" w:hAnsi="Calibri"/>
          <w:sz w:val="20"/>
        </w:rPr>
        <w:t xml:space="preserve"> 2019; </w:t>
      </w:r>
      <w:r w:rsidRPr="0064139E">
        <w:rPr>
          <w:rFonts w:ascii="Calibri" w:hAnsi="Calibri"/>
          <w:b/>
          <w:bCs/>
          <w:sz w:val="20"/>
        </w:rPr>
        <w:t>125</w:t>
      </w:r>
      <w:r w:rsidRPr="0064139E">
        <w:rPr>
          <w:rFonts w:ascii="Calibri" w:hAnsi="Calibri"/>
          <w:sz w:val="20"/>
        </w:rPr>
        <w:t>:2868–2876.</w:t>
      </w:r>
    </w:p>
    <w:p w14:paraId="5CA83B6D" w14:textId="6E7A5F5B" w:rsidR="00902803" w:rsidRPr="00BF210F" w:rsidRDefault="00902803" w:rsidP="00D66A20">
      <w:pPr>
        <w:rPr>
          <w:rFonts w:cs="Times New Roman"/>
        </w:rPr>
      </w:pPr>
      <w:r w:rsidRPr="00BF210F">
        <w:rPr>
          <w:rFonts w:cs="Times New Roman"/>
          <w:sz w:val="20"/>
          <w:szCs w:val="20"/>
        </w:rPr>
        <w:fldChar w:fldCharType="end"/>
      </w:r>
    </w:p>
    <w:sectPr w:rsidR="00902803" w:rsidRPr="00BF210F" w:rsidSect="00CA1075">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3A5C" w14:textId="77777777" w:rsidR="00D01943" w:rsidRDefault="00D01943" w:rsidP="005F5050">
      <w:r>
        <w:separator/>
      </w:r>
    </w:p>
  </w:endnote>
  <w:endnote w:type="continuationSeparator" w:id="0">
    <w:p w14:paraId="7DD11013" w14:textId="77777777" w:rsidR="00D01943" w:rsidRDefault="00D01943" w:rsidP="005F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32003"/>
      <w:docPartObj>
        <w:docPartGallery w:val="Page Numbers (Bottom of Page)"/>
        <w:docPartUnique/>
      </w:docPartObj>
    </w:sdtPr>
    <w:sdtEndPr>
      <w:rPr>
        <w:rFonts w:cs="Arial"/>
        <w:noProof/>
        <w:sz w:val="18"/>
        <w:szCs w:val="18"/>
      </w:rPr>
    </w:sdtEndPr>
    <w:sdtContent>
      <w:p w14:paraId="59A84344" w14:textId="150ACED3" w:rsidR="00363D1D" w:rsidRPr="00BF210F" w:rsidRDefault="00363D1D">
        <w:pPr>
          <w:pStyle w:val="Footer"/>
          <w:jc w:val="right"/>
          <w:rPr>
            <w:rFonts w:cs="Arial"/>
            <w:sz w:val="18"/>
            <w:szCs w:val="18"/>
          </w:rPr>
        </w:pPr>
        <w:r w:rsidRPr="00BF210F">
          <w:rPr>
            <w:rFonts w:cs="Arial"/>
            <w:sz w:val="18"/>
            <w:szCs w:val="18"/>
          </w:rPr>
          <w:fldChar w:fldCharType="begin"/>
        </w:r>
        <w:r w:rsidRPr="00BF210F">
          <w:rPr>
            <w:rFonts w:cs="Arial"/>
            <w:sz w:val="18"/>
            <w:szCs w:val="18"/>
          </w:rPr>
          <w:instrText xml:space="preserve"> PAGE   \* MERGEFORMAT </w:instrText>
        </w:r>
        <w:r w:rsidRPr="00BF210F">
          <w:rPr>
            <w:rFonts w:cs="Arial"/>
            <w:sz w:val="18"/>
            <w:szCs w:val="18"/>
          </w:rPr>
          <w:fldChar w:fldCharType="separate"/>
        </w:r>
        <w:r w:rsidR="00AE51C6">
          <w:rPr>
            <w:rFonts w:cs="Arial"/>
            <w:noProof/>
            <w:sz w:val="18"/>
            <w:szCs w:val="18"/>
          </w:rPr>
          <w:t>24</w:t>
        </w:r>
        <w:r w:rsidRPr="00BF210F">
          <w:rPr>
            <w:rFonts w:cs="Arial"/>
            <w:noProof/>
            <w:sz w:val="18"/>
            <w:szCs w:val="18"/>
          </w:rPr>
          <w:fldChar w:fldCharType="end"/>
        </w:r>
      </w:p>
    </w:sdtContent>
  </w:sdt>
  <w:p w14:paraId="272966B7" w14:textId="77777777" w:rsidR="00363D1D" w:rsidRDefault="0036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C5F94" w14:textId="77777777" w:rsidR="00D01943" w:rsidRDefault="00D01943" w:rsidP="005F5050">
      <w:r>
        <w:separator/>
      </w:r>
    </w:p>
  </w:footnote>
  <w:footnote w:type="continuationSeparator" w:id="0">
    <w:p w14:paraId="53513862" w14:textId="77777777" w:rsidR="00D01943" w:rsidRDefault="00D01943" w:rsidP="005F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DEF247"/>
    <w:multiLevelType w:val="hybridMultilevel"/>
    <w:tmpl w:val="D4028C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7DC066"/>
    <w:multiLevelType w:val="hybridMultilevel"/>
    <w:tmpl w:val="3298DE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3A0561"/>
    <w:multiLevelType w:val="hybridMultilevel"/>
    <w:tmpl w:val="9DBCE58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375455DD"/>
    <w:multiLevelType w:val="hybridMultilevel"/>
    <w:tmpl w:val="D83DDD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216CDBF"/>
    <w:multiLevelType w:val="hybridMultilevel"/>
    <w:tmpl w:val="760328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FE37FA3"/>
    <w:multiLevelType w:val="hybridMultilevel"/>
    <w:tmpl w:val="D6C0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E3"/>
    <w:rsid w:val="0000403B"/>
    <w:rsid w:val="00017649"/>
    <w:rsid w:val="00045D96"/>
    <w:rsid w:val="00055EB1"/>
    <w:rsid w:val="00056B1D"/>
    <w:rsid w:val="00070F98"/>
    <w:rsid w:val="000A17DE"/>
    <w:rsid w:val="000A71E3"/>
    <w:rsid w:val="000B05CB"/>
    <w:rsid w:val="000D1A9D"/>
    <w:rsid w:val="000F51E8"/>
    <w:rsid w:val="00116146"/>
    <w:rsid w:val="00123E57"/>
    <w:rsid w:val="00144526"/>
    <w:rsid w:val="00152ABB"/>
    <w:rsid w:val="001603F4"/>
    <w:rsid w:val="00161D11"/>
    <w:rsid w:val="00163E61"/>
    <w:rsid w:val="00167F27"/>
    <w:rsid w:val="001755E6"/>
    <w:rsid w:val="00196042"/>
    <w:rsid w:val="001D4C0D"/>
    <w:rsid w:val="001E03EE"/>
    <w:rsid w:val="001E5AA3"/>
    <w:rsid w:val="001E7FA8"/>
    <w:rsid w:val="002119EA"/>
    <w:rsid w:val="002211A6"/>
    <w:rsid w:val="00230C5D"/>
    <w:rsid w:val="0023591E"/>
    <w:rsid w:val="0024216B"/>
    <w:rsid w:val="0025313E"/>
    <w:rsid w:val="00267E4A"/>
    <w:rsid w:val="002775E5"/>
    <w:rsid w:val="00281AE2"/>
    <w:rsid w:val="002A09C8"/>
    <w:rsid w:val="002B5F35"/>
    <w:rsid w:val="002C7B64"/>
    <w:rsid w:val="002D0B1E"/>
    <w:rsid w:val="002F17CD"/>
    <w:rsid w:val="002F1AD5"/>
    <w:rsid w:val="002F2392"/>
    <w:rsid w:val="002F70BE"/>
    <w:rsid w:val="003003EE"/>
    <w:rsid w:val="00303D1A"/>
    <w:rsid w:val="00347453"/>
    <w:rsid w:val="0035681D"/>
    <w:rsid w:val="00361608"/>
    <w:rsid w:val="00363D1D"/>
    <w:rsid w:val="00364997"/>
    <w:rsid w:val="0037516C"/>
    <w:rsid w:val="00375459"/>
    <w:rsid w:val="00381A53"/>
    <w:rsid w:val="003927B1"/>
    <w:rsid w:val="00394CEF"/>
    <w:rsid w:val="003B65D9"/>
    <w:rsid w:val="003C37CE"/>
    <w:rsid w:val="003F171F"/>
    <w:rsid w:val="003F2A9D"/>
    <w:rsid w:val="003F7F3D"/>
    <w:rsid w:val="004142EA"/>
    <w:rsid w:val="00437144"/>
    <w:rsid w:val="00443FB3"/>
    <w:rsid w:val="004559C5"/>
    <w:rsid w:val="00476B9D"/>
    <w:rsid w:val="004C2696"/>
    <w:rsid w:val="004E761C"/>
    <w:rsid w:val="005039A9"/>
    <w:rsid w:val="005075EB"/>
    <w:rsid w:val="0051601B"/>
    <w:rsid w:val="00521297"/>
    <w:rsid w:val="00521E81"/>
    <w:rsid w:val="00527DD9"/>
    <w:rsid w:val="00531F2E"/>
    <w:rsid w:val="00532AC8"/>
    <w:rsid w:val="005331A3"/>
    <w:rsid w:val="005400BB"/>
    <w:rsid w:val="005432BA"/>
    <w:rsid w:val="00553497"/>
    <w:rsid w:val="00557012"/>
    <w:rsid w:val="0056019E"/>
    <w:rsid w:val="00573809"/>
    <w:rsid w:val="0058377D"/>
    <w:rsid w:val="005A0738"/>
    <w:rsid w:val="005A0EE3"/>
    <w:rsid w:val="005B7CA1"/>
    <w:rsid w:val="005C1C14"/>
    <w:rsid w:val="005C351E"/>
    <w:rsid w:val="005E698C"/>
    <w:rsid w:val="005F5050"/>
    <w:rsid w:val="0062595D"/>
    <w:rsid w:val="00626950"/>
    <w:rsid w:val="00632CFE"/>
    <w:rsid w:val="00634F46"/>
    <w:rsid w:val="00635A37"/>
    <w:rsid w:val="00636756"/>
    <w:rsid w:val="00636A7C"/>
    <w:rsid w:val="0064139E"/>
    <w:rsid w:val="006413F8"/>
    <w:rsid w:val="0064205D"/>
    <w:rsid w:val="00664E5A"/>
    <w:rsid w:val="006900BD"/>
    <w:rsid w:val="006B4CF5"/>
    <w:rsid w:val="006B630E"/>
    <w:rsid w:val="006C76AB"/>
    <w:rsid w:val="006D1091"/>
    <w:rsid w:val="006D6B52"/>
    <w:rsid w:val="007078BB"/>
    <w:rsid w:val="007414AF"/>
    <w:rsid w:val="007531D1"/>
    <w:rsid w:val="00753D59"/>
    <w:rsid w:val="00762FF0"/>
    <w:rsid w:val="0078108F"/>
    <w:rsid w:val="007C25F8"/>
    <w:rsid w:val="007C7556"/>
    <w:rsid w:val="007D1FA3"/>
    <w:rsid w:val="00814DB9"/>
    <w:rsid w:val="00822665"/>
    <w:rsid w:val="00826335"/>
    <w:rsid w:val="00846D54"/>
    <w:rsid w:val="00851D6E"/>
    <w:rsid w:val="00856C71"/>
    <w:rsid w:val="0086274D"/>
    <w:rsid w:val="00863807"/>
    <w:rsid w:val="00863A22"/>
    <w:rsid w:val="00896EA9"/>
    <w:rsid w:val="00897677"/>
    <w:rsid w:val="008A0464"/>
    <w:rsid w:val="008D6563"/>
    <w:rsid w:val="008E4836"/>
    <w:rsid w:val="00902803"/>
    <w:rsid w:val="00913BAB"/>
    <w:rsid w:val="00921509"/>
    <w:rsid w:val="00923DB9"/>
    <w:rsid w:val="009258FF"/>
    <w:rsid w:val="00926F85"/>
    <w:rsid w:val="00947ECF"/>
    <w:rsid w:val="00953521"/>
    <w:rsid w:val="00990E38"/>
    <w:rsid w:val="009A049D"/>
    <w:rsid w:val="009D19E1"/>
    <w:rsid w:val="00A14B7A"/>
    <w:rsid w:val="00A324DC"/>
    <w:rsid w:val="00A32E68"/>
    <w:rsid w:val="00A7053A"/>
    <w:rsid w:val="00A83B8A"/>
    <w:rsid w:val="00A90882"/>
    <w:rsid w:val="00AB2849"/>
    <w:rsid w:val="00AE51C6"/>
    <w:rsid w:val="00AE5CF4"/>
    <w:rsid w:val="00AE5FEE"/>
    <w:rsid w:val="00B307CB"/>
    <w:rsid w:val="00B31728"/>
    <w:rsid w:val="00B40E22"/>
    <w:rsid w:val="00B41A24"/>
    <w:rsid w:val="00B63E23"/>
    <w:rsid w:val="00B71F45"/>
    <w:rsid w:val="00B74453"/>
    <w:rsid w:val="00B76E3E"/>
    <w:rsid w:val="00B86AF7"/>
    <w:rsid w:val="00B875B3"/>
    <w:rsid w:val="00B92FFA"/>
    <w:rsid w:val="00B94D86"/>
    <w:rsid w:val="00B94F96"/>
    <w:rsid w:val="00BC5740"/>
    <w:rsid w:val="00BE4292"/>
    <w:rsid w:val="00BF210F"/>
    <w:rsid w:val="00C01308"/>
    <w:rsid w:val="00C12385"/>
    <w:rsid w:val="00C25E84"/>
    <w:rsid w:val="00C275F3"/>
    <w:rsid w:val="00C316F4"/>
    <w:rsid w:val="00C64564"/>
    <w:rsid w:val="00C725D0"/>
    <w:rsid w:val="00C757AB"/>
    <w:rsid w:val="00C871F1"/>
    <w:rsid w:val="00CA1075"/>
    <w:rsid w:val="00CC0F0B"/>
    <w:rsid w:val="00CC7A0A"/>
    <w:rsid w:val="00CE31BA"/>
    <w:rsid w:val="00CE35CA"/>
    <w:rsid w:val="00D01943"/>
    <w:rsid w:val="00D153B4"/>
    <w:rsid w:val="00D40576"/>
    <w:rsid w:val="00D4510D"/>
    <w:rsid w:val="00D47E85"/>
    <w:rsid w:val="00D52497"/>
    <w:rsid w:val="00D65742"/>
    <w:rsid w:val="00D66A20"/>
    <w:rsid w:val="00D837F4"/>
    <w:rsid w:val="00D83992"/>
    <w:rsid w:val="00DB23F4"/>
    <w:rsid w:val="00DB6E75"/>
    <w:rsid w:val="00DD713E"/>
    <w:rsid w:val="00E12968"/>
    <w:rsid w:val="00E155B2"/>
    <w:rsid w:val="00E16BA9"/>
    <w:rsid w:val="00E423E2"/>
    <w:rsid w:val="00E44DD5"/>
    <w:rsid w:val="00E4708B"/>
    <w:rsid w:val="00E906FE"/>
    <w:rsid w:val="00E929D6"/>
    <w:rsid w:val="00EA1A3C"/>
    <w:rsid w:val="00EA43C5"/>
    <w:rsid w:val="00EA47EC"/>
    <w:rsid w:val="00ED1505"/>
    <w:rsid w:val="00EE2C05"/>
    <w:rsid w:val="00EE6290"/>
    <w:rsid w:val="00F25C6C"/>
    <w:rsid w:val="00F44D48"/>
    <w:rsid w:val="00F467ED"/>
    <w:rsid w:val="00F54B90"/>
    <w:rsid w:val="00F62B0F"/>
    <w:rsid w:val="00F63352"/>
    <w:rsid w:val="00F76AEE"/>
    <w:rsid w:val="00F828FA"/>
    <w:rsid w:val="00FB16BD"/>
    <w:rsid w:val="00FC10F5"/>
    <w:rsid w:val="00FD2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460A"/>
  <w15:docId w15:val="{B1E1B86E-298D-4317-ADEA-BF453624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EE3"/>
    <w:pPr>
      <w:autoSpaceDE w:val="0"/>
      <w:autoSpaceDN w:val="0"/>
      <w:adjustRightInd w:val="0"/>
      <w:spacing w:after="0"/>
    </w:pPr>
    <w:rPr>
      <w:rFonts w:ascii="Shaker 2 Lancet Regular" w:hAnsi="Shaker 2 Lancet Regular" w:cs="Shaker 2 Lancet Regular"/>
      <w:color w:val="000000"/>
      <w:sz w:val="24"/>
      <w:szCs w:val="24"/>
    </w:rPr>
  </w:style>
  <w:style w:type="paragraph" w:customStyle="1" w:styleId="Pa8">
    <w:name w:val="Pa8"/>
    <w:basedOn w:val="Default"/>
    <w:next w:val="Default"/>
    <w:uiPriority w:val="99"/>
    <w:rsid w:val="005A0EE3"/>
    <w:pPr>
      <w:spacing w:line="187" w:lineRule="atLeast"/>
    </w:pPr>
    <w:rPr>
      <w:rFonts w:cstheme="minorBidi"/>
      <w:color w:val="auto"/>
    </w:rPr>
  </w:style>
  <w:style w:type="paragraph" w:customStyle="1" w:styleId="Pa2">
    <w:name w:val="Pa2"/>
    <w:basedOn w:val="Default"/>
    <w:next w:val="Default"/>
    <w:uiPriority w:val="99"/>
    <w:rsid w:val="005A0EE3"/>
    <w:pPr>
      <w:spacing w:line="217" w:lineRule="atLeast"/>
    </w:pPr>
    <w:rPr>
      <w:rFonts w:cstheme="minorBidi"/>
      <w:color w:val="auto"/>
    </w:rPr>
  </w:style>
  <w:style w:type="paragraph" w:styleId="Header">
    <w:name w:val="header"/>
    <w:basedOn w:val="Normal"/>
    <w:link w:val="HeaderChar"/>
    <w:uiPriority w:val="99"/>
    <w:unhideWhenUsed/>
    <w:rsid w:val="005F5050"/>
    <w:pPr>
      <w:tabs>
        <w:tab w:val="center" w:pos="4536"/>
        <w:tab w:val="right" w:pos="9072"/>
      </w:tabs>
    </w:pPr>
  </w:style>
  <w:style w:type="character" w:customStyle="1" w:styleId="HeaderChar">
    <w:name w:val="Header Char"/>
    <w:basedOn w:val="DefaultParagraphFont"/>
    <w:link w:val="Header"/>
    <w:uiPriority w:val="99"/>
    <w:rsid w:val="005F5050"/>
  </w:style>
  <w:style w:type="paragraph" w:styleId="Footer">
    <w:name w:val="footer"/>
    <w:basedOn w:val="Normal"/>
    <w:link w:val="FooterChar"/>
    <w:uiPriority w:val="99"/>
    <w:unhideWhenUsed/>
    <w:rsid w:val="005F5050"/>
    <w:pPr>
      <w:tabs>
        <w:tab w:val="center" w:pos="4536"/>
        <w:tab w:val="right" w:pos="9072"/>
      </w:tabs>
    </w:pPr>
  </w:style>
  <w:style w:type="character" w:customStyle="1" w:styleId="FooterChar">
    <w:name w:val="Footer Char"/>
    <w:basedOn w:val="DefaultParagraphFont"/>
    <w:link w:val="Footer"/>
    <w:uiPriority w:val="99"/>
    <w:rsid w:val="005F5050"/>
  </w:style>
  <w:style w:type="character" w:styleId="CommentReference">
    <w:name w:val="annotation reference"/>
    <w:basedOn w:val="DefaultParagraphFont"/>
    <w:uiPriority w:val="99"/>
    <w:semiHidden/>
    <w:unhideWhenUsed/>
    <w:rsid w:val="00BC5740"/>
    <w:rPr>
      <w:sz w:val="16"/>
      <w:szCs w:val="16"/>
    </w:rPr>
  </w:style>
  <w:style w:type="paragraph" w:styleId="CommentText">
    <w:name w:val="annotation text"/>
    <w:basedOn w:val="Normal"/>
    <w:link w:val="CommentTextChar"/>
    <w:uiPriority w:val="99"/>
    <w:semiHidden/>
    <w:unhideWhenUsed/>
    <w:rsid w:val="00BC5740"/>
    <w:rPr>
      <w:sz w:val="20"/>
      <w:szCs w:val="20"/>
    </w:rPr>
  </w:style>
  <w:style w:type="character" w:customStyle="1" w:styleId="CommentTextChar">
    <w:name w:val="Comment Text Char"/>
    <w:basedOn w:val="DefaultParagraphFont"/>
    <w:link w:val="CommentText"/>
    <w:uiPriority w:val="99"/>
    <w:semiHidden/>
    <w:rsid w:val="00BC5740"/>
    <w:rPr>
      <w:sz w:val="20"/>
      <w:szCs w:val="20"/>
    </w:rPr>
  </w:style>
  <w:style w:type="paragraph" w:styleId="CommentSubject">
    <w:name w:val="annotation subject"/>
    <w:basedOn w:val="CommentText"/>
    <w:next w:val="CommentText"/>
    <w:link w:val="CommentSubjectChar"/>
    <w:uiPriority w:val="99"/>
    <w:semiHidden/>
    <w:unhideWhenUsed/>
    <w:rsid w:val="00BC5740"/>
    <w:rPr>
      <w:b/>
      <w:bCs/>
    </w:rPr>
  </w:style>
  <w:style w:type="character" w:customStyle="1" w:styleId="CommentSubjectChar">
    <w:name w:val="Comment Subject Char"/>
    <w:basedOn w:val="CommentTextChar"/>
    <w:link w:val="CommentSubject"/>
    <w:uiPriority w:val="99"/>
    <w:semiHidden/>
    <w:rsid w:val="00BC5740"/>
    <w:rPr>
      <w:b/>
      <w:bCs/>
      <w:sz w:val="20"/>
      <w:szCs w:val="20"/>
    </w:rPr>
  </w:style>
  <w:style w:type="paragraph" w:styleId="BalloonText">
    <w:name w:val="Balloon Text"/>
    <w:basedOn w:val="Normal"/>
    <w:link w:val="BalloonTextChar"/>
    <w:uiPriority w:val="99"/>
    <w:semiHidden/>
    <w:unhideWhenUsed/>
    <w:rsid w:val="00BC5740"/>
    <w:rPr>
      <w:rFonts w:ascii="Tahoma" w:hAnsi="Tahoma" w:cs="Tahoma"/>
      <w:sz w:val="16"/>
      <w:szCs w:val="16"/>
    </w:rPr>
  </w:style>
  <w:style w:type="character" w:customStyle="1" w:styleId="BalloonTextChar">
    <w:name w:val="Balloon Text Char"/>
    <w:basedOn w:val="DefaultParagraphFont"/>
    <w:link w:val="BalloonText"/>
    <w:uiPriority w:val="99"/>
    <w:semiHidden/>
    <w:rsid w:val="00BC5740"/>
    <w:rPr>
      <w:rFonts w:ascii="Tahoma" w:hAnsi="Tahoma" w:cs="Tahoma"/>
      <w:sz w:val="16"/>
      <w:szCs w:val="16"/>
    </w:rPr>
  </w:style>
  <w:style w:type="table" w:styleId="TableGrid">
    <w:name w:val="Table Grid"/>
    <w:basedOn w:val="TableNormal"/>
    <w:uiPriority w:val="59"/>
    <w:rsid w:val="00D837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02803"/>
    <w:pPr>
      <w:tabs>
        <w:tab w:val="left" w:pos="384"/>
      </w:tabs>
      <w:spacing w:after="240"/>
      <w:ind w:left="384" w:hanging="384"/>
    </w:pPr>
  </w:style>
  <w:style w:type="paragraph" w:styleId="ListParagraph">
    <w:name w:val="List Paragraph"/>
    <w:basedOn w:val="Normal"/>
    <w:uiPriority w:val="34"/>
    <w:qFormat/>
    <w:rsid w:val="008A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90993">
      <w:bodyDiv w:val="1"/>
      <w:marLeft w:val="0"/>
      <w:marRight w:val="0"/>
      <w:marTop w:val="0"/>
      <w:marBottom w:val="0"/>
      <w:divBdr>
        <w:top w:val="none" w:sz="0" w:space="0" w:color="auto"/>
        <w:left w:val="none" w:sz="0" w:space="0" w:color="auto"/>
        <w:bottom w:val="none" w:sz="0" w:space="0" w:color="auto"/>
        <w:right w:val="none" w:sz="0" w:space="0" w:color="auto"/>
      </w:divBdr>
    </w:div>
    <w:div w:id="1241022453">
      <w:bodyDiv w:val="1"/>
      <w:marLeft w:val="0"/>
      <w:marRight w:val="0"/>
      <w:marTop w:val="0"/>
      <w:marBottom w:val="0"/>
      <w:divBdr>
        <w:top w:val="none" w:sz="0" w:space="0" w:color="auto"/>
        <w:left w:val="none" w:sz="0" w:space="0" w:color="auto"/>
        <w:bottom w:val="none" w:sz="0" w:space="0" w:color="auto"/>
        <w:right w:val="none" w:sz="0" w:space="0" w:color="auto"/>
      </w:divBdr>
    </w:div>
    <w:div w:id="1446581347">
      <w:bodyDiv w:val="1"/>
      <w:marLeft w:val="0"/>
      <w:marRight w:val="0"/>
      <w:marTop w:val="0"/>
      <w:marBottom w:val="0"/>
      <w:divBdr>
        <w:top w:val="none" w:sz="0" w:space="0" w:color="auto"/>
        <w:left w:val="none" w:sz="0" w:space="0" w:color="auto"/>
        <w:bottom w:val="none" w:sz="0" w:space="0" w:color="auto"/>
        <w:right w:val="none" w:sz="0" w:space="0" w:color="auto"/>
      </w:divBdr>
    </w:div>
    <w:div w:id="18811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24510</Words>
  <Characters>132358</Characters>
  <Application>Microsoft Office Word</Application>
  <DocSecurity>0</DocSecurity>
  <Lines>1102</Lines>
  <Paragraphs>313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Brandao</dc:creator>
  <cp:lastModifiedBy>marbran</cp:lastModifiedBy>
  <cp:revision>2</cp:revision>
  <cp:lastPrinted>2020-03-25T09:42:00Z</cp:lastPrinted>
  <dcterms:created xsi:type="dcterms:W3CDTF">2020-11-06T10:22:00Z</dcterms:created>
  <dcterms:modified xsi:type="dcterms:W3CDTF">2020-11-06T10:22:00Z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id="XhB0aKvp"/&gt;&lt;style id="http://www.zotero.org/styles/aids" hasBibliography="1" bibliographyStyleHasBeenSet="1"/&gt;&lt;prefs&gt;&lt;pref name="fieldType" value="Field"/&gt;&lt;/prefs&gt;&lt;/data&gt;</vt:lpwstr>
  </property>
</Properties>
</file>