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0154" w14:textId="2E583284" w:rsidR="006D22A7" w:rsidRPr="008D536F" w:rsidRDefault="006D22A7" w:rsidP="006D22A7">
      <w:pPr>
        <w:pStyle w:val="Heading1"/>
        <w:rPr>
          <w:rFonts w:ascii="Times New Roman" w:hAnsi="Times New Roman"/>
          <w:sz w:val="28"/>
          <w:szCs w:val="28"/>
        </w:rPr>
      </w:pPr>
      <w:bookmarkStart w:id="0" w:name="_Hlk59021471"/>
      <w:r w:rsidRPr="008D536F">
        <w:rPr>
          <w:rFonts w:ascii="Times New Roman" w:hAnsi="Times New Roman"/>
          <w:sz w:val="28"/>
          <w:szCs w:val="28"/>
        </w:rPr>
        <w:t>Supplementary material</w:t>
      </w:r>
    </w:p>
    <w:p w14:paraId="0896BDB6" w14:textId="6760D4E4" w:rsidR="00CE7E8C" w:rsidRPr="004121C1" w:rsidRDefault="00CE7E8C" w:rsidP="004121C1">
      <w:pPr>
        <w:spacing w:before="100" w:beforeAutospacing="1" w:after="0" w:line="270" w:lineRule="atLeast"/>
        <w:jc w:val="both"/>
        <w:rPr>
          <w:rFonts w:ascii="Cailbri" w:hAnsi="Cailbri"/>
          <w:b/>
          <w:bCs/>
          <w:lang w:eastAsia="en-GB"/>
        </w:rPr>
      </w:pPr>
      <w:r w:rsidRPr="00A978B5">
        <w:rPr>
          <w:b/>
          <w:bCs/>
        </w:rPr>
        <w:t xml:space="preserve">This appendix is a supplement to: </w:t>
      </w:r>
      <w:r w:rsidRPr="00A978B5">
        <w:rPr>
          <w:b/>
          <w:bCs/>
          <w:lang w:val="en-ZA"/>
        </w:rPr>
        <w:t xml:space="preserve">Keene et al. </w:t>
      </w:r>
      <w:r w:rsidR="004121C1" w:rsidRPr="004121C1">
        <w:rPr>
          <w:rFonts w:ascii="Cailbri" w:hAnsi="Cailbri"/>
          <w:b/>
          <w:bCs/>
          <w:i/>
          <w:iCs/>
          <w:lang w:eastAsia="en-GB"/>
        </w:rPr>
        <w:t>Virologic efficacy of tenofovir, lamivudine and dolutegravir as second-line in adults failing a tenofovir-based first-line regimen: a prospective cohort study</w:t>
      </w:r>
      <w:r w:rsidR="004121C1" w:rsidRPr="004121C1">
        <w:rPr>
          <w:rFonts w:ascii="Cailbri" w:hAnsi="Cailbri"/>
          <w:b/>
          <w:bCs/>
          <w:lang w:eastAsia="en-GB"/>
        </w:rPr>
        <w:t xml:space="preserve"> </w:t>
      </w:r>
    </w:p>
    <w:p w14:paraId="527DFC94" w14:textId="77777777" w:rsidR="00A978B5" w:rsidRPr="008D536F" w:rsidRDefault="00A978B5" w:rsidP="00A978B5">
      <w:pPr>
        <w:pStyle w:val="NormalWeb"/>
        <w:spacing w:after="0" w:afterAutospacing="0"/>
        <w:jc w:val="both"/>
        <w:rPr>
          <w:b/>
          <w:bCs/>
        </w:rPr>
      </w:pPr>
    </w:p>
    <w:p w14:paraId="7DDD1D13" w14:textId="77777777" w:rsidR="00443B5E" w:rsidRPr="008D536F" w:rsidRDefault="00443B5E" w:rsidP="00443B5E">
      <w:pPr>
        <w:pStyle w:val="Caption"/>
        <w:keepNext/>
        <w:rPr>
          <w:rFonts w:ascii="Times New Roman" w:hAnsi="Times New Roman"/>
          <w:b w:val="0"/>
          <w:bCs w:val="0"/>
          <w:sz w:val="22"/>
          <w:szCs w:val="22"/>
        </w:rPr>
      </w:pPr>
      <w:bookmarkStart w:id="1" w:name="_Toc55844634"/>
      <w:bookmarkEnd w:id="0"/>
      <w:r w:rsidRPr="008D536F">
        <w:rPr>
          <w:rFonts w:ascii="Times New Roman" w:hAnsi="Times New Roman"/>
          <w:b w:val="0"/>
          <w:bCs w:val="0"/>
          <w:sz w:val="22"/>
          <w:szCs w:val="22"/>
        </w:rPr>
        <w:t>Table 1a. Frequency of specific major nucleoside reverse-transcriptase inhibitor (NRTI) and non-nucleoside reverse-transcriptase inhibitor (NNRTI) mutations at baseline</w:t>
      </w:r>
    </w:p>
    <w:p w14:paraId="26B15FEF" w14:textId="77777777" w:rsidR="00443B5E" w:rsidRPr="008D536F" w:rsidRDefault="00443B5E" w:rsidP="00443B5E">
      <w:pPr>
        <w:pStyle w:val="Caption"/>
        <w:keepNext/>
        <w:rPr>
          <w:rFonts w:ascii="Times New Roman" w:hAnsi="Times New Roman"/>
          <w:b w:val="0"/>
          <w:bCs w:val="0"/>
          <w:sz w:val="22"/>
          <w:szCs w:val="22"/>
        </w:rPr>
      </w:pPr>
      <w:r w:rsidRPr="008D536F">
        <w:rPr>
          <w:rFonts w:ascii="Times New Roman" w:hAnsi="Times New Roman"/>
          <w:b w:val="0"/>
          <w:bCs w:val="0"/>
          <w:sz w:val="22"/>
          <w:szCs w:val="22"/>
        </w:rPr>
        <w:t>Table 1b. Listing of major and minor nucleoside reverse-transcriptase inhibitor (NRTI) and non-nucleoside reverse-transcriptase inhibitor (NNRTI) mutations at baseline by participant</w:t>
      </w:r>
    </w:p>
    <w:p w14:paraId="7DBA1B61" w14:textId="77777777" w:rsidR="00443B5E" w:rsidRPr="008D536F" w:rsidRDefault="00443B5E" w:rsidP="00443B5E">
      <w:pPr>
        <w:pStyle w:val="Caption"/>
        <w:rPr>
          <w:rFonts w:ascii="Times New Roman" w:hAnsi="Times New Roman"/>
          <w:b w:val="0"/>
          <w:bCs w:val="0"/>
          <w:sz w:val="22"/>
          <w:szCs w:val="22"/>
        </w:rPr>
      </w:pPr>
      <w:r w:rsidRPr="008D536F">
        <w:rPr>
          <w:rFonts w:ascii="Times New Roman" w:hAnsi="Times New Roman"/>
          <w:b w:val="0"/>
          <w:bCs w:val="0"/>
          <w:sz w:val="22"/>
          <w:szCs w:val="22"/>
        </w:rPr>
        <w:t>Table 2. Outcomes for participants not suppressed (viral load [VL] &lt;50 copies/mL) using the modified intention-to-treat analysis at week 24</w:t>
      </w:r>
    </w:p>
    <w:p w14:paraId="67B943FC" w14:textId="77777777" w:rsidR="00443B5E" w:rsidRPr="008D536F" w:rsidRDefault="00443B5E" w:rsidP="00443B5E">
      <w:pPr>
        <w:rPr>
          <w:rFonts w:ascii="Times New Roman" w:hAnsi="Times New Roman"/>
        </w:rPr>
      </w:pPr>
      <w:r w:rsidRPr="008D536F">
        <w:rPr>
          <w:rFonts w:ascii="Times New Roman" w:hAnsi="Times New Roman"/>
        </w:rPr>
        <w:t>Table 3. Aggregated HIV viral load outcomes by study visit</w:t>
      </w:r>
    </w:p>
    <w:p w14:paraId="4971FC2E" w14:textId="77777777" w:rsidR="00443B5E" w:rsidRPr="008D536F" w:rsidRDefault="00443B5E" w:rsidP="00443B5E">
      <w:pPr>
        <w:pStyle w:val="Heading2"/>
        <w:spacing w:after="200"/>
        <w:rPr>
          <w:rFonts w:ascii="Times New Roman" w:hAnsi="Times New Roman" w:cs="Times New Roman"/>
          <w:color w:val="auto"/>
          <w:sz w:val="22"/>
          <w:szCs w:val="22"/>
        </w:rPr>
      </w:pPr>
      <w:r w:rsidRPr="008D536F">
        <w:rPr>
          <w:rFonts w:ascii="Times New Roman" w:hAnsi="Times New Roman" w:cs="Times New Roman"/>
          <w:color w:val="auto"/>
          <w:sz w:val="22"/>
          <w:szCs w:val="22"/>
        </w:rPr>
        <w:t>Table 4. HIV viral load data by participant</w:t>
      </w:r>
    </w:p>
    <w:p w14:paraId="34E43E30" w14:textId="77777777" w:rsidR="00443B5E" w:rsidRPr="008D536F" w:rsidRDefault="00443B5E" w:rsidP="00443B5E">
      <w:pPr>
        <w:pStyle w:val="Caption"/>
        <w:rPr>
          <w:rFonts w:ascii="Times New Roman" w:hAnsi="Times New Roman"/>
          <w:b w:val="0"/>
          <w:bCs w:val="0"/>
          <w:sz w:val="22"/>
          <w:szCs w:val="22"/>
        </w:rPr>
      </w:pPr>
      <w:r w:rsidRPr="008D536F">
        <w:rPr>
          <w:rFonts w:ascii="Times New Roman" w:hAnsi="Times New Roman"/>
          <w:b w:val="0"/>
          <w:bCs w:val="0"/>
          <w:sz w:val="22"/>
          <w:szCs w:val="22"/>
        </w:rPr>
        <w:t>Figure 1. Time to virologic suppression &lt;50 copies/mL by modified intention-to-treat analysis</w:t>
      </w:r>
    </w:p>
    <w:p w14:paraId="33328A3C" w14:textId="77777777" w:rsidR="00443B5E" w:rsidRPr="008D536F" w:rsidRDefault="00443B5E" w:rsidP="00443B5E">
      <w:pPr>
        <w:rPr>
          <w:rFonts w:ascii="Times New Roman" w:hAnsi="Times New Roman"/>
        </w:rPr>
      </w:pPr>
      <w:r w:rsidRPr="008D536F">
        <w:rPr>
          <w:rFonts w:ascii="Times New Roman" w:hAnsi="Times New Roman"/>
        </w:rPr>
        <w:t>Table 5. Characteristics by primary outcome (viral load &lt;50 copies/mL) at week 24 (modified intention-to-treat analysis, n=60)</w:t>
      </w:r>
    </w:p>
    <w:p w14:paraId="34EDEE9F" w14:textId="77777777" w:rsidR="00443B5E" w:rsidRPr="008D536F" w:rsidRDefault="00443B5E" w:rsidP="00443B5E">
      <w:pPr>
        <w:spacing w:after="160" w:line="254" w:lineRule="auto"/>
        <w:rPr>
          <w:rFonts w:ascii="Times New Roman" w:hAnsi="Times New Roman"/>
        </w:rPr>
      </w:pPr>
      <w:r w:rsidRPr="008D536F">
        <w:rPr>
          <w:rFonts w:ascii="Times New Roman" w:hAnsi="Times New Roman"/>
        </w:rPr>
        <w:t>Table 6. Characteristics by viral load &lt;400 copies/mL at week 24 (modified intention-to-treat analysis, n=60)</w:t>
      </w:r>
    </w:p>
    <w:p w14:paraId="26E826E6" w14:textId="77777777" w:rsidR="00443B5E" w:rsidRPr="008D536F" w:rsidRDefault="00443B5E" w:rsidP="00443B5E">
      <w:pPr>
        <w:rPr>
          <w:rFonts w:ascii="Times New Roman" w:hAnsi="Times New Roman"/>
        </w:rPr>
      </w:pPr>
      <w:r w:rsidRPr="008D536F">
        <w:rPr>
          <w:rFonts w:ascii="Times New Roman" w:hAnsi="Times New Roman"/>
        </w:rPr>
        <w:t>Figure 2. Subgroup analysis of primary endpoint stratified by baseline characteristics and adherence (tenofovir diphosphate [TFV-DP] concentration) at week 24 (VL &lt; 50 copies/mL at week 24, modified intention-to-treat analysis)</w:t>
      </w:r>
    </w:p>
    <w:p w14:paraId="332916EE" w14:textId="77777777" w:rsidR="00443B5E" w:rsidRPr="008D536F" w:rsidRDefault="00443B5E" w:rsidP="00443B5E">
      <w:pPr>
        <w:spacing w:after="160" w:line="254" w:lineRule="auto"/>
        <w:rPr>
          <w:rFonts w:ascii="Times New Roman" w:hAnsi="Times New Roman"/>
        </w:rPr>
      </w:pPr>
      <w:r w:rsidRPr="008D536F">
        <w:rPr>
          <w:rFonts w:ascii="Times New Roman" w:hAnsi="Times New Roman"/>
        </w:rPr>
        <w:t>Figure 3. Subgroup analysis of participants with viral load &lt;400 copies/mL at week 24 stratified by baseline characteristics and adherence (tenofovir diphosphate concentration) at week 24 (modified intention-to-treat analysis)</w:t>
      </w:r>
    </w:p>
    <w:p w14:paraId="4A6165FA" w14:textId="77777777" w:rsidR="00443B5E" w:rsidRPr="008D536F" w:rsidRDefault="00443B5E" w:rsidP="00443B5E">
      <w:pPr>
        <w:rPr>
          <w:rFonts w:ascii="Times New Roman" w:hAnsi="Times New Roman"/>
        </w:rPr>
      </w:pPr>
      <w:r w:rsidRPr="008D536F">
        <w:rPr>
          <w:rFonts w:ascii="Times New Roman" w:hAnsi="Times New Roman"/>
        </w:rPr>
        <w:t>Table 7. Categorised tenofovir diphosphate (TFV-DP) concentrations at baseline, week 12, and week 24, stratified by sex</w:t>
      </w:r>
    </w:p>
    <w:p w14:paraId="15920688" w14:textId="77777777" w:rsidR="00443B5E" w:rsidRPr="008D536F" w:rsidRDefault="00443B5E" w:rsidP="00443B5E">
      <w:pPr>
        <w:rPr>
          <w:rFonts w:ascii="Times New Roman" w:hAnsi="Times New Roman"/>
        </w:rPr>
      </w:pPr>
      <w:r w:rsidRPr="008D536F">
        <w:rPr>
          <w:rFonts w:ascii="Times New Roman" w:hAnsi="Times New Roman"/>
        </w:rPr>
        <w:t>Table 8. Summary of adverse events from baseline to week 24</w:t>
      </w:r>
    </w:p>
    <w:p w14:paraId="1E1159AA" w14:textId="77777777" w:rsidR="00443B5E" w:rsidRPr="008D536F" w:rsidRDefault="00443B5E" w:rsidP="00443B5E">
      <w:pPr>
        <w:rPr>
          <w:rFonts w:ascii="Times New Roman" w:hAnsi="Times New Roman"/>
        </w:rPr>
      </w:pPr>
      <w:r w:rsidRPr="008D536F">
        <w:rPr>
          <w:rFonts w:ascii="Times New Roman" w:hAnsi="Times New Roman"/>
        </w:rPr>
        <w:t>Figure 4. Proportion of individuals with specific Modified Mini Screen (MMS) score over time (continuous score ranging from 0 to 22)</w:t>
      </w:r>
    </w:p>
    <w:p w14:paraId="1AA98276" w14:textId="77777777" w:rsidR="00443B5E" w:rsidRPr="008D536F" w:rsidRDefault="00443B5E" w:rsidP="00443B5E">
      <w:pPr>
        <w:rPr>
          <w:rFonts w:ascii="Times New Roman" w:hAnsi="Times New Roman"/>
        </w:rPr>
      </w:pPr>
      <w:r w:rsidRPr="008D536F">
        <w:rPr>
          <w:rFonts w:ascii="Times New Roman" w:hAnsi="Times New Roman"/>
        </w:rPr>
        <w:t>Figure 5. Proportion of individuals with insomnia severity index (ISI) score at each timepoint (continuous measure ranging from 0 to 28)</w:t>
      </w:r>
    </w:p>
    <w:p w14:paraId="73FEA914" w14:textId="3DCB5365" w:rsidR="00443B5E" w:rsidRDefault="00443B5E" w:rsidP="00443B5E">
      <w:pPr>
        <w:rPr>
          <w:rFonts w:ascii="Times New Roman" w:hAnsi="Times New Roman"/>
        </w:rPr>
      </w:pPr>
      <w:r w:rsidRPr="008D536F">
        <w:rPr>
          <w:rFonts w:ascii="Times New Roman" w:hAnsi="Times New Roman"/>
        </w:rPr>
        <w:t>Table 9.</w:t>
      </w:r>
      <w:r w:rsidRPr="008D536F">
        <w:rPr>
          <w:rFonts w:ascii="Times New Roman" w:hAnsi="Times New Roman"/>
          <w:b/>
          <w:bCs/>
        </w:rPr>
        <w:fldChar w:fldCharType="begin"/>
      </w:r>
      <w:r w:rsidRPr="008D536F">
        <w:rPr>
          <w:rFonts w:ascii="Times New Roman" w:hAnsi="Times New Roman"/>
        </w:rPr>
        <w:instrText xml:space="preserve"> SEQ Table \* ARABIC </w:instrText>
      </w:r>
      <w:r w:rsidRPr="008D536F">
        <w:rPr>
          <w:rFonts w:ascii="Times New Roman" w:hAnsi="Times New Roman"/>
          <w:b/>
          <w:bCs/>
        </w:rPr>
        <w:fldChar w:fldCharType="end"/>
      </w:r>
      <w:r w:rsidRPr="008D536F">
        <w:rPr>
          <w:rFonts w:ascii="Times New Roman" w:hAnsi="Times New Roman"/>
        </w:rPr>
        <w:t xml:space="preserve"> Concomitant medications with potential for dolutegravir interaction taken at any point from baseline to week 24</w:t>
      </w:r>
    </w:p>
    <w:p w14:paraId="3C4B2315" w14:textId="4CB54C0A" w:rsidR="00A66119" w:rsidRPr="00A66119" w:rsidRDefault="00A66119" w:rsidP="00A66119">
      <w:pPr>
        <w:tabs>
          <w:tab w:val="left" w:pos="6018"/>
        </w:tabs>
        <w:rPr>
          <w:rFonts w:ascii="Times New Roman" w:hAnsi="Times New Roman"/>
        </w:rPr>
      </w:pPr>
      <w:r>
        <w:rPr>
          <w:rFonts w:ascii="Times New Roman" w:hAnsi="Times New Roman"/>
        </w:rPr>
        <w:tab/>
      </w:r>
    </w:p>
    <w:p w14:paraId="4CBEC3F6" w14:textId="2D6494FD" w:rsidR="00801D6D" w:rsidRPr="008D536F" w:rsidRDefault="00801D6D" w:rsidP="00801D6D">
      <w:pPr>
        <w:pStyle w:val="Caption"/>
        <w:keepNext/>
        <w:rPr>
          <w:rFonts w:ascii="Times New Roman" w:hAnsi="Times New Roman"/>
          <w:b w:val="0"/>
          <w:bCs w:val="0"/>
          <w:sz w:val="22"/>
          <w:szCs w:val="22"/>
        </w:rPr>
      </w:pPr>
      <w:r w:rsidRPr="008D536F">
        <w:rPr>
          <w:rFonts w:ascii="Times New Roman" w:hAnsi="Times New Roman"/>
          <w:b w:val="0"/>
          <w:bCs w:val="0"/>
          <w:sz w:val="22"/>
          <w:szCs w:val="22"/>
        </w:rPr>
        <w:lastRenderedPageBreak/>
        <w:t>Table 1a</w:t>
      </w:r>
      <w:r w:rsidR="005F28D9" w:rsidRPr="008D536F">
        <w:rPr>
          <w:rFonts w:ascii="Times New Roman" w:hAnsi="Times New Roman"/>
          <w:b w:val="0"/>
          <w:bCs w:val="0"/>
          <w:sz w:val="22"/>
          <w:szCs w:val="22"/>
        </w:rPr>
        <w:t>.</w:t>
      </w:r>
      <w:r w:rsidRPr="008D536F">
        <w:rPr>
          <w:rFonts w:ascii="Times New Roman" w:hAnsi="Times New Roman"/>
          <w:b w:val="0"/>
          <w:bCs w:val="0"/>
          <w:sz w:val="22"/>
          <w:szCs w:val="22"/>
        </w:rPr>
        <w:t xml:space="preserve"> Frequency of specific major </w:t>
      </w:r>
      <w:r w:rsidR="00377364" w:rsidRPr="008D536F">
        <w:rPr>
          <w:rFonts w:ascii="Times New Roman" w:hAnsi="Times New Roman"/>
          <w:b w:val="0"/>
          <w:bCs w:val="0"/>
          <w:sz w:val="22"/>
          <w:szCs w:val="22"/>
        </w:rPr>
        <w:t>nucleoside reverse-transc</w:t>
      </w:r>
      <w:r w:rsidR="00594527" w:rsidRPr="008D536F">
        <w:rPr>
          <w:rFonts w:ascii="Times New Roman" w:hAnsi="Times New Roman"/>
          <w:b w:val="0"/>
          <w:bCs w:val="0"/>
          <w:sz w:val="22"/>
          <w:szCs w:val="22"/>
        </w:rPr>
        <w:t>r</w:t>
      </w:r>
      <w:r w:rsidR="00377364" w:rsidRPr="008D536F">
        <w:rPr>
          <w:rFonts w:ascii="Times New Roman" w:hAnsi="Times New Roman"/>
          <w:b w:val="0"/>
          <w:bCs w:val="0"/>
          <w:sz w:val="22"/>
          <w:szCs w:val="22"/>
        </w:rPr>
        <w:t>iptase inhibitor (</w:t>
      </w:r>
      <w:r w:rsidRPr="008D536F">
        <w:rPr>
          <w:rFonts w:ascii="Times New Roman" w:hAnsi="Times New Roman"/>
          <w:b w:val="0"/>
          <w:bCs w:val="0"/>
          <w:sz w:val="22"/>
          <w:szCs w:val="22"/>
        </w:rPr>
        <w:t>NRTI</w:t>
      </w:r>
      <w:r w:rsidR="00377364" w:rsidRPr="008D536F">
        <w:rPr>
          <w:rFonts w:ascii="Times New Roman" w:hAnsi="Times New Roman"/>
          <w:b w:val="0"/>
          <w:bCs w:val="0"/>
          <w:sz w:val="22"/>
          <w:szCs w:val="22"/>
        </w:rPr>
        <w:t>) and non-nucleoside reverse-transcriptase inhibitor (</w:t>
      </w:r>
      <w:r w:rsidRPr="008D536F">
        <w:rPr>
          <w:rFonts w:ascii="Times New Roman" w:hAnsi="Times New Roman"/>
          <w:b w:val="0"/>
          <w:bCs w:val="0"/>
          <w:sz w:val="22"/>
          <w:szCs w:val="22"/>
        </w:rPr>
        <w:t>NNRTI</w:t>
      </w:r>
      <w:r w:rsidR="00377364" w:rsidRPr="008D536F">
        <w:rPr>
          <w:rFonts w:ascii="Times New Roman" w:hAnsi="Times New Roman"/>
          <w:b w:val="0"/>
          <w:bCs w:val="0"/>
          <w:sz w:val="22"/>
          <w:szCs w:val="22"/>
        </w:rPr>
        <w:t>)</w:t>
      </w:r>
      <w:r w:rsidRPr="008D536F">
        <w:rPr>
          <w:rFonts w:ascii="Times New Roman" w:hAnsi="Times New Roman"/>
          <w:b w:val="0"/>
          <w:bCs w:val="0"/>
          <w:sz w:val="22"/>
          <w:szCs w:val="22"/>
        </w:rPr>
        <w:t xml:space="preserve"> mutations at baseline</w:t>
      </w:r>
      <w:bookmarkEnd w:id="1"/>
      <w:r w:rsidR="00DC28CB" w:rsidRPr="008D536F">
        <w:rPr>
          <w:rFonts w:ascii="Times New Roman" w:hAnsi="Times New Roman"/>
          <w:b w:val="0"/>
          <w:bCs w:val="0"/>
          <w:sz w:val="22"/>
          <w:szCs w:val="22"/>
        </w:rPr>
        <w:t xml:space="preserve"> </w:t>
      </w:r>
    </w:p>
    <w:tbl>
      <w:tblPr>
        <w:tblStyle w:val="GridTable6Colorful-Accent3"/>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1158"/>
        <w:gridCol w:w="4252"/>
        <w:gridCol w:w="1439"/>
      </w:tblGrid>
      <w:tr w:rsidR="00DC28CB" w:rsidRPr="008D536F" w14:paraId="27B10D2A" w14:textId="6E0F72FD" w:rsidTr="00FF78B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tcBorders>
              <w:top w:val="single" w:sz="4" w:space="0" w:color="auto"/>
              <w:bottom w:val="single" w:sz="4" w:space="0" w:color="auto"/>
            </w:tcBorders>
            <w:noWrap/>
            <w:hideMark/>
          </w:tcPr>
          <w:p w14:paraId="64BA6B22" w14:textId="1D6A50AB" w:rsidR="00675F71" w:rsidRPr="008D536F" w:rsidRDefault="00675F71" w:rsidP="00675F71">
            <w:pPr>
              <w:spacing w:after="0" w:line="240" w:lineRule="auto"/>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Major NRTI mutations (n/%)</w:t>
            </w:r>
          </w:p>
        </w:tc>
        <w:tc>
          <w:tcPr>
            <w:tcW w:w="1158" w:type="dxa"/>
            <w:tcBorders>
              <w:top w:val="single" w:sz="4" w:space="0" w:color="auto"/>
              <w:bottom w:val="single" w:sz="4" w:space="0" w:color="auto"/>
              <w:right w:val="single" w:sz="4" w:space="0" w:color="auto"/>
            </w:tcBorders>
            <w:noWrap/>
            <w:hideMark/>
          </w:tcPr>
          <w:p w14:paraId="5EACD695" w14:textId="57D62197" w:rsidR="00675F71" w:rsidRPr="008D536F" w:rsidRDefault="003D3138" w:rsidP="00675F7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N=54</w:t>
            </w:r>
          </w:p>
        </w:tc>
        <w:tc>
          <w:tcPr>
            <w:tcW w:w="4252" w:type="dxa"/>
            <w:tcBorders>
              <w:top w:val="single" w:sz="4" w:space="0" w:color="auto"/>
              <w:left w:val="single" w:sz="4" w:space="0" w:color="auto"/>
              <w:bottom w:val="single" w:sz="4" w:space="0" w:color="auto"/>
            </w:tcBorders>
          </w:tcPr>
          <w:p w14:paraId="1F9D2467" w14:textId="1841B44C" w:rsidR="00675F71" w:rsidRPr="008D536F" w:rsidRDefault="00675F71" w:rsidP="00675F7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Major NNRTI mutations (n/%)</w:t>
            </w:r>
          </w:p>
        </w:tc>
        <w:tc>
          <w:tcPr>
            <w:tcW w:w="1439" w:type="dxa"/>
            <w:tcBorders>
              <w:top w:val="single" w:sz="4" w:space="0" w:color="auto"/>
              <w:bottom w:val="single" w:sz="4" w:space="0" w:color="auto"/>
            </w:tcBorders>
          </w:tcPr>
          <w:p w14:paraId="61BB4B92" w14:textId="1EDEDFF7" w:rsidR="00675F71" w:rsidRPr="008D536F" w:rsidRDefault="003D3138" w:rsidP="00675F7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N=54</w:t>
            </w:r>
          </w:p>
        </w:tc>
      </w:tr>
      <w:tr w:rsidR="00DC28CB" w:rsidRPr="008D536F" w14:paraId="27726145" w14:textId="3EBE3AF1"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tcBorders>
              <w:top w:val="single" w:sz="4" w:space="0" w:color="auto"/>
            </w:tcBorders>
            <w:noWrap/>
            <w:hideMark/>
          </w:tcPr>
          <w:p w14:paraId="4E52C179"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M41L</w:t>
            </w:r>
          </w:p>
        </w:tc>
        <w:tc>
          <w:tcPr>
            <w:tcW w:w="1158" w:type="dxa"/>
            <w:tcBorders>
              <w:top w:val="single" w:sz="4" w:space="0" w:color="auto"/>
              <w:right w:val="single" w:sz="4" w:space="0" w:color="auto"/>
            </w:tcBorders>
            <w:noWrap/>
            <w:hideMark/>
          </w:tcPr>
          <w:p w14:paraId="57D52828"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2 (4)</w:t>
            </w:r>
          </w:p>
        </w:tc>
        <w:tc>
          <w:tcPr>
            <w:tcW w:w="4252" w:type="dxa"/>
            <w:tcBorders>
              <w:top w:val="single" w:sz="4" w:space="0" w:color="auto"/>
              <w:left w:val="single" w:sz="4" w:space="0" w:color="auto"/>
            </w:tcBorders>
          </w:tcPr>
          <w:p w14:paraId="01C71EB0" w14:textId="2BAE8E0B"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L100I</w:t>
            </w:r>
          </w:p>
        </w:tc>
        <w:tc>
          <w:tcPr>
            <w:tcW w:w="1439" w:type="dxa"/>
            <w:tcBorders>
              <w:top w:val="single" w:sz="4" w:space="0" w:color="auto"/>
            </w:tcBorders>
          </w:tcPr>
          <w:p w14:paraId="22E80D83" w14:textId="628C0BF1"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2 (4)</w:t>
            </w:r>
          </w:p>
        </w:tc>
      </w:tr>
      <w:tr w:rsidR="00DC28CB" w:rsidRPr="008D536F" w14:paraId="009417E5" w14:textId="6EDCC5B4"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6A0A6CA1"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K65R</w:t>
            </w:r>
          </w:p>
        </w:tc>
        <w:tc>
          <w:tcPr>
            <w:tcW w:w="1158" w:type="dxa"/>
            <w:tcBorders>
              <w:right w:val="single" w:sz="4" w:space="0" w:color="auto"/>
            </w:tcBorders>
            <w:noWrap/>
            <w:hideMark/>
          </w:tcPr>
          <w:p w14:paraId="2CF65127"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20 (37)</w:t>
            </w:r>
          </w:p>
        </w:tc>
        <w:tc>
          <w:tcPr>
            <w:tcW w:w="4252" w:type="dxa"/>
            <w:tcBorders>
              <w:left w:val="single" w:sz="4" w:space="0" w:color="auto"/>
            </w:tcBorders>
          </w:tcPr>
          <w:p w14:paraId="02EC00E3" w14:textId="31B3157C"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K101E</w:t>
            </w:r>
          </w:p>
        </w:tc>
        <w:tc>
          <w:tcPr>
            <w:tcW w:w="1439" w:type="dxa"/>
          </w:tcPr>
          <w:p w14:paraId="26997AA3" w14:textId="3E4C1655"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5 (9)</w:t>
            </w:r>
          </w:p>
        </w:tc>
      </w:tr>
      <w:tr w:rsidR="00DC28CB" w:rsidRPr="008D536F" w14:paraId="7E9FAED6" w14:textId="04C9C92A"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4C654DAF"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K65N</w:t>
            </w:r>
          </w:p>
        </w:tc>
        <w:tc>
          <w:tcPr>
            <w:tcW w:w="1158" w:type="dxa"/>
            <w:tcBorders>
              <w:right w:val="single" w:sz="4" w:space="0" w:color="auto"/>
            </w:tcBorders>
            <w:noWrap/>
            <w:hideMark/>
          </w:tcPr>
          <w:p w14:paraId="656213D5"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49A135AB" w14:textId="08017E05"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K101P</w:t>
            </w:r>
          </w:p>
        </w:tc>
        <w:tc>
          <w:tcPr>
            <w:tcW w:w="1439" w:type="dxa"/>
          </w:tcPr>
          <w:p w14:paraId="4C370B9A" w14:textId="3C4C2FB4"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13712FAA" w14:textId="0C6C13B7"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4F034D7D"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K65E</w:t>
            </w:r>
          </w:p>
        </w:tc>
        <w:tc>
          <w:tcPr>
            <w:tcW w:w="1158" w:type="dxa"/>
            <w:tcBorders>
              <w:right w:val="single" w:sz="4" w:space="0" w:color="auto"/>
            </w:tcBorders>
            <w:noWrap/>
            <w:hideMark/>
          </w:tcPr>
          <w:p w14:paraId="4CC09717"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1C605A89" w14:textId="51CED479"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K103H</w:t>
            </w:r>
          </w:p>
        </w:tc>
        <w:tc>
          <w:tcPr>
            <w:tcW w:w="1439" w:type="dxa"/>
          </w:tcPr>
          <w:p w14:paraId="293D14BF" w14:textId="06B9F5C2"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38E776A4" w14:textId="68966BB1"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783E4C38"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D67N</w:t>
            </w:r>
          </w:p>
        </w:tc>
        <w:tc>
          <w:tcPr>
            <w:tcW w:w="1158" w:type="dxa"/>
            <w:tcBorders>
              <w:right w:val="single" w:sz="4" w:space="0" w:color="auto"/>
            </w:tcBorders>
            <w:noWrap/>
            <w:hideMark/>
          </w:tcPr>
          <w:p w14:paraId="08FEFAC8"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10 (19)</w:t>
            </w:r>
          </w:p>
        </w:tc>
        <w:tc>
          <w:tcPr>
            <w:tcW w:w="4252" w:type="dxa"/>
            <w:tcBorders>
              <w:left w:val="single" w:sz="4" w:space="0" w:color="auto"/>
            </w:tcBorders>
          </w:tcPr>
          <w:p w14:paraId="791ECF6F" w14:textId="2715D81D"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K103N</w:t>
            </w:r>
          </w:p>
        </w:tc>
        <w:tc>
          <w:tcPr>
            <w:tcW w:w="1439" w:type="dxa"/>
          </w:tcPr>
          <w:p w14:paraId="6DAE5B9C" w14:textId="0C1092B3"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31 (57)</w:t>
            </w:r>
          </w:p>
        </w:tc>
      </w:tr>
      <w:tr w:rsidR="00DC28CB" w:rsidRPr="008D536F" w14:paraId="1173EDFE" w14:textId="23F3CD80"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22BF3CF5"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T69Ins</w:t>
            </w:r>
          </w:p>
        </w:tc>
        <w:tc>
          <w:tcPr>
            <w:tcW w:w="1158" w:type="dxa"/>
            <w:tcBorders>
              <w:right w:val="single" w:sz="4" w:space="0" w:color="auto"/>
            </w:tcBorders>
            <w:noWrap/>
            <w:hideMark/>
          </w:tcPr>
          <w:p w14:paraId="1D925281"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5AC801C1" w14:textId="72D89F69"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K103S</w:t>
            </w:r>
          </w:p>
        </w:tc>
        <w:tc>
          <w:tcPr>
            <w:tcW w:w="1439" w:type="dxa"/>
          </w:tcPr>
          <w:p w14:paraId="5B1F6038" w14:textId="7B687CCC"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 (2)</w:t>
            </w:r>
          </w:p>
        </w:tc>
      </w:tr>
      <w:tr w:rsidR="00DC28CB" w:rsidRPr="008D536F" w14:paraId="5C78EA1E" w14:textId="37C940AD"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tcPr>
          <w:p w14:paraId="277DD58F"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T69Deletion</w:t>
            </w:r>
          </w:p>
        </w:tc>
        <w:tc>
          <w:tcPr>
            <w:tcW w:w="1158" w:type="dxa"/>
            <w:tcBorders>
              <w:right w:val="single" w:sz="4" w:space="0" w:color="auto"/>
            </w:tcBorders>
            <w:noWrap/>
          </w:tcPr>
          <w:p w14:paraId="21768FD7"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 (2)</w:t>
            </w:r>
          </w:p>
        </w:tc>
        <w:tc>
          <w:tcPr>
            <w:tcW w:w="4252" w:type="dxa"/>
            <w:tcBorders>
              <w:left w:val="single" w:sz="4" w:space="0" w:color="auto"/>
            </w:tcBorders>
          </w:tcPr>
          <w:p w14:paraId="029555B5" w14:textId="72888F79"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K103T</w:t>
            </w:r>
          </w:p>
        </w:tc>
        <w:tc>
          <w:tcPr>
            <w:tcW w:w="1439" w:type="dxa"/>
          </w:tcPr>
          <w:p w14:paraId="3EC30EC8" w14:textId="7BF50E6A"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7F253BBC" w14:textId="1477B2F0"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25BA77E3"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K70E</w:t>
            </w:r>
          </w:p>
        </w:tc>
        <w:tc>
          <w:tcPr>
            <w:tcW w:w="1158" w:type="dxa"/>
            <w:tcBorders>
              <w:right w:val="single" w:sz="4" w:space="0" w:color="auto"/>
            </w:tcBorders>
            <w:noWrap/>
            <w:hideMark/>
          </w:tcPr>
          <w:p w14:paraId="7D960405"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4 (7)</w:t>
            </w:r>
          </w:p>
        </w:tc>
        <w:tc>
          <w:tcPr>
            <w:tcW w:w="4252" w:type="dxa"/>
            <w:tcBorders>
              <w:left w:val="single" w:sz="4" w:space="0" w:color="auto"/>
            </w:tcBorders>
          </w:tcPr>
          <w:p w14:paraId="7D1E467C" w14:textId="0336E349"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V106A</w:t>
            </w:r>
          </w:p>
        </w:tc>
        <w:tc>
          <w:tcPr>
            <w:tcW w:w="1439" w:type="dxa"/>
          </w:tcPr>
          <w:p w14:paraId="4F18703C" w14:textId="6BBA14D9"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2EEE203C" w14:textId="619CFD9D"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52718851"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K70G</w:t>
            </w:r>
          </w:p>
        </w:tc>
        <w:tc>
          <w:tcPr>
            <w:tcW w:w="1158" w:type="dxa"/>
            <w:tcBorders>
              <w:right w:val="single" w:sz="4" w:space="0" w:color="auto"/>
            </w:tcBorders>
            <w:noWrap/>
            <w:hideMark/>
          </w:tcPr>
          <w:p w14:paraId="6887705A"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736954A2" w14:textId="5CBEC4EA"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V106M</w:t>
            </w:r>
          </w:p>
        </w:tc>
        <w:tc>
          <w:tcPr>
            <w:tcW w:w="1439" w:type="dxa"/>
          </w:tcPr>
          <w:p w14:paraId="5EBA4B25" w14:textId="1D952E22"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17 (31)</w:t>
            </w:r>
          </w:p>
        </w:tc>
      </w:tr>
      <w:tr w:rsidR="00DC28CB" w:rsidRPr="008D536F" w14:paraId="7018D9D3" w14:textId="5539006C"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00577B16"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K70N</w:t>
            </w:r>
          </w:p>
        </w:tc>
        <w:tc>
          <w:tcPr>
            <w:tcW w:w="1158" w:type="dxa"/>
            <w:tcBorders>
              <w:right w:val="single" w:sz="4" w:space="0" w:color="auto"/>
            </w:tcBorders>
            <w:noWrap/>
            <w:hideMark/>
          </w:tcPr>
          <w:p w14:paraId="3719B3F0"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1288ACF2" w14:textId="7F17A21E"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E138K</w:t>
            </w:r>
          </w:p>
        </w:tc>
        <w:tc>
          <w:tcPr>
            <w:tcW w:w="1439" w:type="dxa"/>
          </w:tcPr>
          <w:p w14:paraId="06D20BD9" w14:textId="48B35BF3"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55309B5A" w14:textId="680ED879"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04696180"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K70Q</w:t>
            </w:r>
          </w:p>
        </w:tc>
        <w:tc>
          <w:tcPr>
            <w:tcW w:w="1158" w:type="dxa"/>
            <w:tcBorders>
              <w:right w:val="single" w:sz="4" w:space="0" w:color="auto"/>
            </w:tcBorders>
            <w:noWrap/>
            <w:hideMark/>
          </w:tcPr>
          <w:p w14:paraId="59CE2A10"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2 (4)</w:t>
            </w:r>
          </w:p>
        </w:tc>
        <w:tc>
          <w:tcPr>
            <w:tcW w:w="4252" w:type="dxa"/>
            <w:tcBorders>
              <w:left w:val="single" w:sz="4" w:space="0" w:color="auto"/>
            </w:tcBorders>
          </w:tcPr>
          <w:p w14:paraId="0F19987C" w14:textId="23DB4748"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Y181C</w:t>
            </w:r>
          </w:p>
        </w:tc>
        <w:tc>
          <w:tcPr>
            <w:tcW w:w="1439" w:type="dxa"/>
          </w:tcPr>
          <w:p w14:paraId="1C937CDD" w14:textId="2E4A4C01"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6 (11)</w:t>
            </w:r>
          </w:p>
        </w:tc>
      </w:tr>
      <w:tr w:rsidR="00DC28CB" w:rsidRPr="008D536F" w14:paraId="014EB16A" w14:textId="27BBC71F"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44C4A8FB"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K70R</w:t>
            </w:r>
          </w:p>
        </w:tc>
        <w:tc>
          <w:tcPr>
            <w:tcW w:w="1158" w:type="dxa"/>
            <w:tcBorders>
              <w:right w:val="single" w:sz="4" w:space="0" w:color="auto"/>
            </w:tcBorders>
            <w:noWrap/>
            <w:hideMark/>
          </w:tcPr>
          <w:p w14:paraId="4793847E"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7 (13)</w:t>
            </w:r>
          </w:p>
        </w:tc>
        <w:tc>
          <w:tcPr>
            <w:tcW w:w="4252" w:type="dxa"/>
            <w:tcBorders>
              <w:left w:val="single" w:sz="4" w:space="0" w:color="auto"/>
            </w:tcBorders>
          </w:tcPr>
          <w:p w14:paraId="2550A139" w14:textId="73529AB3"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Y181F</w:t>
            </w:r>
          </w:p>
        </w:tc>
        <w:tc>
          <w:tcPr>
            <w:tcW w:w="1439" w:type="dxa"/>
          </w:tcPr>
          <w:p w14:paraId="69D2B7E4" w14:textId="4305CB26"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3F77E1FF" w14:textId="3F2D5CD6"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42F8E89A"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K70S</w:t>
            </w:r>
          </w:p>
        </w:tc>
        <w:tc>
          <w:tcPr>
            <w:tcW w:w="1158" w:type="dxa"/>
            <w:tcBorders>
              <w:right w:val="single" w:sz="4" w:space="0" w:color="auto"/>
            </w:tcBorders>
            <w:noWrap/>
            <w:hideMark/>
          </w:tcPr>
          <w:p w14:paraId="62004585"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78C5CA98" w14:textId="504F500A"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Y181G</w:t>
            </w:r>
          </w:p>
        </w:tc>
        <w:tc>
          <w:tcPr>
            <w:tcW w:w="1439" w:type="dxa"/>
          </w:tcPr>
          <w:p w14:paraId="4A4F5542" w14:textId="0DBE644E"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1650B163" w14:textId="0BB7A33A"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7525D5F1"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K70T</w:t>
            </w:r>
          </w:p>
        </w:tc>
        <w:tc>
          <w:tcPr>
            <w:tcW w:w="1158" w:type="dxa"/>
            <w:tcBorders>
              <w:right w:val="single" w:sz="4" w:space="0" w:color="auto"/>
            </w:tcBorders>
            <w:noWrap/>
            <w:hideMark/>
          </w:tcPr>
          <w:p w14:paraId="478D6461"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2 (4)</w:t>
            </w:r>
          </w:p>
        </w:tc>
        <w:tc>
          <w:tcPr>
            <w:tcW w:w="4252" w:type="dxa"/>
            <w:tcBorders>
              <w:left w:val="single" w:sz="4" w:space="0" w:color="auto"/>
            </w:tcBorders>
          </w:tcPr>
          <w:p w14:paraId="503E75B4" w14:textId="5C1AC18D"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Y181I</w:t>
            </w:r>
          </w:p>
        </w:tc>
        <w:tc>
          <w:tcPr>
            <w:tcW w:w="1439" w:type="dxa"/>
          </w:tcPr>
          <w:p w14:paraId="1EFDADE8" w14:textId="0980276D"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2F9C9F95" w14:textId="7F136702"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30B1D5C4"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L74I</w:t>
            </w:r>
          </w:p>
        </w:tc>
        <w:tc>
          <w:tcPr>
            <w:tcW w:w="1158" w:type="dxa"/>
            <w:tcBorders>
              <w:right w:val="single" w:sz="4" w:space="0" w:color="auto"/>
            </w:tcBorders>
            <w:noWrap/>
            <w:hideMark/>
          </w:tcPr>
          <w:p w14:paraId="31629FE3"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2 (4)</w:t>
            </w:r>
          </w:p>
        </w:tc>
        <w:tc>
          <w:tcPr>
            <w:tcW w:w="4252" w:type="dxa"/>
            <w:tcBorders>
              <w:left w:val="single" w:sz="4" w:space="0" w:color="auto"/>
            </w:tcBorders>
          </w:tcPr>
          <w:p w14:paraId="13DC3F4D" w14:textId="147534FA"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Y181S</w:t>
            </w:r>
          </w:p>
        </w:tc>
        <w:tc>
          <w:tcPr>
            <w:tcW w:w="1439" w:type="dxa"/>
          </w:tcPr>
          <w:p w14:paraId="2663BD67" w14:textId="6F7E0D05"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71B01D75" w14:textId="2FBEA20D"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26A2E1FC"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Y115F</w:t>
            </w:r>
          </w:p>
        </w:tc>
        <w:tc>
          <w:tcPr>
            <w:tcW w:w="1158" w:type="dxa"/>
            <w:tcBorders>
              <w:right w:val="single" w:sz="4" w:space="0" w:color="auto"/>
            </w:tcBorders>
            <w:noWrap/>
            <w:hideMark/>
          </w:tcPr>
          <w:p w14:paraId="51C445A1"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3 (6)</w:t>
            </w:r>
          </w:p>
        </w:tc>
        <w:tc>
          <w:tcPr>
            <w:tcW w:w="4252" w:type="dxa"/>
            <w:tcBorders>
              <w:left w:val="single" w:sz="4" w:space="0" w:color="auto"/>
            </w:tcBorders>
          </w:tcPr>
          <w:p w14:paraId="28A84FC4" w14:textId="51C66D7B"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Y181V</w:t>
            </w:r>
          </w:p>
        </w:tc>
        <w:tc>
          <w:tcPr>
            <w:tcW w:w="1439" w:type="dxa"/>
          </w:tcPr>
          <w:p w14:paraId="3F5BA404" w14:textId="4462DA7B"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7BD6E54F" w14:textId="45A55585"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0C6707E5"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Q151L</w:t>
            </w:r>
          </w:p>
        </w:tc>
        <w:tc>
          <w:tcPr>
            <w:tcW w:w="1158" w:type="dxa"/>
            <w:tcBorders>
              <w:right w:val="single" w:sz="4" w:space="0" w:color="auto"/>
            </w:tcBorders>
            <w:noWrap/>
            <w:hideMark/>
          </w:tcPr>
          <w:p w14:paraId="67A68F5E"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20391026" w14:textId="1F646F83"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Y188C</w:t>
            </w:r>
          </w:p>
        </w:tc>
        <w:tc>
          <w:tcPr>
            <w:tcW w:w="1439" w:type="dxa"/>
          </w:tcPr>
          <w:p w14:paraId="72CE9FB6" w14:textId="6B16AB5C"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 (2)</w:t>
            </w:r>
          </w:p>
        </w:tc>
      </w:tr>
      <w:tr w:rsidR="00DC28CB" w:rsidRPr="008D536F" w14:paraId="7B7CE8C5" w14:textId="34C64FE9"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7E27F192"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Q151M</w:t>
            </w:r>
          </w:p>
        </w:tc>
        <w:tc>
          <w:tcPr>
            <w:tcW w:w="1158" w:type="dxa"/>
            <w:tcBorders>
              <w:right w:val="single" w:sz="4" w:space="0" w:color="auto"/>
            </w:tcBorders>
            <w:noWrap/>
            <w:hideMark/>
          </w:tcPr>
          <w:p w14:paraId="5D6B6134"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5EC8D574" w14:textId="5FB8E028"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Y188F</w:t>
            </w:r>
          </w:p>
        </w:tc>
        <w:tc>
          <w:tcPr>
            <w:tcW w:w="1439" w:type="dxa"/>
          </w:tcPr>
          <w:p w14:paraId="36F45FBB" w14:textId="527C428F"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571E2F50" w14:textId="1C0120BF"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01FAC874"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M184V</w:t>
            </w:r>
          </w:p>
        </w:tc>
        <w:tc>
          <w:tcPr>
            <w:tcW w:w="1158" w:type="dxa"/>
            <w:tcBorders>
              <w:right w:val="single" w:sz="4" w:space="0" w:color="auto"/>
            </w:tcBorders>
            <w:noWrap/>
            <w:hideMark/>
          </w:tcPr>
          <w:p w14:paraId="0CE8B96C"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45 (83)</w:t>
            </w:r>
          </w:p>
        </w:tc>
        <w:tc>
          <w:tcPr>
            <w:tcW w:w="4252" w:type="dxa"/>
            <w:tcBorders>
              <w:left w:val="single" w:sz="4" w:space="0" w:color="auto"/>
            </w:tcBorders>
          </w:tcPr>
          <w:p w14:paraId="016AD453" w14:textId="04125499"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Y188H</w:t>
            </w:r>
          </w:p>
        </w:tc>
        <w:tc>
          <w:tcPr>
            <w:tcW w:w="1439" w:type="dxa"/>
          </w:tcPr>
          <w:p w14:paraId="72520F08" w14:textId="4E443398"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5ED9AD45" w14:textId="77C62DE5"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3C0A010C"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M184I</w:t>
            </w:r>
          </w:p>
        </w:tc>
        <w:tc>
          <w:tcPr>
            <w:tcW w:w="1158" w:type="dxa"/>
            <w:tcBorders>
              <w:right w:val="single" w:sz="4" w:space="0" w:color="auto"/>
            </w:tcBorders>
            <w:noWrap/>
            <w:hideMark/>
          </w:tcPr>
          <w:p w14:paraId="66D6F09D"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4A0E72A0" w14:textId="297C2909"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Y188L</w:t>
            </w:r>
          </w:p>
        </w:tc>
        <w:tc>
          <w:tcPr>
            <w:tcW w:w="1439" w:type="dxa"/>
          </w:tcPr>
          <w:p w14:paraId="08DBA6A7" w14:textId="1B3EF771"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8 (15)</w:t>
            </w:r>
          </w:p>
        </w:tc>
      </w:tr>
      <w:tr w:rsidR="00DC28CB" w:rsidRPr="008D536F" w14:paraId="7436CCD2" w14:textId="16343754"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5FD92208"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L210W</w:t>
            </w:r>
          </w:p>
        </w:tc>
        <w:tc>
          <w:tcPr>
            <w:tcW w:w="1158" w:type="dxa"/>
            <w:tcBorders>
              <w:right w:val="single" w:sz="4" w:space="0" w:color="auto"/>
            </w:tcBorders>
            <w:noWrap/>
            <w:hideMark/>
          </w:tcPr>
          <w:p w14:paraId="27FB7150"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2E85B58E" w14:textId="59A7743B"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G190A</w:t>
            </w:r>
          </w:p>
        </w:tc>
        <w:tc>
          <w:tcPr>
            <w:tcW w:w="1439" w:type="dxa"/>
          </w:tcPr>
          <w:p w14:paraId="6C3B4DE8" w14:textId="0822CE88"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6 (11)</w:t>
            </w:r>
          </w:p>
        </w:tc>
      </w:tr>
      <w:tr w:rsidR="00DC28CB" w:rsidRPr="008D536F" w14:paraId="30E6687A" w14:textId="0F122C90"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755C8E6B"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T215F</w:t>
            </w:r>
          </w:p>
        </w:tc>
        <w:tc>
          <w:tcPr>
            <w:tcW w:w="1158" w:type="dxa"/>
            <w:tcBorders>
              <w:right w:val="single" w:sz="4" w:space="0" w:color="auto"/>
            </w:tcBorders>
            <w:noWrap/>
            <w:hideMark/>
          </w:tcPr>
          <w:p w14:paraId="7AD0A211"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25244935" w14:textId="3A59FBBE"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G190C</w:t>
            </w:r>
          </w:p>
        </w:tc>
        <w:tc>
          <w:tcPr>
            <w:tcW w:w="1439" w:type="dxa"/>
          </w:tcPr>
          <w:p w14:paraId="47445ADE" w14:textId="291B74AD"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033B3311" w14:textId="5EC6DCFF"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hideMark/>
          </w:tcPr>
          <w:p w14:paraId="1242E55E" w14:textId="7777777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r w:rsidRPr="008D536F">
              <w:rPr>
                <w:rFonts w:ascii="Times New Roman" w:eastAsia="Times New Roman" w:hAnsi="Times New Roman"/>
                <w:b w:val="0"/>
                <w:bCs w:val="0"/>
                <w:color w:val="auto"/>
                <w:sz w:val="20"/>
                <w:szCs w:val="20"/>
                <w:lang w:eastAsia="en-GB"/>
              </w:rPr>
              <w:t xml:space="preserve"> T215Y</w:t>
            </w:r>
          </w:p>
        </w:tc>
        <w:tc>
          <w:tcPr>
            <w:tcW w:w="1158" w:type="dxa"/>
            <w:tcBorders>
              <w:right w:val="single" w:sz="4" w:space="0" w:color="auto"/>
            </w:tcBorders>
            <w:noWrap/>
            <w:hideMark/>
          </w:tcPr>
          <w:p w14:paraId="2B6600D8" w14:textId="7777777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c>
          <w:tcPr>
            <w:tcW w:w="4252" w:type="dxa"/>
            <w:tcBorders>
              <w:left w:val="single" w:sz="4" w:space="0" w:color="auto"/>
            </w:tcBorders>
          </w:tcPr>
          <w:p w14:paraId="11BA0C09" w14:textId="1D57E3B9"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G190E</w:t>
            </w:r>
          </w:p>
        </w:tc>
        <w:tc>
          <w:tcPr>
            <w:tcW w:w="1439" w:type="dxa"/>
          </w:tcPr>
          <w:p w14:paraId="0E190A44" w14:textId="4FC7DFA3"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 (2)</w:t>
            </w:r>
          </w:p>
        </w:tc>
      </w:tr>
      <w:tr w:rsidR="00DC28CB" w:rsidRPr="008D536F" w14:paraId="0A84C54B" w14:textId="51511F5E"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tcPr>
          <w:p w14:paraId="642CA4BC" w14:textId="02938CAC"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p>
        </w:tc>
        <w:tc>
          <w:tcPr>
            <w:tcW w:w="1158" w:type="dxa"/>
            <w:tcBorders>
              <w:right w:val="single" w:sz="4" w:space="0" w:color="auto"/>
            </w:tcBorders>
            <w:noWrap/>
          </w:tcPr>
          <w:p w14:paraId="1FB8AAFF" w14:textId="7777777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p>
        </w:tc>
        <w:tc>
          <w:tcPr>
            <w:tcW w:w="4252" w:type="dxa"/>
            <w:tcBorders>
              <w:left w:val="single" w:sz="4" w:space="0" w:color="auto"/>
            </w:tcBorders>
          </w:tcPr>
          <w:p w14:paraId="668E4F5F" w14:textId="41DB493B"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G190Q</w:t>
            </w:r>
          </w:p>
        </w:tc>
        <w:tc>
          <w:tcPr>
            <w:tcW w:w="1439" w:type="dxa"/>
          </w:tcPr>
          <w:p w14:paraId="302D3011" w14:textId="14952E2F"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3D4B844C" w14:textId="78CBAAA1"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tcPr>
          <w:p w14:paraId="22917AC1" w14:textId="16DACA18"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p>
        </w:tc>
        <w:tc>
          <w:tcPr>
            <w:tcW w:w="1158" w:type="dxa"/>
            <w:tcBorders>
              <w:right w:val="single" w:sz="4" w:space="0" w:color="auto"/>
            </w:tcBorders>
            <w:noWrap/>
          </w:tcPr>
          <w:p w14:paraId="421F13E8" w14:textId="71885967"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p>
        </w:tc>
        <w:tc>
          <w:tcPr>
            <w:tcW w:w="4252" w:type="dxa"/>
            <w:tcBorders>
              <w:left w:val="single" w:sz="4" w:space="0" w:color="auto"/>
            </w:tcBorders>
          </w:tcPr>
          <w:p w14:paraId="6B880FFF" w14:textId="3A197B12"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G190S</w:t>
            </w:r>
          </w:p>
        </w:tc>
        <w:tc>
          <w:tcPr>
            <w:tcW w:w="1439" w:type="dxa"/>
          </w:tcPr>
          <w:p w14:paraId="385DEADC" w14:textId="7E932BA4"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 (2)</w:t>
            </w:r>
          </w:p>
        </w:tc>
      </w:tr>
      <w:tr w:rsidR="00DC28CB" w:rsidRPr="008D536F" w14:paraId="10EC9AFA" w14:textId="547E1728"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tcPr>
          <w:p w14:paraId="151F295C" w14:textId="0DECDAE7"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p>
        </w:tc>
        <w:tc>
          <w:tcPr>
            <w:tcW w:w="1158" w:type="dxa"/>
            <w:tcBorders>
              <w:right w:val="single" w:sz="4" w:space="0" w:color="auto"/>
            </w:tcBorders>
            <w:noWrap/>
          </w:tcPr>
          <w:p w14:paraId="6782686A" w14:textId="6287C712"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p>
        </w:tc>
        <w:tc>
          <w:tcPr>
            <w:tcW w:w="4252" w:type="dxa"/>
            <w:tcBorders>
              <w:left w:val="single" w:sz="4" w:space="0" w:color="auto"/>
            </w:tcBorders>
          </w:tcPr>
          <w:p w14:paraId="1FC8B41B" w14:textId="6EFE2511"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G190T</w:t>
            </w:r>
          </w:p>
        </w:tc>
        <w:tc>
          <w:tcPr>
            <w:tcW w:w="1439" w:type="dxa"/>
          </w:tcPr>
          <w:p w14:paraId="044B4B80" w14:textId="26E0EBFF"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1792F694" w14:textId="1D1155C0"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tcPr>
          <w:p w14:paraId="600234F2" w14:textId="7518B5E4"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p>
        </w:tc>
        <w:tc>
          <w:tcPr>
            <w:tcW w:w="1158" w:type="dxa"/>
            <w:tcBorders>
              <w:right w:val="single" w:sz="4" w:space="0" w:color="auto"/>
            </w:tcBorders>
            <w:noWrap/>
          </w:tcPr>
          <w:p w14:paraId="4FB616BB" w14:textId="52968FD5"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p>
        </w:tc>
        <w:tc>
          <w:tcPr>
            <w:tcW w:w="4252" w:type="dxa"/>
            <w:tcBorders>
              <w:left w:val="single" w:sz="4" w:space="0" w:color="auto"/>
            </w:tcBorders>
          </w:tcPr>
          <w:p w14:paraId="3AC69BFD" w14:textId="1DCA61FE"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G190V</w:t>
            </w:r>
          </w:p>
        </w:tc>
        <w:tc>
          <w:tcPr>
            <w:tcW w:w="1439" w:type="dxa"/>
          </w:tcPr>
          <w:p w14:paraId="3D135D13" w14:textId="781E0445"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5F2BF395" w14:textId="392D3670"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noWrap/>
          </w:tcPr>
          <w:p w14:paraId="7C0A3BCB" w14:textId="357FB64F"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p>
        </w:tc>
        <w:tc>
          <w:tcPr>
            <w:tcW w:w="1158" w:type="dxa"/>
            <w:tcBorders>
              <w:right w:val="single" w:sz="4" w:space="0" w:color="auto"/>
            </w:tcBorders>
            <w:noWrap/>
          </w:tcPr>
          <w:p w14:paraId="2FA4C525" w14:textId="5006F206"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p>
        </w:tc>
        <w:tc>
          <w:tcPr>
            <w:tcW w:w="4252" w:type="dxa"/>
            <w:tcBorders>
              <w:left w:val="single" w:sz="4" w:space="0" w:color="auto"/>
            </w:tcBorders>
          </w:tcPr>
          <w:p w14:paraId="54F38460" w14:textId="3296B158"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P225H</w:t>
            </w:r>
          </w:p>
        </w:tc>
        <w:tc>
          <w:tcPr>
            <w:tcW w:w="1439" w:type="dxa"/>
          </w:tcPr>
          <w:p w14:paraId="168E4613" w14:textId="5A1E548F"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16 (30)</w:t>
            </w:r>
          </w:p>
        </w:tc>
      </w:tr>
      <w:tr w:rsidR="00DC28CB" w:rsidRPr="008D536F" w14:paraId="710E03B4" w14:textId="60B22551"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7" w:type="dxa"/>
            <w:noWrap/>
          </w:tcPr>
          <w:p w14:paraId="342C7E7C" w14:textId="2F6D91DF"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p>
        </w:tc>
        <w:tc>
          <w:tcPr>
            <w:tcW w:w="1158" w:type="dxa"/>
            <w:tcBorders>
              <w:right w:val="single" w:sz="4" w:space="0" w:color="auto"/>
            </w:tcBorders>
            <w:noWrap/>
          </w:tcPr>
          <w:p w14:paraId="29FD2F58" w14:textId="7F81BE46"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p>
        </w:tc>
        <w:tc>
          <w:tcPr>
            <w:tcW w:w="4252" w:type="dxa"/>
            <w:tcBorders>
              <w:left w:val="single" w:sz="4" w:space="0" w:color="auto"/>
            </w:tcBorders>
          </w:tcPr>
          <w:p w14:paraId="28214860" w14:textId="589ED8C0"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F227C</w:t>
            </w:r>
          </w:p>
        </w:tc>
        <w:tc>
          <w:tcPr>
            <w:tcW w:w="1439" w:type="dxa"/>
          </w:tcPr>
          <w:p w14:paraId="2D4E6F17" w14:textId="60EE1FAE" w:rsidR="00675F71" w:rsidRPr="008D536F" w:rsidRDefault="00675F71" w:rsidP="00675F7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0 (0)</w:t>
            </w:r>
          </w:p>
        </w:tc>
      </w:tr>
      <w:tr w:rsidR="00DC28CB" w:rsidRPr="008D536F" w14:paraId="33B86F97" w14:textId="352DF529" w:rsidTr="00FF78BA">
        <w:trPr>
          <w:trHeight w:val="255"/>
        </w:trPr>
        <w:tc>
          <w:tcPr>
            <w:cnfStyle w:val="001000000000" w:firstRow="0" w:lastRow="0" w:firstColumn="1" w:lastColumn="0" w:oddVBand="0" w:evenVBand="0" w:oddHBand="0" w:evenHBand="0" w:firstRowFirstColumn="0" w:firstRowLastColumn="0" w:lastRowFirstColumn="0" w:lastRowLastColumn="0"/>
            <w:tcW w:w="3237" w:type="dxa"/>
            <w:tcBorders>
              <w:bottom w:val="single" w:sz="4" w:space="0" w:color="auto"/>
            </w:tcBorders>
            <w:noWrap/>
          </w:tcPr>
          <w:p w14:paraId="41B10E32" w14:textId="2522F82B" w:rsidR="00675F71" w:rsidRPr="008D536F" w:rsidRDefault="00675F71" w:rsidP="00675F71">
            <w:pPr>
              <w:spacing w:after="0" w:line="240" w:lineRule="auto"/>
              <w:rPr>
                <w:rFonts w:ascii="Times New Roman" w:eastAsia="Times New Roman" w:hAnsi="Times New Roman"/>
                <w:b w:val="0"/>
                <w:bCs w:val="0"/>
                <w:color w:val="auto"/>
                <w:sz w:val="20"/>
                <w:szCs w:val="20"/>
                <w:lang w:eastAsia="en-GB"/>
              </w:rPr>
            </w:pPr>
          </w:p>
        </w:tc>
        <w:tc>
          <w:tcPr>
            <w:tcW w:w="1158" w:type="dxa"/>
            <w:tcBorders>
              <w:bottom w:val="single" w:sz="4" w:space="0" w:color="auto"/>
              <w:right w:val="single" w:sz="4" w:space="0" w:color="auto"/>
            </w:tcBorders>
            <w:noWrap/>
          </w:tcPr>
          <w:p w14:paraId="407A6D1B" w14:textId="1981D707"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p>
        </w:tc>
        <w:tc>
          <w:tcPr>
            <w:tcW w:w="4252" w:type="dxa"/>
            <w:tcBorders>
              <w:left w:val="single" w:sz="4" w:space="0" w:color="auto"/>
              <w:bottom w:val="single" w:sz="4" w:space="0" w:color="auto"/>
            </w:tcBorders>
          </w:tcPr>
          <w:p w14:paraId="06765609" w14:textId="2A423F90"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 xml:space="preserve"> M230L</w:t>
            </w:r>
          </w:p>
        </w:tc>
        <w:tc>
          <w:tcPr>
            <w:tcW w:w="1439" w:type="dxa"/>
            <w:tcBorders>
              <w:bottom w:val="single" w:sz="4" w:space="0" w:color="auto"/>
            </w:tcBorders>
          </w:tcPr>
          <w:p w14:paraId="3F22F146" w14:textId="4A8D39A0" w:rsidR="00675F71" w:rsidRPr="008D536F" w:rsidRDefault="00675F71" w:rsidP="00675F7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lang w:eastAsia="en-GB"/>
              </w:rPr>
            </w:pPr>
            <w:r w:rsidRPr="008D536F">
              <w:rPr>
                <w:rFonts w:ascii="Times New Roman" w:eastAsia="Times New Roman" w:hAnsi="Times New Roman"/>
                <w:color w:val="auto"/>
                <w:sz w:val="20"/>
                <w:szCs w:val="20"/>
                <w:lang w:eastAsia="en-GB"/>
              </w:rPr>
              <w:t>1 (2)</w:t>
            </w:r>
          </w:p>
        </w:tc>
      </w:tr>
      <w:tr w:rsidR="003D3138" w:rsidRPr="008D536F" w14:paraId="293645B7" w14:textId="3F290570" w:rsidTr="00FF7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086" w:type="dxa"/>
            <w:gridSpan w:val="4"/>
            <w:tcBorders>
              <w:bottom w:val="single" w:sz="4" w:space="0" w:color="auto"/>
            </w:tcBorders>
            <w:noWrap/>
            <w:hideMark/>
          </w:tcPr>
          <w:p w14:paraId="23C26990" w14:textId="30CA237C" w:rsidR="003D3138" w:rsidRPr="008D536F" w:rsidRDefault="003D3138" w:rsidP="00675F71">
            <w:pPr>
              <w:spacing w:after="0" w:line="240" w:lineRule="auto"/>
              <w:rPr>
                <w:rFonts w:ascii="Times New Roman" w:eastAsia="Times New Roman" w:hAnsi="Times New Roman"/>
                <w:b w:val="0"/>
                <w:bCs w:val="0"/>
                <w:caps/>
                <w:color w:val="auto"/>
                <w:sz w:val="20"/>
                <w:szCs w:val="20"/>
                <w:lang w:eastAsia="en-GB"/>
              </w:rPr>
            </w:pPr>
            <w:r w:rsidRPr="008D536F">
              <w:rPr>
                <w:rFonts w:ascii="Times New Roman" w:eastAsia="Times New Roman" w:hAnsi="Times New Roman"/>
                <w:b w:val="0"/>
                <w:bCs w:val="0"/>
                <w:color w:val="auto"/>
                <w:sz w:val="20"/>
                <w:szCs w:val="20"/>
                <w:lang w:eastAsia="en-GB"/>
              </w:rPr>
              <w:t>Major mutations as defined by the Stanford university resistance database (last updated 2019-07-31)</w:t>
            </w:r>
            <w:r w:rsidRPr="008D536F">
              <w:rPr>
                <w:rFonts w:ascii="Times New Roman" w:hAnsi="Times New Roman"/>
                <w:sz w:val="18"/>
                <w:szCs w:val="18"/>
              </w:rPr>
              <w:fldChar w:fldCharType="begin" w:fldLock="1"/>
            </w:r>
            <w:r w:rsidRPr="008D536F">
              <w:rPr>
                <w:rFonts w:ascii="Times New Roman" w:hAnsi="Times New Roman"/>
                <w:b w:val="0"/>
                <w:bCs w:val="0"/>
                <w:color w:val="auto"/>
                <w:sz w:val="18"/>
                <w:szCs w:val="18"/>
              </w:rPr>
              <w:instrText>ADDIN CSL_CITATION {"citationItems":[{"id":"ITEM-1","itemData":{"URL":"https://hivdb.stanford.edu/page/release-notes/","abstract":"A curated database containing nearly all published HIV RT and protease sequences: a resource designed for researchers studying evolutionary and drug-related variation in the molecular targets of anti-HIV therapy.","accessed":{"date-parts":[["2020","9","4"]]},"author":[{"dropping-particle":"","family":"Stanford University","given":"","non-dropping-particle":"","parse-names":false,"suffix":""}],"container-title":"HIV Drug Resistance Database","id":"ITEM-1","issued":{"date-parts":[["2020"]]},"title":"DRM penalty scores and resistance interpretation","type":"webpage"},"uris":["http://www.mendeley.com/documents/?uuid=dbb0776a-41b2-4e89-a3f1-7c3515e2ade7"]}],"mendeley":{"formattedCitation":"&lt;sup&gt;3&lt;/sup&gt;","plainTextFormattedCitation":"3","previouslyFormattedCitation":"&lt;sup&gt;1&lt;/sup&gt;"},"properties":{"noteIndex":0},"schema":"https://github.com/citation-style-language/schema/raw/master/csl-citation.json"}</w:instrText>
            </w:r>
            <w:r w:rsidRPr="008D536F">
              <w:rPr>
                <w:rFonts w:ascii="Times New Roman" w:hAnsi="Times New Roman"/>
                <w:sz w:val="18"/>
                <w:szCs w:val="18"/>
              </w:rPr>
              <w:fldChar w:fldCharType="separate"/>
            </w:r>
            <w:r w:rsidRPr="008D536F">
              <w:rPr>
                <w:rFonts w:ascii="Times New Roman" w:hAnsi="Times New Roman"/>
                <w:b w:val="0"/>
                <w:bCs w:val="0"/>
                <w:noProof/>
                <w:color w:val="auto"/>
                <w:sz w:val="18"/>
                <w:szCs w:val="18"/>
                <w:vertAlign w:val="superscript"/>
              </w:rPr>
              <w:t>3</w:t>
            </w:r>
            <w:r w:rsidRPr="008D536F">
              <w:rPr>
                <w:rFonts w:ascii="Times New Roman" w:hAnsi="Times New Roman"/>
                <w:sz w:val="18"/>
                <w:szCs w:val="18"/>
              </w:rPr>
              <w:fldChar w:fldCharType="end"/>
            </w:r>
          </w:p>
        </w:tc>
      </w:tr>
    </w:tbl>
    <w:p w14:paraId="7784BEC9" w14:textId="77777777" w:rsidR="00801D6D" w:rsidRPr="008D536F" w:rsidRDefault="00801D6D" w:rsidP="00801D6D">
      <w:pPr>
        <w:rPr>
          <w:rFonts w:ascii="Times New Roman" w:hAnsi="Times New Roman"/>
        </w:rPr>
      </w:pPr>
    </w:p>
    <w:p w14:paraId="3A982154" w14:textId="77777777" w:rsidR="00801D6D" w:rsidRPr="008D536F" w:rsidRDefault="00801D6D" w:rsidP="00801D6D">
      <w:pPr>
        <w:rPr>
          <w:rFonts w:ascii="Times New Roman" w:hAnsi="Times New Roman"/>
        </w:rPr>
      </w:pPr>
    </w:p>
    <w:p w14:paraId="27CD7496" w14:textId="77777777" w:rsidR="00801D6D" w:rsidRPr="008D536F" w:rsidRDefault="00801D6D">
      <w:pPr>
        <w:spacing w:after="160" w:line="259" w:lineRule="auto"/>
        <w:rPr>
          <w:rFonts w:ascii="Times New Roman" w:hAnsi="Times New Roman"/>
          <w:b/>
          <w:bCs/>
        </w:rPr>
      </w:pPr>
      <w:bookmarkStart w:id="2" w:name="_Toc55844635"/>
      <w:r w:rsidRPr="008D536F">
        <w:rPr>
          <w:rFonts w:ascii="Times New Roman" w:hAnsi="Times New Roman"/>
        </w:rPr>
        <w:br w:type="page"/>
      </w:r>
    </w:p>
    <w:p w14:paraId="7943542D" w14:textId="61340816" w:rsidR="00801D6D" w:rsidRPr="008D536F" w:rsidRDefault="00801D6D" w:rsidP="00801D6D">
      <w:pPr>
        <w:pStyle w:val="Caption"/>
        <w:keepNext/>
        <w:rPr>
          <w:rFonts w:ascii="Times New Roman" w:hAnsi="Times New Roman"/>
          <w:b w:val="0"/>
          <w:bCs w:val="0"/>
          <w:sz w:val="22"/>
          <w:szCs w:val="22"/>
        </w:rPr>
      </w:pPr>
      <w:r w:rsidRPr="008D536F">
        <w:rPr>
          <w:rFonts w:ascii="Times New Roman" w:hAnsi="Times New Roman"/>
          <w:b w:val="0"/>
          <w:bCs w:val="0"/>
          <w:sz w:val="22"/>
          <w:szCs w:val="22"/>
        </w:rPr>
        <w:lastRenderedPageBreak/>
        <w:t>Table 1b</w:t>
      </w:r>
      <w:r w:rsidR="005F28D9" w:rsidRPr="008D536F">
        <w:rPr>
          <w:rFonts w:ascii="Times New Roman" w:hAnsi="Times New Roman"/>
          <w:b w:val="0"/>
          <w:bCs w:val="0"/>
          <w:sz w:val="22"/>
          <w:szCs w:val="22"/>
        </w:rPr>
        <w:t>.</w:t>
      </w:r>
      <w:r w:rsidRPr="008D536F">
        <w:rPr>
          <w:rFonts w:ascii="Times New Roman" w:hAnsi="Times New Roman"/>
          <w:b w:val="0"/>
          <w:bCs w:val="0"/>
          <w:sz w:val="22"/>
          <w:szCs w:val="22"/>
        </w:rPr>
        <w:t xml:space="preserve"> Listing of major and minor </w:t>
      </w:r>
      <w:r w:rsidR="008F2F7F" w:rsidRPr="008D536F">
        <w:rPr>
          <w:rFonts w:ascii="Times New Roman" w:hAnsi="Times New Roman"/>
          <w:b w:val="0"/>
          <w:bCs w:val="0"/>
          <w:sz w:val="22"/>
          <w:szCs w:val="22"/>
        </w:rPr>
        <w:t>nucleoside reverse-transc</w:t>
      </w:r>
      <w:r w:rsidR="00594527" w:rsidRPr="008D536F">
        <w:rPr>
          <w:rFonts w:ascii="Times New Roman" w:hAnsi="Times New Roman"/>
          <w:b w:val="0"/>
          <w:bCs w:val="0"/>
          <w:sz w:val="22"/>
          <w:szCs w:val="22"/>
        </w:rPr>
        <w:t>r</w:t>
      </w:r>
      <w:r w:rsidR="008F2F7F" w:rsidRPr="008D536F">
        <w:rPr>
          <w:rFonts w:ascii="Times New Roman" w:hAnsi="Times New Roman"/>
          <w:b w:val="0"/>
          <w:bCs w:val="0"/>
          <w:sz w:val="22"/>
          <w:szCs w:val="22"/>
        </w:rPr>
        <w:t xml:space="preserve">iptase inhibitor (NRTI) and non-nucleoside reverse-transcriptase inhibitor (NNRTI) </w:t>
      </w:r>
      <w:r w:rsidRPr="008D536F">
        <w:rPr>
          <w:rFonts w:ascii="Times New Roman" w:hAnsi="Times New Roman"/>
          <w:b w:val="0"/>
          <w:bCs w:val="0"/>
          <w:sz w:val="22"/>
          <w:szCs w:val="22"/>
        </w:rPr>
        <w:t>mutations at baseline</w:t>
      </w:r>
      <w:bookmarkEnd w:id="2"/>
      <w:r w:rsidRPr="008D536F">
        <w:rPr>
          <w:rFonts w:ascii="Times New Roman" w:hAnsi="Times New Roman"/>
          <w:b w:val="0"/>
          <w:bCs w:val="0"/>
          <w:sz w:val="22"/>
          <w:szCs w:val="22"/>
        </w:rPr>
        <w:t xml:space="preserve"> </w:t>
      </w:r>
      <w:r w:rsidR="008F2F7F" w:rsidRPr="008D536F">
        <w:rPr>
          <w:rFonts w:ascii="Times New Roman" w:hAnsi="Times New Roman"/>
          <w:b w:val="0"/>
          <w:bCs w:val="0"/>
          <w:sz w:val="22"/>
          <w:szCs w:val="22"/>
        </w:rPr>
        <w:t>by participant</w:t>
      </w:r>
    </w:p>
    <w:tbl>
      <w:tblPr>
        <w:tblStyle w:val="PlainTable3"/>
        <w:tblW w:w="5000" w:type="pct"/>
        <w:tblLook w:val="04A0" w:firstRow="1" w:lastRow="0" w:firstColumn="1" w:lastColumn="0" w:noHBand="0" w:noVBand="1"/>
      </w:tblPr>
      <w:tblGrid>
        <w:gridCol w:w="482"/>
        <w:gridCol w:w="2757"/>
        <w:gridCol w:w="1630"/>
        <w:gridCol w:w="2574"/>
        <w:gridCol w:w="2643"/>
      </w:tblGrid>
      <w:tr w:rsidR="00D52BE6" w:rsidRPr="008D536F" w14:paraId="7527F9D5" w14:textId="77777777" w:rsidTr="007F469B">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230" w:type="pct"/>
            <w:tcBorders>
              <w:top w:val="single" w:sz="4" w:space="0" w:color="auto"/>
              <w:right w:val="single" w:sz="4" w:space="0" w:color="auto"/>
            </w:tcBorders>
            <w:noWrap/>
            <w:hideMark/>
          </w:tcPr>
          <w:p w14:paraId="5ED9AE83"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No</w:t>
            </w:r>
          </w:p>
        </w:tc>
        <w:tc>
          <w:tcPr>
            <w:tcW w:w="1371" w:type="pct"/>
            <w:tcBorders>
              <w:top w:val="single" w:sz="4" w:space="0" w:color="auto"/>
              <w:left w:val="single" w:sz="4" w:space="0" w:color="auto"/>
            </w:tcBorders>
            <w:noWrap/>
            <w:hideMark/>
          </w:tcPr>
          <w:p w14:paraId="6008B386" w14:textId="77777777" w:rsidR="00D52BE6" w:rsidRPr="008D536F" w:rsidRDefault="00D52BE6" w:rsidP="00F92C9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NRTI, major</w:t>
            </w:r>
          </w:p>
        </w:tc>
        <w:tc>
          <w:tcPr>
            <w:tcW w:w="806" w:type="pct"/>
            <w:tcBorders>
              <w:top w:val="single" w:sz="4" w:space="0" w:color="auto"/>
            </w:tcBorders>
            <w:noWrap/>
            <w:hideMark/>
          </w:tcPr>
          <w:p w14:paraId="48DC1703" w14:textId="77777777" w:rsidR="00D52BE6" w:rsidRPr="008D536F" w:rsidRDefault="00D52BE6" w:rsidP="00F92C9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NRTI, minor</w:t>
            </w:r>
          </w:p>
        </w:tc>
        <w:tc>
          <w:tcPr>
            <w:tcW w:w="1279" w:type="pct"/>
            <w:tcBorders>
              <w:top w:val="single" w:sz="4" w:space="0" w:color="auto"/>
            </w:tcBorders>
            <w:noWrap/>
            <w:hideMark/>
          </w:tcPr>
          <w:p w14:paraId="3E6BA72E" w14:textId="77777777" w:rsidR="00D52BE6" w:rsidRPr="008D536F" w:rsidRDefault="00D52BE6" w:rsidP="00F92C9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NNRTI, major</w:t>
            </w:r>
          </w:p>
        </w:tc>
        <w:tc>
          <w:tcPr>
            <w:tcW w:w="1314" w:type="pct"/>
            <w:tcBorders>
              <w:top w:val="single" w:sz="4" w:space="0" w:color="auto"/>
            </w:tcBorders>
            <w:noWrap/>
            <w:hideMark/>
          </w:tcPr>
          <w:p w14:paraId="42F9686D" w14:textId="77777777" w:rsidR="00D52BE6" w:rsidRPr="008D536F" w:rsidRDefault="00D52BE6" w:rsidP="00F92C9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NNRTI, minor</w:t>
            </w:r>
          </w:p>
        </w:tc>
      </w:tr>
      <w:tr w:rsidR="00D52BE6" w:rsidRPr="008D536F" w14:paraId="52D1C5BC"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19A85139"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w:t>
            </w:r>
          </w:p>
        </w:tc>
        <w:tc>
          <w:tcPr>
            <w:tcW w:w="1371" w:type="pct"/>
            <w:tcBorders>
              <w:left w:val="single" w:sz="4" w:space="0" w:color="auto"/>
            </w:tcBorders>
            <w:noWrap/>
            <w:hideMark/>
          </w:tcPr>
          <w:p w14:paraId="6940C076"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Y115F,M184V,K65R</w:t>
            </w:r>
          </w:p>
        </w:tc>
        <w:tc>
          <w:tcPr>
            <w:tcW w:w="806" w:type="pct"/>
            <w:noWrap/>
            <w:hideMark/>
          </w:tcPr>
          <w:p w14:paraId="7424570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312B20BA"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Y181C</w:t>
            </w:r>
          </w:p>
        </w:tc>
        <w:tc>
          <w:tcPr>
            <w:tcW w:w="1314" w:type="pct"/>
            <w:noWrap/>
            <w:hideMark/>
          </w:tcPr>
          <w:p w14:paraId="5E93452D"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V108I</w:t>
            </w:r>
          </w:p>
        </w:tc>
      </w:tr>
      <w:tr w:rsidR="00D52BE6" w:rsidRPr="008D536F" w14:paraId="5DDBF2AC"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549B96D6"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w:t>
            </w:r>
          </w:p>
        </w:tc>
        <w:tc>
          <w:tcPr>
            <w:tcW w:w="1371" w:type="pct"/>
            <w:tcBorders>
              <w:left w:val="single" w:sz="4" w:space="0" w:color="auto"/>
            </w:tcBorders>
            <w:noWrap/>
            <w:hideMark/>
          </w:tcPr>
          <w:p w14:paraId="6FF66BE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D67N,K70R,M184V</w:t>
            </w:r>
          </w:p>
        </w:tc>
        <w:tc>
          <w:tcPr>
            <w:tcW w:w="806" w:type="pct"/>
            <w:noWrap/>
            <w:hideMark/>
          </w:tcPr>
          <w:p w14:paraId="5B9666C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K219E</w:t>
            </w:r>
          </w:p>
        </w:tc>
        <w:tc>
          <w:tcPr>
            <w:tcW w:w="1279" w:type="pct"/>
            <w:noWrap/>
            <w:hideMark/>
          </w:tcPr>
          <w:p w14:paraId="33F2468C"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w:t>
            </w:r>
          </w:p>
        </w:tc>
        <w:tc>
          <w:tcPr>
            <w:tcW w:w="1314" w:type="pct"/>
            <w:noWrap/>
            <w:hideMark/>
          </w:tcPr>
          <w:p w14:paraId="708949A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F227L</w:t>
            </w:r>
          </w:p>
        </w:tc>
      </w:tr>
      <w:tr w:rsidR="00D52BE6" w:rsidRPr="008D536F" w14:paraId="025FF7EC"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59F98A52"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w:t>
            </w:r>
          </w:p>
        </w:tc>
        <w:tc>
          <w:tcPr>
            <w:tcW w:w="1371" w:type="pct"/>
            <w:tcBorders>
              <w:left w:val="single" w:sz="4" w:space="0" w:color="auto"/>
            </w:tcBorders>
            <w:noWrap/>
            <w:hideMark/>
          </w:tcPr>
          <w:p w14:paraId="553C63D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806" w:type="pct"/>
            <w:noWrap/>
            <w:hideMark/>
          </w:tcPr>
          <w:p w14:paraId="08CE6F0C"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7286C738"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w:t>
            </w:r>
          </w:p>
        </w:tc>
        <w:tc>
          <w:tcPr>
            <w:tcW w:w="1314" w:type="pct"/>
            <w:noWrap/>
            <w:hideMark/>
          </w:tcPr>
          <w:p w14:paraId="3795A176"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1C79B8D4"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36B6DA39"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w:t>
            </w:r>
          </w:p>
        </w:tc>
        <w:tc>
          <w:tcPr>
            <w:tcW w:w="1371" w:type="pct"/>
            <w:tcBorders>
              <w:left w:val="single" w:sz="4" w:space="0" w:color="auto"/>
            </w:tcBorders>
            <w:noWrap/>
            <w:hideMark/>
          </w:tcPr>
          <w:p w14:paraId="1FDE8D1C"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M184V,L74I</w:t>
            </w:r>
          </w:p>
        </w:tc>
        <w:tc>
          <w:tcPr>
            <w:tcW w:w="806" w:type="pct"/>
            <w:noWrap/>
            <w:hideMark/>
          </w:tcPr>
          <w:p w14:paraId="37D831D5"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K219Q</w:t>
            </w:r>
          </w:p>
        </w:tc>
        <w:tc>
          <w:tcPr>
            <w:tcW w:w="1279" w:type="pct"/>
            <w:noWrap/>
            <w:hideMark/>
          </w:tcPr>
          <w:p w14:paraId="7BFC76D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P225H,K103N</w:t>
            </w:r>
          </w:p>
        </w:tc>
        <w:tc>
          <w:tcPr>
            <w:tcW w:w="1314" w:type="pct"/>
            <w:noWrap/>
            <w:hideMark/>
          </w:tcPr>
          <w:p w14:paraId="1F690F39"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A98G</w:t>
            </w:r>
          </w:p>
        </w:tc>
      </w:tr>
      <w:tr w:rsidR="00D52BE6" w:rsidRPr="008D536F" w14:paraId="5F5B1597"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4B45C8F"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5</w:t>
            </w:r>
          </w:p>
        </w:tc>
        <w:tc>
          <w:tcPr>
            <w:tcW w:w="1371" w:type="pct"/>
            <w:tcBorders>
              <w:left w:val="single" w:sz="4" w:space="0" w:color="auto"/>
            </w:tcBorders>
            <w:noWrap/>
            <w:hideMark/>
          </w:tcPr>
          <w:p w14:paraId="164F8EA0"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K65R,M184V</w:t>
            </w:r>
          </w:p>
        </w:tc>
        <w:tc>
          <w:tcPr>
            <w:tcW w:w="806" w:type="pct"/>
            <w:noWrap/>
            <w:hideMark/>
          </w:tcPr>
          <w:p w14:paraId="051F5E3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V75I</w:t>
            </w:r>
          </w:p>
        </w:tc>
        <w:tc>
          <w:tcPr>
            <w:tcW w:w="1279" w:type="pct"/>
            <w:noWrap/>
            <w:hideMark/>
          </w:tcPr>
          <w:p w14:paraId="1F6DAEB5"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K103N,L100I</w:t>
            </w:r>
          </w:p>
        </w:tc>
        <w:tc>
          <w:tcPr>
            <w:tcW w:w="1314" w:type="pct"/>
            <w:noWrap/>
            <w:hideMark/>
          </w:tcPr>
          <w:p w14:paraId="4DD429F9"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5D7053CA"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44581D6B"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6</w:t>
            </w:r>
          </w:p>
        </w:tc>
        <w:tc>
          <w:tcPr>
            <w:tcW w:w="1371" w:type="pct"/>
            <w:tcBorders>
              <w:left w:val="single" w:sz="4" w:space="0" w:color="auto"/>
            </w:tcBorders>
            <w:noWrap/>
            <w:hideMark/>
          </w:tcPr>
          <w:p w14:paraId="036D6A5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M184V,K65R</w:t>
            </w:r>
          </w:p>
        </w:tc>
        <w:tc>
          <w:tcPr>
            <w:tcW w:w="806" w:type="pct"/>
            <w:noWrap/>
            <w:hideMark/>
          </w:tcPr>
          <w:p w14:paraId="1796391F"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791A0ABD"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K103N,Y188L</w:t>
            </w:r>
          </w:p>
        </w:tc>
        <w:tc>
          <w:tcPr>
            <w:tcW w:w="1314" w:type="pct"/>
            <w:noWrap/>
            <w:hideMark/>
          </w:tcPr>
          <w:p w14:paraId="771AE281"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2CC5BB97"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394B5FFF"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7</w:t>
            </w:r>
          </w:p>
        </w:tc>
        <w:tc>
          <w:tcPr>
            <w:tcW w:w="1371" w:type="pct"/>
            <w:tcBorders>
              <w:left w:val="single" w:sz="4" w:space="0" w:color="auto"/>
            </w:tcBorders>
            <w:noWrap/>
            <w:hideMark/>
          </w:tcPr>
          <w:p w14:paraId="1BAE9DE5"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M184V,K65R</w:t>
            </w:r>
          </w:p>
        </w:tc>
        <w:tc>
          <w:tcPr>
            <w:tcW w:w="806" w:type="pct"/>
            <w:noWrap/>
            <w:hideMark/>
          </w:tcPr>
          <w:p w14:paraId="14EC0F05"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A62V,F77L,K219E</w:t>
            </w:r>
          </w:p>
        </w:tc>
        <w:tc>
          <w:tcPr>
            <w:tcW w:w="1279" w:type="pct"/>
            <w:noWrap/>
            <w:hideMark/>
          </w:tcPr>
          <w:p w14:paraId="3F08E87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K103N,Y181C,G190A</w:t>
            </w:r>
          </w:p>
        </w:tc>
        <w:tc>
          <w:tcPr>
            <w:tcW w:w="1314" w:type="pct"/>
            <w:noWrap/>
            <w:hideMark/>
          </w:tcPr>
          <w:p w14:paraId="53CAF92B"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7C8BE9BA"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38BA68F2"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8</w:t>
            </w:r>
          </w:p>
        </w:tc>
        <w:tc>
          <w:tcPr>
            <w:tcW w:w="1371" w:type="pct"/>
            <w:tcBorders>
              <w:left w:val="single" w:sz="4" w:space="0" w:color="auto"/>
            </w:tcBorders>
            <w:noWrap/>
            <w:hideMark/>
          </w:tcPr>
          <w:p w14:paraId="6258E4A1"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D67N,K70E,M184V</w:t>
            </w:r>
          </w:p>
        </w:tc>
        <w:tc>
          <w:tcPr>
            <w:tcW w:w="806" w:type="pct"/>
            <w:noWrap/>
            <w:hideMark/>
          </w:tcPr>
          <w:p w14:paraId="0747D0BB"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691F3A0C"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K103N,Y188L</w:t>
            </w:r>
          </w:p>
        </w:tc>
        <w:tc>
          <w:tcPr>
            <w:tcW w:w="1314" w:type="pct"/>
            <w:noWrap/>
            <w:hideMark/>
          </w:tcPr>
          <w:p w14:paraId="6E02CD53"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H221Y</w:t>
            </w:r>
          </w:p>
        </w:tc>
      </w:tr>
      <w:tr w:rsidR="00D52BE6" w:rsidRPr="008D536F" w14:paraId="0DF32E0F"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1E927916"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9</w:t>
            </w:r>
          </w:p>
        </w:tc>
        <w:tc>
          <w:tcPr>
            <w:tcW w:w="1371" w:type="pct"/>
            <w:tcBorders>
              <w:left w:val="single" w:sz="4" w:space="0" w:color="auto"/>
            </w:tcBorders>
            <w:noWrap/>
            <w:hideMark/>
          </w:tcPr>
          <w:p w14:paraId="743C05D9"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K70R,D67N,M184V</w:t>
            </w:r>
          </w:p>
        </w:tc>
        <w:tc>
          <w:tcPr>
            <w:tcW w:w="806" w:type="pct"/>
            <w:noWrap/>
            <w:hideMark/>
          </w:tcPr>
          <w:p w14:paraId="3DB9534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K219E,T215I</w:t>
            </w:r>
          </w:p>
        </w:tc>
        <w:tc>
          <w:tcPr>
            <w:tcW w:w="1279" w:type="pct"/>
            <w:noWrap/>
            <w:hideMark/>
          </w:tcPr>
          <w:p w14:paraId="09BC0DE1"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w:t>
            </w:r>
          </w:p>
        </w:tc>
        <w:tc>
          <w:tcPr>
            <w:tcW w:w="1314" w:type="pct"/>
            <w:noWrap/>
            <w:hideMark/>
          </w:tcPr>
          <w:p w14:paraId="0E6D30BB"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V108I,K238T</w:t>
            </w:r>
          </w:p>
        </w:tc>
      </w:tr>
      <w:tr w:rsidR="00D52BE6" w:rsidRPr="008D536F" w14:paraId="755AA0BA"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453AAACC"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10</w:t>
            </w:r>
          </w:p>
        </w:tc>
        <w:tc>
          <w:tcPr>
            <w:tcW w:w="1371" w:type="pct"/>
            <w:tcBorders>
              <w:left w:val="single" w:sz="4" w:space="0" w:color="auto"/>
            </w:tcBorders>
            <w:noWrap/>
            <w:hideMark/>
          </w:tcPr>
          <w:p w14:paraId="76B73A89"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K70E,D67DN,M184V</w:t>
            </w:r>
          </w:p>
        </w:tc>
        <w:tc>
          <w:tcPr>
            <w:tcW w:w="806" w:type="pct"/>
            <w:noWrap/>
            <w:hideMark/>
          </w:tcPr>
          <w:p w14:paraId="6E4D7F3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K219KR</w:t>
            </w:r>
          </w:p>
        </w:tc>
        <w:tc>
          <w:tcPr>
            <w:tcW w:w="1279" w:type="pct"/>
            <w:noWrap/>
            <w:hideMark/>
          </w:tcPr>
          <w:p w14:paraId="2E168573"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K103N,P225H</w:t>
            </w:r>
          </w:p>
        </w:tc>
        <w:tc>
          <w:tcPr>
            <w:tcW w:w="1314" w:type="pct"/>
            <w:noWrap/>
            <w:hideMark/>
          </w:tcPr>
          <w:p w14:paraId="310A5B3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27C7856D"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30D4E58D"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11</w:t>
            </w:r>
          </w:p>
        </w:tc>
        <w:tc>
          <w:tcPr>
            <w:tcW w:w="1371" w:type="pct"/>
            <w:tcBorders>
              <w:left w:val="single" w:sz="4" w:space="0" w:color="auto"/>
            </w:tcBorders>
            <w:noWrap/>
            <w:hideMark/>
          </w:tcPr>
          <w:p w14:paraId="72770DF0"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M184V,K70Q</w:t>
            </w:r>
          </w:p>
        </w:tc>
        <w:tc>
          <w:tcPr>
            <w:tcW w:w="806" w:type="pct"/>
            <w:noWrap/>
            <w:hideMark/>
          </w:tcPr>
          <w:p w14:paraId="5C5EA779"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364BAD6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V106M,G190A,K101E</w:t>
            </w:r>
          </w:p>
        </w:tc>
        <w:tc>
          <w:tcPr>
            <w:tcW w:w="1314" w:type="pct"/>
            <w:noWrap/>
            <w:hideMark/>
          </w:tcPr>
          <w:p w14:paraId="1047A66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7935C8ED"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2C566F6E"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12</w:t>
            </w:r>
          </w:p>
        </w:tc>
        <w:tc>
          <w:tcPr>
            <w:tcW w:w="1371" w:type="pct"/>
            <w:tcBorders>
              <w:left w:val="single" w:sz="4" w:space="0" w:color="auto"/>
            </w:tcBorders>
            <w:noWrap/>
            <w:hideMark/>
          </w:tcPr>
          <w:p w14:paraId="0AFD97B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K70T,M41L,K65R,M184V</w:t>
            </w:r>
          </w:p>
        </w:tc>
        <w:tc>
          <w:tcPr>
            <w:tcW w:w="806" w:type="pct"/>
            <w:noWrap/>
            <w:hideMark/>
          </w:tcPr>
          <w:p w14:paraId="3DB22FA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77DA1FC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V106M,Y188L</w:t>
            </w:r>
          </w:p>
        </w:tc>
        <w:tc>
          <w:tcPr>
            <w:tcW w:w="1314" w:type="pct"/>
            <w:noWrap/>
            <w:hideMark/>
          </w:tcPr>
          <w:p w14:paraId="06014161"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E138A</w:t>
            </w:r>
          </w:p>
        </w:tc>
      </w:tr>
      <w:tr w:rsidR="00D52BE6" w:rsidRPr="008D536F" w14:paraId="0E268742"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1F6A3020"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13</w:t>
            </w:r>
          </w:p>
        </w:tc>
        <w:tc>
          <w:tcPr>
            <w:tcW w:w="1371" w:type="pct"/>
            <w:tcBorders>
              <w:left w:val="single" w:sz="4" w:space="0" w:color="auto"/>
            </w:tcBorders>
            <w:noWrap/>
            <w:hideMark/>
          </w:tcPr>
          <w:p w14:paraId="47C4F13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M184V,M41L,K65R,K70T</w:t>
            </w:r>
          </w:p>
        </w:tc>
        <w:tc>
          <w:tcPr>
            <w:tcW w:w="806" w:type="pct"/>
            <w:noWrap/>
            <w:hideMark/>
          </w:tcPr>
          <w:p w14:paraId="6966067E"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0A140F3B"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V106M,Y188L</w:t>
            </w:r>
          </w:p>
        </w:tc>
        <w:tc>
          <w:tcPr>
            <w:tcW w:w="1314" w:type="pct"/>
            <w:noWrap/>
            <w:hideMark/>
          </w:tcPr>
          <w:p w14:paraId="3E98FCC9"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E138A</w:t>
            </w:r>
          </w:p>
        </w:tc>
      </w:tr>
      <w:tr w:rsidR="00D52BE6" w:rsidRPr="008D536F" w14:paraId="15B916E1"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771FB974"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14</w:t>
            </w:r>
          </w:p>
        </w:tc>
        <w:tc>
          <w:tcPr>
            <w:tcW w:w="1371" w:type="pct"/>
            <w:tcBorders>
              <w:left w:val="single" w:sz="4" w:space="0" w:color="auto"/>
            </w:tcBorders>
            <w:noWrap/>
            <w:hideMark/>
          </w:tcPr>
          <w:p w14:paraId="171A861D"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6F97BA75"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2AD915FD"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w:t>
            </w:r>
          </w:p>
        </w:tc>
        <w:tc>
          <w:tcPr>
            <w:tcW w:w="1314" w:type="pct"/>
            <w:noWrap/>
            <w:hideMark/>
          </w:tcPr>
          <w:p w14:paraId="652D4B9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V108I</w:t>
            </w:r>
          </w:p>
        </w:tc>
      </w:tr>
      <w:tr w:rsidR="00D52BE6" w:rsidRPr="008D536F" w14:paraId="327424E3"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78AF6C5C"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15</w:t>
            </w:r>
          </w:p>
        </w:tc>
        <w:tc>
          <w:tcPr>
            <w:tcW w:w="1371" w:type="pct"/>
            <w:tcBorders>
              <w:left w:val="single" w:sz="4" w:space="0" w:color="auto"/>
            </w:tcBorders>
            <w:noWrap/>
            <w:hideMark/>
          </w:tcPr>
          <w:p w14:paraId="7CDCEF38"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K65R,M184V,Y115F,L74LI,D67N</w:t>
            </w:r>
          </w:p>
        </w:tc>
        <w:tc>
          <w:tcPr>
            <w:tcW w:w="806" w:type="pct"/>
            <w:noWrap/>
            <w:hideMark/>
          </w:tcPr>
          <w:p w14:paraId="42D2237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K219E</w:t>
            </w:r>
          </w:p>
        </w:tc>
        <w:tc>
          <w:tcPr>
            <w:tcW w:w="1279" w:type="pct"/>
            <w:noWrap/>
            <w:hideMark/>
          </w:tcPr>
          <w:p w14:paraId="12A76A45"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V106M,K103N</w:t>
            </w:r>
          </w:p>
        </w:tc>
        <w:tc>
          <w:tcPr>
            <w:tcW w:w="1314" w:type="pct"/>
            <w:noWrap/>
            <w:hideMark/>
          </w:tcPr>
          <w:p w14:paraId="3BA48AF8"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66056A6C"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2CB7D54F"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16</w:t>
            </w:r>
          </w:p>
        </w:tc>
        <w:tc>
          <w:tcPr>
            <w:tcW w:w="1371" w:type="pct"/>
            <w:tcBorders>
              <w:left w:val="single" w:sz="4" w:space="0" w:color="auto"/>
            </w:tcBorders>
            <w:noWrap/>
            <w:hideMark/>
          </w:tcPr>
          <w:p w14:paraId="237EFE0F"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59E54E6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L74V</w:t>
            </w:r>
          </w:p>
        </w:tc>
        <w:tc>
          <w:tcPr>
            <w:tcW w:w="1279" w:type="pct"/>
            <w:noWrap/>
            <w:hideMark/>
          </w:tcPr>
          <w:p w14:paraId="4CFEA8A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P225H,L100I,K103N</w:t>
            </w:r>
          </w:p>
        </w:tc>
        <w:tc>
          <w:tcPr>
            <w:tcW w:w="1314" w:type="pct"/>
            <w:noWrap/>
            <w:hideMark/>
          </w:tcPr>
          <w:p w14:paraId="6098EE93"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K238T</w:t>
            </w:r>
          </w:p>
        </w:tc>
      </w:tr>
      <w:tr w:rsidR="00D52BE6" w:rsidRPr="008D536F" w14:paraId="3AC3CEEF"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78D09616"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17</w:t>
            </w:r>
          </w:p>
        </w:tc>
        <w:tc>
          <w:tcPr>
            <w:tcW w:w="1371" w:type="pct"/>
            <w:tcBorders>
              <w:left w:val="single" w:sz="4" w:space="0" w:color="auto"/>
            </w:tcBorders>
            <w:noWrap/>
            <w:hideMark/>
          </w:tcPr>
          <w:p w14:paraId="751AB68F"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M184V,K70KR</w:t>
            </w:r>
          </w:p>
        </w:tc>
        <w:tc>
          <w:tcPr>
            <w:tcW w:w="806" w:type="pct"/>
            <w:noWrap/>
            <w:hideMark/>
          </w:tcPr>
          <w:p w14:paraId="1CDA93CC"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K219E</w:t>
            </w:r>
          </w:p>
        </w:tc>
        <w:tc>
          <w:tcPr>
            <w:tcW w:w="1279" w:type="pct"/>
            <w:noWrap/>
            <w:hideMark/>
          </w:tcPr>
          <w:p w14:paraId="0864B8BA"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w:t>
            </w:r>
          </w:p>
        </w:tc>
        <w:tc>
          <w:tcPr>
            <w:tcW w:w="1314" w:type="pct"/>
            <w:noWrap/>
            <w:hideMark/>
          </w:tcPr>
          <w:p w14:paraId="1B0F733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V108I,F227FL</w:t>
            </w:r>
          </w:p>
        </w:tc>
      </w:tr>
      <w:tr w:rsidR="00D52BE6" w:rsidRPr="008D536F" w14:paraId="3BE94A02"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4E68B62"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18</w:t>
            </w:r>
          </w:p>
        </w:tc>
        <w:tc>
          <w:tcPr>
            <w:tcW w:w="1371" w:type="pct"/>
            <w:tcBorders>
              <w:left w:val="single" w:sz="4" w:space="0" w:color="auto"/>
            </w:tcBorders>
            <w:noWrap/>
            <w:hideMark/>
          </w:tcPr>
          <w:p w14:paraId="1B7DD8F0"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M184V,K70R,D67N</w:t>
            </w:r>
          </w:p>
        </w:tc>
        <w:tc>
          <w:tcPr>
            <w:tcW w:w="806" w:type="pct"/>
            <w:noWrap/>
            <w:hideMark/>
          </w:tcPr>
          <w:p w14:paraId="45F83AB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T215IV,K219E</w:t>
            </w:r>
          </w:p>
        </w:tc>
        <w:tc>
          <w:tcPr>
            <w:tcW w:w="1279" w:type="pct"/>
            <w:noWrap/>
            <w:hideMark/>
          </w:tcPr>
          <w:p w14:paraId="5EF15BE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Y188L</w:t>
            </w:r>
          </w:p>
        </w:tc>
        <w:tc>
          <w:tcPr>
            <w:tcW w:w="1314" w:type="pct"/>
            <w:noWrap/>
            <w:hideMark/>
          </w:tcPr>
          <w:p w14:paraId="6C600D40"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A98G</w:t>
            </w:r>
          </w:p>
        </w:tc>
      </w:tr>
      <w:tr w:rsidR="00D52BE6" w:rsidRPr="008D536F" w14:paraId="42ABD932"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7FC90F01"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19</w:t>
            </w:r>
          </w:p>
        </w:tc>
        <w:tc>
          <w:tcPr>
            <w:tcW w:w="1371" w:type="pct"/>
            <w:tcBorders>
              <w:left w:val="single" w:sz="4" w:space="0" w:color="auto"/>
            </w:tcBorders>
            <w:noWrap/>
            <w:hideMark/>
          </w:tcPr>
          <w:p w14:paraId="5F51A939"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K70EQ,M184V</w:t>
            </w:r>
          </w:p>
        </w:tc>
        <w:tc>
          <w:tcPr>
            <w:tcW w:w="806" w:type="pct"/>
            <w:noWrap/>
            <w:hideMark/>
          </w:tcPr>
          <w:p w14:paraId="5AD5E651"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5AF19FDE"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w:t>
            </w:r>
          </w:p>
        </w:tc>
        <w:tc>
          <w:tcPr>
            <w:tcW w:w="1314" w:type="pct"/>
            <w:noWrap/>
            <w:hideMark/>
          </w:tcPr>
          <w:p w14:paraId="028EFDD0"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F227FL,E138A,V179D</w:t>
            </w:r>
          </w:p>
        </w:tc>
      </w:tr>
      <w:tr w:rsidR="00D52BE6" w:rsidRPr="008D536F" w14:paraId="32C5DAE0"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55B83BB1"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20</w:t>
            </w:r>
          </w:p>
        </w:tc>
        <w:tc>
          <w:tcPr>
            <w:tcW w:w="1371" w:type="pct"/>
            <w:tcBorders>
              <w:left w:val="single" w:sz="4" w:space="0" w:color="auto"/>
            </w:tcBorders>
            <w:noWrap/>
            <w:hideMark/>
          </w:tcPr>
          <w:p w14:paraId="17D6CEB1"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806" w:type="pct"/>
            <w:noWrap/>
            <w:hideMark/>
          </w:tcPr>
          <w:p w14:paraId="26C42A8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4EA048CB"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w:t>
            </w:r>
          </w:p>
        </w:tc>
        <w:tc>
          <w:tcPr>
            <w:tcW w:w="1314" w:type="pct"/>
            <w:noWrap/>
            <w:hideMark/>
          </w:tcPr>
          <w:p w14:paraId="76158615"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0F360384"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6B6A97F7"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21</w:t>
            </w:r>
          </w:p>
        </w:tc>
        <w:tc>
          <w:tcPr>
            <w:tcW w:w="1371" w:type="pct"/>
            <w:tcBorders>
              <w:left w:val="single" w:sz="4" w:space="0" w:color="auto"/>
            </w:tcBorders>
            <w:noWrap/>
            <w:hideMark/>
          </w:tcPr>
          <w:p w14:paraId="7354E1B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1A63A3B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7B8C578D"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314" w:type="pct"/>
            <w:noWrap/>
            <w:hideMark/>
          </w:tcPr>
          <w:p w14:paraId="5207C5A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E138A</w:t>
            </w:r>
          </w:p>
        </w:tc>
      </w:tr>
      <w:tr w:rsidR="00D52BE6" w:rsidRPr="008D536F" w14:paraId="29E9DB33"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263197C0"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22</w:t>
            </w:r>
          </w:p>
        </w:tc>
        <w:tc>
          <w:tcPr>
            <w:tcW w:w="1371" w:type="pct"/>
            <w:tcBorders>
              <w:left w:val="single" w:sz="4" w:space="0" w:color="auto"/>
            </w:tcBorders>
            <w:noWrap/>
            <w:hideMark/>
          </w:tcPr>
          <w:p w14:paraId="57976E73"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M184V,K70R,D67N</w:t>
            </w:r>
          </w:p>
        </w:tc>
        <w:tc>
          <w:tcPr>
            <w:tcW w:w="806" w:type="pct"/>
            <w:noWrap/>
            <w:hideMark/>
          </w:tcPr>
          <w:p w14:paraId="6775197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K219Q</w:t>
            </w:r>
          </w:p>
        </w:tc>
        <w:tc>
          <w:tcPr>
            <w:tcW w:w="1279" w:type="pct"/>
            <w:noWrap/>
            <w:hideMark/>
          </w:tcPr>
          <w:p w14:paraId="125F4626"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w:t>
            </w:r>
          </w:p>
        </w:tc>
        <w:tc>
          <w:tcPr>
            <w:tcW w:w="1314" w:type="pct"/>
            <w:noWrap/>
            <w:hideMark/>
          </w:tcPr>
          <w:p w14:paraId="6C12D7B3"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F227L,E138Q</w:t>
            </w:r>
          </w:p>
        </w:tc>
      </w:tr>
      <w:tr w:rsidR="00D52BE6" w:rsidRPr="008D536F" w14:paraId="35F84193"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B8B0008"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23</w:t>
            </w:r>
          </w:p>
        </w:tc>
        <w:tc>
          <w:tcPr>
            <w:tcW w:w="1371" w:type="pct"/>
            <w:tcBorders>
              <w:left w:val="single" w:sz="4" w:space="0" w:color="auto"/>
            </w:tcBorders>
            <w:noWrap/>
            <w:hideMark/>
          </w:tcPr>
          <w:p w14:paraId="6E8CF7D6"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M184V,K65R</w:t>
            </w:r>
          </w:p>
        </w:tc>
        <w:tc>
          <w:tcPr>
            <w:tcW w:w="806" w:type="pct"/>
            <w:noWrap/>
            <w:hideMark/>
          </w:tcPr>
          <w:p w14:paraId="310CD12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A62V</w:t>
            </w:r>
          </w:p>
        </w:tc>
        <w:tc>
          <w:tcPr>
            <w:tcW w:w="1279" w:type="pct"/>
            <w:noWrap/>
            <w:hideMark/>
          </w:tcPr>
          <w:p w14:paraId="53C02A6B"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V106M,K103S</w:t>
            </w:r>
          </w:p>
        </w:tc>
        <w:tc>
          <w:tcPr>
            <w:tcW w:w="1314" w:type="pct"/>
            <w:noWrap/>
            <w:hideMark/>
          </w:tcPr>
          <w:p w14:paraId="0E282AA2"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F227L</w:t>
            </w:r>
          </w:p>
        </w:tc>
      </w:tr>
      <w:tr w:rsidR="00D52BE6" w:rsidRPr="008D536F" w14:paraId="1165B744"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FF86B23"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24</w:t>
            </w:r>
          </w:p>
        </w:tc>
        <w:tc>
          <w:tcPr>
            <w:tcW w:w="1371" w:type="pct"/>
            <w:tcBorders>
              <w:left w:val="single" w:sz="4" w:space="0" w:color="auto"/>
            </w:tcBorders>
            <w:noWrap/>
            <w:hideMark/>
          </w:tcPr>
          <w:p w14:paraId="4832E32C"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6341F76F"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74BE3F1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P225H,K103N</w:t>
            </w:r>
          </w:p>
        </w:tc>
        <w:tc>
          <w:tcPr>
            <w:tcW w:w="1314" w:type="pct"/>
            <w:noWrap/>
            <w:hideMark/>
          </w:tcPr>
          <w:p w14:paraId="4187CA39"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32480C69"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63454EB"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25</w:t>
            </w:r>
          </w:p>
        </w:tc>
        <w:tc>
          <w:tcPr>
            <w:tcW w:w="1371" w:type="pct"/>
            <w:tcBorders>
              <w:left w:val="single" w:sz="4" w:space="0" w:color="auto"/>
            </w:tcBorders>
            <w:noWrap/>
            <w:hideMark/>
          </w:tcPr>
          <w:p w14:paraId="20AA6B1A"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D67N,M184V,K70E</w:t>
            </w:r>
          </w:p>
        </w:tc>
        <w:tc>
          <w:tcPr>
            <w:tcW w:w="806" w:type="pct"/>
            <w:noWrap/>
            <w:hideMark/>
          </w:tcPr>
          <w:p w14:paraId="44DB92F8"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K219R</w:t>
            </w:r>
          </w:p>
        </w:tc>
        <w:tc>
          <w:tcPr>
            <w:tcW w:w="1279" w:type="pct"/>
            <w:noWrap/>
            <w:hideMark/>
          </w:tcPr>
          <w:p w14:paraId="36A21BB8"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K103N,P225H</w:t>
            </w:r>
          </w:p>
        </w:tc>
        <w:tc>
          <w:tcPr>
            <w:tcW w:w="1314" w:type="pct"/>
            <w:noWrap/>
            <w:hideMark/>
          </w:tcPr>
          <w:p w14:paraId="040E43B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H221Y,E138EG,F227FL,V108VI</w:t>
            </w:r>
          </w:p>
        </w:tc>
      </w:tr>
      <w:tr w:rsidR="00D52BE6" w:rsidRPr="008D536F" w14:paraId="51935A88"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1110DE95"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26</w:t>
            </w:r>
          </w:p>
        </w:tc>
        <w:tc>
          <w:tcPr>
            <w:tcW w:w="1371" w:type="pct"/>
            <w:tcBorders>
              <w:left w:val="single" w:sz="4" w:space="0" w:color="auto"/>
            </w:tcBorders>
            <w:noWrap/>
            <w:hideMark/>
          </w:tcPr>
          <w:p w14:paraId="4F37A3B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2490760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550DB101"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Y188L,P225H</w:t>
            </w:r>
          </w:p>
        </w:tc>
        <w:tc>
          <w:tcPr>
            <w:tcW w:w="1314" w:type="pct"/>
            <w:noWrap/>
            <w:hideMark/>
          </w:tcPr>
          <w:p w14:paraId="094C5CD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E138Q</w:t>
            </w:r>
          </w:p>
        </w:tc>
      </w:tr>
      <w:tr w:rsidR="00D52BE6" w:rsidRPr="008D536F" w14:paraId="5ED49B78"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1D0501DA"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27</w:t>
            </w:r>
          </w:p>
        </w:tc>
        <w:tc>
          <w:tcPr>
            <w:tcW w:w="1371" w:type="pct"/>
            <w:tcBorders>
              <w:left w:val="single" w:sz="4" w:space="0" w:color="auto"/>
            </w:tcBorders>
            <w:noWrap/>
            <w:hideMark/>
          </w:tcPr>
          <w:p w14:paraId="6424D7FE"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K65R,M184V</w:t>
            </w:r>
          </w:p>
        </w:tc>
        <w:tc>
          <w:tcPr>
            <w:tcW w:w="806" w:type="pct"/>
            <w:noWrap/>
            <w:hideMark/>
          </w:tcPr>
          <w:p w14:paraId="747F1645"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4A863D9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K101E,Y181C,G190S</w:t>
            </w:r>
          </w:p>
        </w:tc>
        <w:tc>
          <w:tcPr>
            <w:tcW w:w="1314" w:type="pct"/>
            <w:noWrap/>
            <w:hideMark/>
          </w:tcPr>
          <w:p w14:paraId="1AF5B2AF"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5CD9A1A0"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1D5D37C4"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28</w:t>
            </w:r>
          </w:p>
        </w:tc>
        <w:tc>
          <w:tcPr>
            <w:tcW w:w="1371" w:type="pct"/>
            <w:tcBorders>
              <w:left w:val="single" w:sz="4" w:space="0" w:color="auto"/>
            </w:tcBorders>
            <w:noWrap/>
            <w:hideMark/>
          </w:tcPr>
          <w:p w14:paraId="1C3126A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24A3D2D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V75VM</w:t>
            </w:r>
          </w:p>
        </w:tc>
        <w:tc>
          <w:tcPr>
            <w:tcW w:w="1279" w:type="pct"/>
            <w:noWrap/>
            <w:hideMark/>
          </w:tcPr>
          <w:p w14:paraId="3BDB7E15"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K103N,P225H</w:t>
            </w:r>
          </w:p>
        </w:tc>
        <w:tc>
          <w:tcPr>
            <w:tcW w:w="1314" w:type="pct"/>
            <w:noWrap/>
            <w:hideMark/>
          </w:tcPr>
          <w:p w14:paraId="6E80C384"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7BD8D83F"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241A6EF0"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29</w:t>
            </w:r>
          </w:p>
        </w:tc>
        <w:tc>
          <w:tcPr>
            <w:tcW w:w="1371" w:type="pct"/>
            <w:tcBorders>
              <w:left w:val="single" w:sz="4" w:space="0" w:color="auto"/>
            </w:tcBorders>
            <w:noWrap/>
            <w:hideMark/>
          </w:tcPr>
          <w:p w14:paraId="251EB1AD"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D67N,K70R,M184V</w:t>
            </w:r>
          </w:p>
        </w:tc>
        <w:tc>
          <w:tcPr>
            <w:tcW w:w="806" w:type="pct"/>
            <w:noWrap/>
            <w:hideMark/>
          </w:tcPr>
          <w:p w14:paraId="2592EE1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K219E,T215I</w:t>
            </w:r>
          </w:p>
        </w:tc>
        <w:tc>
          <w:tcPr>
            <w:tcW w:w="1279" w:type="pct"/>
            <w:noWrap/>
            <w:hideMark/>
          </w:tcPr>
          <w:p w14:paraId="10C41989"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G190E</w:t>
            </w:r>
          </w:p>
        </w:tc>
        <w:tc>
          <w:tcPr>
            <w:tcW w:w="1314" w:type="pct"/>
            <w:noWrap/>
            <w:hideMark/>
          </w:tcPr>
          <w:p w14:paraId="4E144CF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5CD03232"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48ECDE26"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30</w:t>
            </w:r>
          </w:p>
        </w:tc>
        <w:tc>
          <w:tcPr>
            <w:tcW w:w="1371" w:type="pct"/>
            <w:tcBorders>
              <w:left w:val="single" w:sz="4" w:space="0" w:color="auto"/>
            </w:tcBorders>
            <w:noWrap/>
            <w:hideMark/>
          </w:tcPr>
          <w:p w14:paraId="42133BFC"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M41ML,M184V,K65R,L74L</w:t>
            </w:r>
          </w:p>
        </w:tc>
        <w:tc>
          <w:tcPr>
            <w:tcW w:w="806" w:type="pct"/>
            <w:noWrap/>
            <w:hideMark/>
          </w:tcPr>
          <w:p w14:paraId="76F106C3"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179D6D5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w:t>
            </w:r>
          </w:p>
        </w:tc>
        <w:tc>
          <w:tcPr>
            <w:tcW w:w="1314" w:type="pct"/>
            <w:noWrap/>
            <w:hideMark/>
          </w:tcPr>
          <w:p w14:paraId="0D7857E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E138EG,V108I</w:t>
            </w:r>
          </w:p>
        </w:tc>
      </w:tr>
      <w:tr w:rsidR="00D52BE6" w:rsidRPr="008D536F" w14:paraId="085DAE07"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3A2291BD"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31</w:t>
            </w:r>
          </w:p>
        </w:tc>
        <w:tc>
          <w:tcPr>
            <w:tcW w:w="1371" w:type="pct"/>
            <w:tcBorders>
              <w:left w:val="single" w:sz="4" w:space="0" w:color="auto"/>
            </w:tcBorders>
            <w:noWrap/>
            <w:hideMark/>
          </w:tcPr>
          <w:p w14:paraId="5B3DD6E0"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w:t>
            </w:r>
          </w:p>
        </w:tc>
        <w:tc>
          <w:tcPr>
            <w:tcW w:w="806" w:type="pct"/>
            <w:noWrap/>
            <w:hideMark/>
          </w:tcPr>
          <w:p w14:paraId="6E6939B2"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A62AV</w:t>
            </w:r>
          </w:p>
        </w:tc>
        <w:tc>
          <w:tcPr>
            <w:tcW w:w="1279" w:type="pct"/>
            <w:noWrap/>
            <w:hideMark/>
          </w:tcPr>
          <w:p w14:paraId="55D7583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Y181C,V106M</w:t>
            </w:r>
          </w:p>
        </w:tc>
        <w:tc>
          <w:tcPr>
            <w:tcW w:w="1314" w:type="pct"/>
            <w:noWrap/>
            <w:hideMark/>
          </w:tcPr>
          <w:p w14:paraId="415F842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H221Y,F227L</w:t>
            </w:r>
          </w:p>
        </w:tc>
      </w:tr>
      <w:tr w:rsidR="00D52BE6" w:rsidRPr="008D536F" w14:paraId="5C95EEB5"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CE9FE90"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32</w:t>
            </w:r>
          </w:p>
        </w:tc>
        <w:tc>
          <w:tcPr>
            <w:tcW w:w="1371" w:type="pct"/>
            <w:tcBorders>
              <w:left w:val="single" w:sz="4" w:space="0" w:color="auto"/>
            </w:tcBorders>
            <w:noWrap/>
            <w:hideMark/>
          </w:tcPr>
          <w:p w14:paraId="07D7A0C0"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763E8F55"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A62AV</w:t>
            </w:r>
          </w:p>
        </w:tc>
        <w:tc>
          <w:tcPr>
            <w:tcW w:w="1279" w:type="pct"/>
            <w:noWrap/>
            <w:hideMark/>
          </w:tcPr>
          <w:p w14:paraId="590DA8D0"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G190GA,P225H,K103N</w:t>
            </w:r>
          </w:p>
        </w:tc>
        <w:tc>
          <w:tcPr>
            <w:tcW w:w="1314" w:type="pct"/>
            <w:noWrap/>
            <w:hideMark/>
          </w:tcPr>
          <w:p w14:paraId="7C1213F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K238KT</w:t>
            </w:r>
          </w:p>
        </w:tc>
      </w:tr>
      <w:tr w:rsidR="00D52BE6" w:rsidRPr="008D536F" w14:paraId="30D6A74F"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7EF38445"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33</w:t>
            </w:r>
          </w:p>
        </w:tc>
        <w:tc>
          <w:tcPr>
            <w:tcW w:w="1371" w:type="pct"/>
            <w:tcBorders>
              <w:left w:val="single" w:sz="4" w:space="0" w:color="auto"/>
            </w:tcBorders>
            <w:noWrap/>
            <w:hideMark/>
          </w:tcPr>
          <w:p w14:paraId="5F264832"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K65R,M184V</w:t>
            </w:r>
          </w:p>
        </w:tc>
        <w:tc>
          <w:tcPr>
            <w:tcW w:w="806" w:type="pct"/>
            <w:noWrap/>
            <w:hideMark/>
          </w:tcPr>
          <w:p w14:paraId="5AAC8D30"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A62AV</w:t>
            </w:r>
          </w:p>
        </w:tc>
        <w:tc>
          <w:tcPr>
            <w:tcW w:w="1279" w:type="pct"/>
            <w:noWrap/>
            <w:hideMark/>
          </w:tcPr>
          <w:p w14:paraId="28B1614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w:t>
            </w:r>
          </w:p>
        </w:tc>
        <w:tc>
          <w:tcPr>
            <w:tcW w:w="1314" w:type="pct"/>
            <w:noWrap/>
            <w:hideMark/>
          </w:tcPr>
          <w:p w14:paraId="37ED976B"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V179D</w:t>
            </w:r>
          </w:p>
        </w:tc>
      </w:tr>
      <w:tr w:rsidR="00D52BE6" w:rsidRPr="008D536F" w14:paraId="414100D6"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35DD4775"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34</w:t>
            </w:r>
          </w:p>
        </w:tc>
        <w:tc>
          <w:tcPr>
            <w:tcW w:w="1371" w:type="pct"/>
            <w:tcBorders>
              <w:left w:val="single" w:sz="4" w:space="0" w:color="auto"/>
            </w:tcBorders>
            <w:noWrap/>
            <w:hideMark/>
          </w:tcPr>
          <w:p w14:paraId="050B317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M184V,Y115F,K65R</w:t>
            </w:r>
          </w:p>
        </w:tc>
        <w:tc>
          <w:tcPr>
            <w:tcW w:w="806" w:type="pct"/>
            <w:noWrap/>
            <w:hideMark/>
          </w:tcPr>
          <w:p w14:paraId="1975738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49DDDEF4"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V106M,K103N</w:t>
            </w:r>
          </w:p>
        </w:tc>
        <w:tc>
          <w:tcPr>
            <w:tcW w:w="1314" w:type="pct"/>
            <w:noWrap/>
            <w:hideMark/>
          </w:tcPr>
          <w:p w14:paraId="5FBF197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F227L</w:t>
            </w:r>
          </w:p>
        </w:tc>
      </w:tr>
      <w:tr w:rsidR="00D52BE6" w:rsidRPr="008D536F" w14:paraId="4A8B8B45"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75C9EF53"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35</w:t>
            </w:r>
          </w:p>
        </w:tc>
        <w:tc>
          <w:tcPr>
            <w:tcW w:w="1371" w:type="pct"/>
            <w:tcBorders>
              <w:left w:val="single" w:sz="4" w:space="0" w:color="auto"/>
            </w:tcBorders>
            <w:noWrap/>
            <w:hideMark/>
          </w:tcPr>
          <w:p w14:paraId="5EEF3E55"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M184V,K65R</w:t>
            </w:r>
          </w:p>
        </w:tc>
        <w:tc>
          <w:tcPr>
            <w:tcW w:w="806" w:type="pct"/>
            <w:noWrap/>
            <w:hideMark/>
          </w:tcPr>
          <w:p w14:paraId="1B373466"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2FE1E7A6"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P225H,K103N</w:t>
            </w:r>
          </w:p>
        </w:tc>
        <w:tc>
          <w:tcPr>
            <w:tcW w:w="1314" w:type="pct"/>
            <w:noWrap/>
            <w:hideMark/>
          </w:tcPr>
          <w:p w14:paraId="0880A6CC"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324D00C0"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666AA184"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36</w:t>
            </w:r>
          </w:p>
        </w:tc>
        <w:tc>
          <w:tcPr>
            <w:tcW w:w="1371" w:type="pct"/>
            <w:tcBorders>
              <w:left w:val="single" w:sz="4" w:space="0" w:color="auto"/>
            </w:tcBorders>
            <w:noWrap/>
            <w:hideMark/>
          </w:tcPr>
          <w:p w14:paraId="23C341C9"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K65R,M184V</w:t>
            </w:r>
          </w:p>
        </w:tc>
        <w:tc>
          <w:tcPr>
            <w:tcW w:w="806" w:type="pct"/>
            <w:noWrap/>
            <w:hideMark/>
          </w:tcPr>
          <w:p w14:paraId="14BF870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12ABC434"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V106M,M230L</w:t>
            </w:r>
          </w:p>
        </w:tc>
        <w:tc>
          <w:tcPr>
            <w:tcW w:w="1314" w:type="pct"/>
            <w:noWrap/>
            <w:hideMark/>
          </w:tcPr>
          <w:p w14:paraId="6292BC41"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V179D</w:t>
            </w:r>
          </w:p>
        </w:tc>
      </w:tr>
      <w:tr w:rsidR="00D52BE6" w:rsidRPr="008D536F" w14:paraId="145F64DC"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4F22983F"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37</w:t>
            </w:r>
          </w:p>
        </w:tc>
        <w:tc>
          <w:tcPr>
            <w:tcW w:w="1371" w:type="pct"/>
            <w:tcBorders>
              <w:left w:val="single" w:sz="4" w:space="0" w:color="auto"/>
            </w:tcBorders>
            <w:noWrap/>
            <w:hideMark/>
          </w:tcPr>
          <w:p w14:paraId="7D37823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K65R,M184V</w:t>
            </w:r>
          </w:p>
        </w:tc>
        <w:tc>
          <w:tcPr>
            <w:tcW w:w="806" w:type="pct"/>
            <w:noWrap/>
            <w:hideMark/>
          </w:tcPr>
          <w:p w14:paraId="558ACC25"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A62V,K219E</w:t>
            </w:r>
          </w:p>
        </w:tc>
        <w:tc>
          <w:tcPr>
            <w:tcW w:w="1279" w:type="pct"/>
            <w:noWrap/>
            <w:hideMark/>
          </w:tcPr>
          <w:p w14:paraId="48C69DC1"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K103N,G190A</w:t>
            </w:r>
          </w:p>
        </w:tc>
        <w:tc>
          <w:tcPr>
            <w:tcW w:w="1314" w:type="pct"/>
            <w:noWrap/>
            <w:hideMark/>
          </w:tcPr>
          <w:p w14:paraId="069EC7B0"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03E3EDE2"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2AAD0F0F"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38</w:t>
            </w:r>
          </w:p>
        </w:tc>
        <w:tc>
          <w:tcPr>
            <w:tcW w:w="1371" w:type="pct"/>
            <w:tcBorders>
              <w:left w:val="single" w:sz="4" w:space="0" w:color="auto"/>
            </w:tcBorders>
            <w:noWrap/>
            <w:hideMark/>
          </w:tcPr>
          <w:p w14:paraId="4C2782B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806" w:type="pct"/>
            <w:noWrap/>
            <w:hideMark/>
          </w:tcPr>
          <w:p w14:paraId="22CDD51C"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4D7562F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K103N,P225H</w:t>
            </w:r>
          </w:p>
        </w:tc>
        <w:tc>
          <w:tcPr>
            <w:tcW w:w="1314" w:type="pct"/>
            <w:noWrap/>
            <w:hideMark/>
          </w:tcPr>
          <w:p w14:paraId="2B62AF1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3B499267"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5A29B97D"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39</w:t>
            </w:r>
          </w:p>
        </w:tc>
        <w:tc>
          <w:tcPr>
            <w:tcW w:w="1371" w:type="pct"/>
            <w:tcBorders>
              <w:left w:val="single" w:sz="4" w:space="0" w:color="auto"/>
            </w:tcBorders>
            <w:noWrap/>
            <w:hideMark/>
          </w:tcPr>
          <w:p w14:paraId="0DBDC7B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806" w:type="pct"/>
            <w:noWrap/>
            <w:hideMark/>
          </w:tcPr>
          <w:p w14:paraId="44A30F52"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3E8F88D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w:t>
            </w:r>
          </w:p>
        </w:tc>
        <w:tc>
          <w:tcPr>
            <w:tcW w:w="1314" w:type="pct"/>
            <w:noWrap/>
            <w:hideMark/>
          </w:tcPr>
          <w:p w14:paraId="238187F5"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2433E088"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10824F70"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40</w:t>
            </w:r>
          </w:p>
        </w:tc>
        <w:tc>
          <w:tcPr>
            <w:tcW w:w="1371" w:type="pct"/>
            <w:tcBorders>
              <w:left w:val="single" w:sz="4" w:space="0" w:color="auto"/>
            </w:tcBorders>
            <w:noWrap/>
            <w:hideMark/>
          </w:tcPr>
          <w:p w14:paraId="722E433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K65R,D67DN</w:t>
            </w:r>
          </w:p>
        </w:tc>
        <w:tc>
          <w:tcPr>
            <w:tcW w:w="806" w:type="pct"/>
            <w:noWrap/>
            <w:hideMark/>
          </w:tcPr>
          <w:p w14:paraId="73D68D44"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08F671B4"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Y181C,K101E,G190A,V106VM</w:t>
            </w:r>
          </w:p>
        </w:tc>
        <w:tc>
          <w:tcPr>
            <w:tcW w:w="1314" w:type="pct"/>
            <w:noWrap/>
            <w:hideMark/>
          </w:tcPr>
          <w:p w14:paraId="7174AD93"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2C394D86"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75398C42"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41</w:t>
            </w:r>
          </w:p>
        </w:tc>
        <w:tc>
          <w:tcPr>
            <w:tcW w:w="1371" w:type="pct"/>
            <w:tcBorders>
              <w:left w:val="single" w:sz="4" w:space="0" w:color="auto"/>
            </w:tcBorders>
            <w:noWrap/>
            <w:hideMark/>
          </w:tcPr>
          <w:p w14:paraId="3BC6AB6D"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806" w:type="pct"/>
            <w:noWrap/>
            <w:hideMark/>
          </w:tcPr>
          <w:p w14:paraId="4FAB3A5B"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76EA930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P225H,K103N</w:t>
            </w:r>
          </w:p>
        </w:tc>
        <w:tc>
          <w:tcPr>
            <w:tcW w:w="1314" w:type="pct"/>
            <w:noWrap/>
            <w:hideMark/>
          </w:tcPr>
          <w:p w14:paraId="2016F81E"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5F20D21B"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2D5FD11E"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42</w:t>
            </w:r>
          </w:p>
        </w:tc>
        <w:tc>
          <w:tcPr>
            <w:tcW w:w="1371" w:type="pct"/>
            <w:tcBorders>
              <w:left w:val="single" w:sz="4" w:space="0" w:color="auto"/>
            </w:tcBorders>
            <w:noWrap/>
            <w:hideMark/>
          </w:tcPr>
          <w:p w14:paraId="4FE631A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M184V,K70KT,K65R</w:t>
            </w:r>
          </w:p>
        </w:tc>
        <w:tc>
          <w:tcPr>
            <w:tcW w:w="806" w:type="pct"/>
            <w:noWrap/>
            <w:hideMark/>
          </w:tcPr>
          <w:p w14:paraId="4D0BD7F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V75M,A62AV</w:t>
            </w:r>
          </w:p>
        </w:tc>
        <w:tc>
          <w:tcPr>
            <w:tcW w:w="1279" w:type="pct"/>
            <w:noWrap/>
            <w:hideMark/>
          </w:tcPr>
          <w:p w14:paraId="5A69FC9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Y188C,V106M</w:t>
            </w:r>
          </w:p>
        </w:tc>
        <w:tc>
          <w:tcPr>
            <w:tcW w:w="1314" w:type="pct"/>
            <w:noWrap/>
            <w:hideMark/>
          </w:tcPr>
          <w:p w14:paraId="2F0B49F4"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2FBF1EB6"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929460E"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43</w:t>
            </w:r>
          </w:p>
        </w:tc>
        <w:tc>
          <w:tcPr>
            <w:tcW w:w="1371" w:type="pct"/>
            <w:tcBorders>
              <w:left w:val="single" w:sz="4" w:space="0" w:color="auto"/>
            </w:tcBorders>
            <w:noWrap/>
            <w:hideMark/>
          </w:tcPr>
          <w:p w14:paraId="0F713E50"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06703186"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19288679"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P225H,K103N</w:t>
            </w:r>
          </w:p>
        </w:tc>
        <w:tc>
          <w:tcPr>
            <w:tcW w:w="1314" w:type="pct"/>
            <w:noWrap/>
            <w:hideMark/>
          </w:tcPr>
          <w:p w14:paraId="42BB8A8D"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V108I</w:t>
            </w:r>
          </w:p>
        </w:tc>
      </w:tr>
      <w:tr w:rsidR="00D52BE6" w:rsidRPr="008D536F" w14:paraId="0A326236"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5209FDA3"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lastRenderedPageBreak/>
              <w:t>44</w:t>
            </w:r>
          </w:p>
        </w:tc>
        <w:tc>
          <w:tcPr>
            <w:tcW w:w="1371" w:type="pct"/>
            <w:tcBorders>
              <w:left w:val="single" w:sz="4" w:space="0" w:color="auto"/>
            </w:tcBorders>
            <w:noWrap/>
            <w:hideMark/>
          </w:tcPr>
          <w:p w14:paraId="6454480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M184V,K65R</w:t>
            </w:r>
          </w:p>
        </w:tc>
        <w:tc>
          <w:tcPr>
            <w:tcW w:w="806" w:type="pct"/>
            <w:noWrap/>
            <w:hideMark/>
          </w:tcPr>
          <w:p w14:paraId="105C3160"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A62V</w:t>
            </w:r>
          </w:p>
        </w:tc>
        <w:tc>
          <w:tcPr>
            <w:tcW w:w="1279" w:type="pct"/>
            <w:noWrap/>
            <w:hideMark/>
          </w:tcPr>
          <w:p w14:paraId="3BDEFAE1"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Y188L,K103N</w:t>
            </w:r>
          </w:p>
        </w:tc>
        <w:tc>
          <w:tcPr>
            <w:tcW w:w="1314" w:type="pct"/>
            <w:noWrap/>
            <w:hideMark/>
          </w:tcPr>
          <w:p w14:paraId="744B5CC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3FADCF87"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49EE5C1A"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45</w:t>
            </w:r>
          </w:p>
        </w:tc>
        <w:tc>
          <w:tcPr>
            <w:tcW w:w="1371" w:type="pct"/>
            <w:tcBorders>
              <w:left w:val="single" w:sz="4" w:space="0" w:color="auto"/>
            </w:tcBorders>
            <w:noWrap/>
            <w:hideMark/>
          </w:tcPr>
          <w:p w14:paraId="58502AE9"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D67N,K70R,M184V</w:t>
            </w:r>
          </w:p>
        </w:tc>
        <w:tc>
          <w:tcPr>
            <w:tcW w:w="806" w:type="pct"/>
            <w:noWrap/>
            <w:hideMark/>
          </w:tcPr>
          <w:p w14:paraId="168B01D7"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K219Q</w:t>
            </w:r>
          </w:p>
        </w:tc>
        <w:tc>
          <w:tcPr>
            <w:tcW w:w="1279" w:type="pct"/>
            <w:noWrap/>
            <w:hideMark/>
          </w:tcPr>
          <w:p w14:paraId="6DD25CBC"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G190A,V106M,K101E</w:t>
            </w:r>
          </w:p>
        </w:tc>
        <w:tc>
          <w:tcPr>
            <w:tcW w:w="1314" w:type="pct"/>
            <w:noWrap/>
            <w:hideMark/>
          </w:tcPr>
          <w:p w14:paraId="3A3C8B0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F227L</w:t>
            </w:r>
          </w:p>
        </w:tc>
      </w:tr>
      <w:tr w:rsidR="00D52BE6" w:rsidRPr="008D536F" w14:paraId="480759E7"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9FF34EE"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46</w:t>
            </w:r>
          </w:p>
        </w:tc>
        <w:tc>
          <w:tcPr>
            <w:tcW w:w="1371" w:type="pct"/>
            <w:tcBorders>
              <w:left w:val="single" w:sz="4" w:space="0" w:color="auto"/>
            </w:tcBorders>
            <w:noWrap/>
            <w:hideMark/>
          </w:tcPr>
          <w:p w14:paraId="1E9E3B7F"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M184V,K70KE</w:t>
            </w:r>
          </w:p>
        </w:tc>
        <w:tc>
          <w:tcPr>
            <w:tcW w:w="806" w:type="pct"/>
            <w:noWrap/>
            <w:hideMark/>
          </w:tcPr>
          <w:p w14:paraId="375D30FB"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0D2CEFB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K101KE,Y188L,P225PH</w:t>
            </w:r>
          </w:p>
        </w:tc>
        <w:tc>
          <w:tcPr>
            <w:tcW w:w="1314" w:type="pct"/>
            <w:noWrap/>
            <w:hideMark/>
          </w:tcPr>
          <w:p w14:paraId="0FF513D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V106VI</w:t>
            </w:r>
          </w:p>
        </w:tc>
      </w:tr>
      <w:tr w:rsidR="00D52BE6" w:rsidRPr="008D536F" w14:paraId="2F633FBF"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5D10C63D"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47</w:t>
            </w:r>
          </w:p>
        </w:tc>
        <w:tc>
          <w:tcPr>
            <w:tcW w:w="1371" w:type="pct"/>
            <w:tcBorders>
              <w:left w:val="single" w:sz="4" w:space="0" w:color="auto"/>
            </w:tcBorders>
            <w:noWrap/>
            <w:hideMark/>
          </w:tcPr>
          <w:p w14:paraId="6791EB66"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64008EB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046F89C1"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Y181C,K101E,V106M,G190A</w:t>
            </w:r>
          </w:p>
        </w:tc>
        <w:tc>
          <w:tcPr>
            <w:tcW w:w="1314" w:type="pct"/>
            <w:noWrap/>
            <w:hideMark/>
          </w:tcPr>
          <w:p w14:paraId="460455FA"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40E64EF0"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0D9159C2"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48</w:t>
            </w:r>
          </w:p>
        </w:tc>
        <w:tc>
          <w:tcPr>
            <w:tcW w:w="1371" w:type="pct"/>
            <w:tcBorders>
              <w:left w:val="single" w:sz="4" w:space="0" w:color="auto"/>
            </w:tcBorders>
            <w:noWrap/>
            <w:hideMark/>
          </w:tcPr>
          <w:p w14:paraId="1C2D1303"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L74I,M184V</w:t>
            </w:r>
          </w:p>
        </w:tc>
        <w:tc>
          <w:tcPr>
            <w:tcW w:w="806" w:type="pct"/>
            <w:noWrap/>
            <w:hideMark/>
          </w:tcPr>
          <w:p w14:paraId="083F2206"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7909020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K103N,P225H</w:t>
            </w:r>
          </w:p>
        </w:tc>
        <w:tc>
          <w:tcPr>
            <w:tcW w:w="1314" w:type="pct"/>
            <w:noWrap/>
            <w:hideMark/>
          </w:tcPr>
          <w:p w14:paraId="69A02CDF"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A98G,H221Y,V108I</w:t>
            </w:r>
          </w:p>
        </w:tc>
      </w:tr>
      <w:tr w:rsidR="00D52BE6" w:rsidRPr="008D536F" w14:paraId="637F9A92"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5E6F248D"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49</w:t>
            </w:r>
          </w:p>
        </w:tc>
        <w:tc>
          <w:tcPr>
            <w:tcW w:w="1371" w:type="pct"/>
            <w:tcBorders>
              <w:left w:val="single" w:sz="4" w:space="0" w:color="auto"/>
            </w:tcBorders>
            <w:noWrap/>
            <w:hideMark/>
          </w:tcPr>
          <w:p w14:paraId="68DA2D7B"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w:t>
            </w:r>
          </w:p>
        </w:tc>
        <w:tc>
          <w:tcPr>
            <w:tcW w:w="806" w:type="pct"/>
            <w:noWrap/>
            <w:hideMark/>
          </w:tcPr>
          <w:p w14:paraId="150FB5FB"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16C5200C"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P225H,K103N</w:t>
            </w:r>
          </w:p>
        </w:tc>
        <w:tc>
          <w:tcPr>
            <w:tcW w:w="1314" w:type="pct"/>
            <w:noWrap/>
            <w:hideMark/>
          </w:tcPr>
          <w:p w14:paraId="236B393D"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674ED0E4"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3159C2D5"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50</w:t>
            </w:r>
          </w:p>
        </w:tc>
        <w:tc>
          <w:tcPr>
            <w:tcW w:w="1371" w:type="pct"/>
            <w:tcBorders>
              <w:left w:val="single" w:sz="4" w:space="0" w:color="auto"/>
            </w:tcBorders>
            <w:noWrap/>
            <w:hideMark/>
          </w:tcPr>
          <w:p w14:paraId="5B943F84"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K65R, T69Deletion</w:t>
            </w:r>
          </w:p>
        </w:tc>
        <w:tc>
          <w:tcPr>
            <w:tcW w:w="806" w:type="pct"/>
            <w:noWrap/>
            <w:hideMark/>
          </w:tcPr>
          <w:p w14:paraId="6155987F"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K219R,A62V</w:t>
            </w:r>
          </w:p>
        </w:tc>
        <w:tc>
          <w:tcPr>
            <w:tcW w:w="1279" w:type="pct"/>
            <w:noWrap/>
            <w:hideMark/>
          </w:tcPr>
          <w:p w14:paraId="2BC82F68"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K103N,V106M</w:t>
            </w:r>
          </w:p>
        </w:tc>
        <w:tc>
          <w:tcPr>
            <w:tcW w:w="1314" w:type="pct"/>
            <w:noWrap/>
            <w:hideMark/>
          </w:tcPr>
          <w:p w14:paraId="39CF7881"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5280C4D4"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55B0A779"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51</w:t>
            </w:r>
          </w:p>
        </w:tc>
        <w:tc>
          <w:tcPr>
            <w:tcW w:w="1371" w:type="pct"/>
            <w:tcBorders>
              <w:left w:val="single" w:sz="4" w:space="0" w:color="auto"/>
            </w:tcBorders>
            <w:noWrap/>
            <w:hideMark/>
          </w:tcPr>
          <w:p w14:paraId="7515B554"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M184V,K70Q</w:t>
            </w:r>
          </w:p>
        </w:tc>
        <w:tc>
          <w:tcPr>
            <w:tcW w:w="806" w:type="pct"/>
            <w:noWrap/>
            <w:hideMark/>
          </w:tcPr>
          <w:p w14:paraId="5CDA58B1"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3F895DD6"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w:t>
            </w:r>
          </w:p>
        </w:tc>
        <w:tc>
          <w:tcPr>
            <w:tcW w:w="1314" w:type="pct"/>
            <w:noWrap/>
            <w:hideMark/>
          </w:tcPr>
          <w:p w14:paraId="13E1A4ED"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V108I,E138Q,L234LI</w:t>
            </w:r>
          </w:p>
        </w:tc>
      </w:tr>
      <w:tr w:rsidR="00D52BE6" w:rsidRPr="008D536F" w14:paraId="01E1CBB4"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310BE3B7"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52</w:t>
            </w:r>
          </w:p>
        </w:tc>
        <w:tc>
          <w:tcPr>
            <w:tcW w:w="1371" w:type="pct"/>
            <w:tcBorders>
              <w:left w:val="single" w:sz="4" w:space="0" w:color="auto"/>
            </w:tcBorders>
            <w:noWrap/>
            <w:hideMark/>
          </w:tcPr>
          <w:p w14:paraId="302BB022"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D67N,M184V,K70R</w:t>
            </w:r>
          </w:p>
        </w:tc>
        <w:tc>
          <w:tcPr>
            <w:tcW w:w="806" w:type="pct"/>
            <w:noWrap/>
            <w:hideMark/>
          </w:tcPr>
          <w:p w14:paraId="1710DB3A"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K219E</w:t>
            </w:r>
          </w:p>
        </w:tc>
        <w:tc>
          <w:tcPr>
            <w:tcW w:w="1279" w:type="pct"/>
            <w:noWrap/>
            <w:hideMark/>
          </w:tcPr>
          <w:p w14:paraId="7CB6EF7F"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P225H,K103N</w:t>
            </w:r>
          </w:p>
        </w:tc>
        <w:tc>
          <w:tcPr>
            <w:tcW w:w="1314" w:type="pct"/>
            <w:noWrap/>
            <w:hideMark/>
          </w:tcPr>
          <w:p w14:paraId="110EDA85"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19790E67"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 w:type="pct"/>
            <w:tcBorders>
              <w:right w:val="single" w:sz="4" w:space="0" w:color="auto"/>
            </w:tcBorders>
            <w:noWrap/>
            <w:hideMark/>
          </w:tcPr>
          <w:p w14:paraId="4E507262"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53</w:t>
            </w:r>
          </w:p>
        </w:tc>
        <w:tc>
          <w:tcPr>
            <w:tcW w:w="1371" w:type="pct"/>
            <w:tcBorders>
              <w:left w:val="single" w:sz="4" w:space="0" w:color="auto"/>
            </w:tcBorders>
            <w:noWrap/>
            <w:hideMark/>
          </w:tcPr>
          <w:p w14:paraId="7F410A11"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806" w:type="pct"/>
            <w:noWrap/>
            <w:hideMark/>
          </w:tcPr>
          <w:p w14:paraId="7D2C37AA"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279" w:type="pct"/>
            <w:noWrap/>
            <w:hideMark/>
          </w:tcPr>
          <w:p w14:paraId="246080F3"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c>
          <w:tcPr>
            <w:tcW w:w="1314" w:type="pct"/>
            <w:noWrap/>
            <w:hideMark/>
          </w:tcPr>
          <w:p w14:paraId="253FBE6C" w14:textId="77777777" w:rsidR="00D52BE6" w:rsidRPr="008D536F" w:rsidRDefault="00D52BE6" w:rsidP="00F92C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184F999B" w14:textId="77777777" w:rsidTr="007F469B">
        <w:trPr>
          <w:trHeight w:val="227"/>
        </w:trPr>
        <w:tc>
          <w:tcPr>
            <w:cnfStyle w:val="001000000000" w:firstRow="0" w:lastRow="0" w:firstColumn="1" w:lastColumn="0" w:oddVBand="0" w:evenVBand="0" w:oddHBand="0" w:evenHBand="0" w:firstRowFirstColumn="0" w:firstRowLastColumn="0" w:lastRowFirstColumn="0" w:lastRowLastColumn="0"/>
            <w:tcW w:w="230" w:type="pct"/>
            <w:tcBorders>
              <w:bottom w:val="single" w:sz="4" w:space="0" w:color="auto"/>
              <w:right w:val="single" w:sz="4" w:space="0" w:color="auto"/>
            </w:tcBorders>
            <w:noWrap/>
            <w:hideMark/>
          </w:tcPr>
          <w:p w14:paraId="542A3EBD" w14:textId="77777777" w:rsidR="00D52BE6" w:rsidRPr="008D536F" w:rsidRDefault="00D52BE6" w:rsidP="00F92C9B">
            <w:pPr>
              <w:spacing w:after="0" w:line="240" w:lineRule="auto"/>
              <w:rPr>
                <w:rFonts w:ascii="Times New Roman" w:eastAsia="Times New Roman" w:hAnsi="Times New Roman"/>
                <w:sz w:val="20"/>
                <w:szCs w:val="20"/>
                <w:lang w:eastAsia="en-GB"/>
              </w:rPr>
            </w:pPr>
            <w:r w:rsidRPr="008D536F">
              <w:rPr>
                <w:rFonts w:ascii="Times New Roman" w:eastAsia="Times New Roman" w:hAnsi="Times New Roman"/>
                <w:lang w:eastAsia="en-GB"/>
              </w:rPr>
              <w:t>54</w:t>
            </w:r>
          </w:p>
        </w:tc>
        <w:tc>
          <w:tcPr>
            <w:tcW w:w="1371" w:type="pct"/>
            <w:tcBorders>
              <w:left w:val="single" w:sz="4" w:space="0" w:color="auto"/>
              <w:bottom w:val="single" w:sz="4" w:space="0" w:color="auto"/>
            </w:tcBorders>
            <w:noWrap/>
            <w:hideMark/>
          </w:tcPr>
          <w:p w14:paraId="73B5B0C6"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L74LI,M184V,K65KR,K70KN</w:t>
            </w:r>
          </w:p>
        </w:tc>
        <w:tc>
          <w:tcPr>
            <w:tcW w:w="806" w:type="pct"/>
            <w:tcBorders>
              <w:bottom w:val="single" w:sz="4" w:space="0" w:color="auto"/>
            </w:tcBorders>
            <w:noWrap/>
            <w:hideMark/>
          </w:tcPr>
          <w:p w14:paraId="1C4B8D26"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c>
          <w:tcPr>
            <w:tcW w:w="1279" w:type="pct"/>
            <w:tcBorders>
              <w:bottom w:val="single" w:sz="4" w:space="0" w:color="auto"/>
            </w:tcBorders>
            <w:noWrap/>
            <w:hideMark/>
          </w:tcPr>
          <w:p w14:paraId="1972AFF7"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r w:rsidRPr="008D536F">
              <w:rPr>
                <w:rFonts w:ascii="Times New Roman" w:eastAsia="Times New Roman" w:hAnsi="Times New Roman"/>
                <w:sz w:val="20"/>
                <w:szCs w:val="20"/>
                <w:lang w:eastAsia="en-GB"/>
              </w:rPr>
              <w:t>K103N,P225H</w:t>
            </w:r>
          </w:p>
        </w:tc>
        <w:tc>
          <w:tcPr>
            <w:tcW w:w="1314" w:type="pct"/>
            <w:tcBorders>
              <w:bottom w:val="single" w:sz="4" w:space="0" w:color="auto"/>
            </w:tcBorders>
            <w:noWrap/>
            <w:hideMark/>
          </w:tcPr>
          <w:p w14:paraId="5FD5634E" w14:textId="77777777" w:rsidR="00D52BE6" w:rsidRPr="008D536F" w:rsidRDefault="00D52BE6" w:rsidP="00F92C9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GB"/>
              </w:rPr>
            </w:pPr>
          </w:p>
        </w:tc>
      </w:tr>
      <w:tr w:rsidR="00D52BE6" w:rsidRPr="008D536F" w14:paraId="4DDD0A90" w14:textId="77777777" w:rsidTr="007F46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right w:val="single" w:sz="4" w:space="0" w:color="F2F2F2" w:themeColor="background1" w:themeShade="F2"/>
            </w:tcBorders>
            <w:noWrap/>
          </w:tcPr>
          <w:p w14:paraId="40C482DC" w14:textId="77777777" w:rsidR="00D52BE6" w:rsidRPr="008D536F" w:rsidRDefault="00D52BE6" w:rsidP="00F92C9B">
            <w:pPr>
              <w:spacing w:after="0" w:line="240" w:lineRule="auto"/>
              <w:rPr>
                <w:rFonts w:ascii="Times New Roman" w:eastAsia="Times New Roman" w:hAnsi="Times New Roman"/>
                <w:b w:val="0"/>
                <w:bCs w:val="0"/>
                <w:sz w:val="20"/>
                <w:szCs w:val="20"/>
                <w:lang w:eastAsia="en-GB"/>
              </w:rPr>
            </w:pPr>
            <w:r w:rsidRPr="008D536F">
              <w:rPr>
                <w:rFonts w:ascii="Times New Roman" w:eastAsia="Times New Roman" w:hAnsi="Times New Roman"/>
                <w:b w:val="0"/>
                <w:bCs w:val="0"/>
                <w:caps w:val="0"/>
                <w:sz w:val="20"/>
                <w:szCs w:val="20"/>
                <w:lang w:eastAsia="en-GB"/>
              </w:rPr>
              <w:t>Major and minor mutations as defined by the Stanford university resistance database (last updated 2019-07</w:t>
            </w:r>
            <w:r w:rsidRPr="008D536F">
              <w:rPr>
                <w:rFonts w:ascii="Times New Roman" w:eastAsia="Times New Roman" w:hAnsi="Times New Roman"/>
                <w:b w:val="0"/>
                <w:bCs w:val="0"/>
                <w:sz w:val="20"/>
                <w:szCs w:val="20"/>
                <w:lang w:eastAsia="en-GB"/>
              </w:rPr>
              <w:t>-31)</w:t>
            </w:r>
            <w:r w:rsidRPr="008D536F">
              <w:rPr>
                <w:rFonts w:ascii="Times New Roman" w:hAnsi="Times New Roman"/>
                <w:sz w:val="18"/>
                <w:szCs w:val="18"/>
              </w:rPr>
              <w:fldChar w:fldCharType="begin" w:fldLock="1"/>
            </w:r>
            <w:r w:rsidRPr="008D536F">
              <w:rPr>
                <w:rFonts w:ascii="Times New Roman" w:hAnsi="Times New Roman"/>
                <w:b w:val="0"/>
                <w:bCs w:val="0"/>
                <w:sz w:val="18"/>
                <w:szCs w:val="18"/>
              </w:rPr>
              <w:instrText>ADDIN CSL_CITATION {"citationItems":[{"id":"ITEM-1","itemData":{"URL":"https://hivdb.stanford.edu/page/release-notes/","abstract":"A curated database containing nearly all published HIV RT and protease sequences: a resource designed for researchers studying evolutionary and drug-related variation in the molecular targets of anti-HIV therapy.","accessed":{"date-parts":[["2020","9","4"]]},"author":[{"dropping-particle":"","family":"Stanford University","given":"","non-dropping-particle":"","parse-names":false,"suffix":""}],"container-title":"HIV Drug Resistance Database","id":"ITEM-1","issued":{"date-parts":[["2020"]]},"title":"DRM penalty scores and resistance interpretation","type":"webpage"},"uris":["http://www.mendeley.com/documents/?uuid=dbb0776a-41b2-4e89-a3f1-7c3515e2ade7"]}],"mendeley":{"formattedCitation":"&lt;sup&gt;3&lt;/sup&gt;","plainTextFormattedCitation":"3","previouslyFormattedCitation":"&lt;sup&gt;1&lt;/sup&gt;"},"properties":{"noteIndex":0},"schema":"https://github.com/citation-style-language/schema/raw/master/csl-citation.json"}</w:instrText>
            </w:r>
            <w:r w:rsidRPr="008D536F">
              <w:rPr>
                <w:rFonts w:ascii="Times New Roman" w:hAnsi="Times New Roman"/>
                <w:sz w:val="18"/>
                <w:szCs w:val="18"/>
              </w:rPr>
              <w:fldChar w:fldCharType="separate"/>
            </w:r>
            <w:r w:rsidRPr="008D536F">
              <w:rPr>
                <w:rFonts w:ascii="Times New Roman" w:hAnsi="Times New Roman"/>
                <w:b w:val="0"/>
                <w:bCs w:val="0"/>
                <w:noProof/>
                <w:sz w:val="18"/>
                <w:szCs w:val="18"/>
                <w:vertAlign w:val="superscript"/>
              </w:rPr>
              <w:t>3</w:t>
            </w:r>
            <w:r w:rsidRPr="008D536F">
              <w:rPr>
                <w:rFonts w:ascii="Times New Roman" w:hAnsi="Times New Roman"/>
                <w:sz w:val="18"/>
                <w:szCs w:val="18"/>
              </w:rPr>
              <w:fldChar w:fldCharType="end"/>
            </w:r>
          </w:p>
        </w:tc>
      </w:tr>
    </w:tbl>
    <w:p w14:paraId="2427279C" w14:textId="0D274991" w:rsidR="00D52BE6" w:rsidRPr="008D536F" w:rsidRDefault="00D52BE6" w:rsidP="00D52BE6">
      <w:pPr>
        <w:rPr>
          <w:rFonts w:ascii="Times New Roman" w:hAnsi="Times New Roman"/>
        </w:rPr>
      </w:pPr>
    </w:p>
    <w:p w14:paraId="373DF480" w14:textId="77777777" w:rsidR="00D52BE6" w:rsidRPr="008D536F" w:rsidRDefault="00D52BE6" w:rsidP="00D52BE6">
      <w:pPr>
        <w:rPr>
          <w:rFonts w:ascii="Times New Roman" w:hAnsi="Times New Roman"/>
        </w:rPr>
      </w:pPr>
    </w:p>
    <w:p w14:paraId="2487ECBA" w14:textId="77777777" w:rsidR="00801D6D" w:rsidRPr="008D536F" w:rsidRDefault="00801D6D" w:rsidP="00801D6D">
      <w:pPr>
        <w:rPr>
          <w:rFonts w:ascii="Times New Roman" w:hAnsi="Times New Roman"/>
        </w:rPr>
      </w:pPr>
    </w:p>
    <w:p w14:paraId="0D914EE6" w14:textId="77777777" w:rsidR="00801D6D" w:rsidRPr="008D536F" w:rsidRDefault="00801D6D" w:rsidP="00801D6D">
      <w:pPr>
        <w:rPr>
          <w:rFonts w:ascii="Times New Roman" w:hAnsi="Times New Roman"/>
        </w:rPr>
      </w:pPr>
    </w:p>
    <w:p w14:paraId="76E866DB" w14:textId="77777777" w:rsidR="00801D6D" w:rsidRPr="008D536F" w:rsidRDefault="00801D6D" w:rsidP="00B554C0">
      <w:pPr>
        <w:rPr>
          <w:rFonts w:ascii="Times New Roman" w:hAnsi="Times New Roman"/>
        </w:rPr>
      </w:pPr>
    </w:p>
    <w:p w14:paraId="763D0364" w14:textId="77777777" w:rsidR="00B554C0" w:rsidRPr="008D536F" w:rsidRDefault="00B554C0">
      <w:pPr>
        <w:spacing w:after="160" w:line="259" w:lineRule="auto"/>
        <w:rPr>
          <w:rFonts w:ascii="Times New Roman" w:hAnsi="Times New Roman"/>
        </w:rPr>
      </w:pPr>
      <w:r w:rsidRPr="008D536F">
        <w:rPr>
          <w:rFonts w:ascii="Times New Roman" w:hAnsi="Times New Roman"/>
        </w:rPr>
        <w:br w:type="page"/>
      </w:r>
    </w:p>
    <w:p w14:paraId="0285B8C7" w14:textId="211ACA46" w:rsidR="0065530E" w:rsidRPr="008D536F" w:rsidRDefault="0065530E" w:rsidP="0065530E">
      <w:pPr>
        <w:pStyle w:val="Caption"/>
        <w:spacing w:after="0"/>
        <w:rPr>
          <w:rFonts w:ascii="Times New Roman" w:hAnsi="Times New Roman"/>
          <w:b w:val="0"/>
          <w:bCs w:val="0"/>
          <w:sz w:val="22"/>
          <w:szCs w:val="22"/>
        </w:rPr>
      </w:pPr>
      <w:bookmarkStart w:id="3" w:name="_Ref51955837"/>
      <w:bookmarkStart w:id="4" w:name="_Toc51959368"/>
      <w:bookmarkStart w:id="5" w:name="_Hlk59021939"/>
      <w:r w:rsidRPr="008D536F">
        <w:rPr>
          <w:rFonts w:ascii="Times New Roman" w:hAnsi="Times New Roman"/>
          <w:b w:val="0"/>
          <w:bCs w:val="0"/>
          <w:sz w:val="22"/>
          <w:szCs w:val="22"/>
        </w:rPr>
        <w:lastRenderedPageBreak/>
        <w:t xml:space="preserve">Table </w:t>
      </w:r>
      <w:bookmarkEnd w:id="3"/>
      <w:r w:rsidR="00887EBA" w:rsidRPr="008D536F">
        <w:rPr>
          <w:rFonts w:ascii="Times New Roman" w:hAnsi="Times New Roman"/>
          <w:b w:val="0"/>
          <w:bCs w:val="0"/>
          <w:sz w:val="22"/>
          <w:szCs w:val="22"/>
        </w:rPr>
        <w:t>2</w:t>
      </w:r>
      <w:r w:rsidR="00B076F1" w:rsidRPr="008D536F">
        <w:rPr>
          <w:rFonts w:ascii="Times New Roman" w:hAnsi="Times New Roman"/>
          <w:b w:val="0"/>
          <w:bCs w:val="0"/>
          <w:sz w:val="22"/>
          <w:szCs w:val="22"/>
        </w:rPr>
        <w:t>.</w:t>
      </w:r>
      <w:r w:rsidRPr="008D536F">
        <w:rPr>
          <w:rFonts w:ascii="Times New Roman" w:hAnsi="Times New Roman"/>
          <w:b w:val="0"/>
          <w:bCs w:val="0"/>
          <w:sz w:val="22"/>
          <w:szCs w:val="22"/>
        </w:rPr>
        <w:t xml:space="preserve"> </w:t>
      </w:r>
      <w:bookmarkEnd w:id="4"/>
      <w:r w:rsidR="00537090" w:rsidRPr="008D536F">
        <w:rPr>
          <w:rFonts w:ascii="Times New Roman" w:hAnsi="Times New Roman"/>
          <w:b w:val="0"/>
          <w:bCs w:val="0"/>
          <w:sz w:val="22"/>
          <w:szCs w:val="22"/>
        </w:rPr>
        <w:t>Outcomes for p</w:t>
      </w:r>
      <w:r w:rsidR="00B97772" w:rsidRPr="008D536F">
        <w:rPr>
          <w:rFonts w:ascii="Times New Roman" w:hAnsi="Times New Roman"/>
          <w:b w:val="0"/>
          <w:bCs w:val="0"/>
          <w:sz w:val="22"/>
          <w:szCs w:val="22"/>
        </w:rPr>
        <w:t xml:space="preserve">articipants not suppressed </w:t>
      </w:r>
      <w:r w:rsidR="00AE1436" w:rsidRPr="008D536F">
        <w:rPr>
          <w:rFonts w:ascii="Times New Roman" w:hAnsi="Times New Roman"/>
          <w:b w:val="0"/>
          <w:bCs w:val="0"/>
          <w:sz w:val="22"/>
          <w:szCs w:val="22"/>
        </w:rPr>
        <w:t>(</w:t>
      </w:r>
      <w:r w:rsidR="001A6C75" w:rsidRPr="008D536F">
        <w:rPr>
          <w:rFonts w:ascii="Times New Roman" w:hAnsi="Times New Roman"/>
          <w:b w:val="0"/>
          <w:bCs w:val="0"/>
          <w:sz w:val="22"/>
          <w:szCs w:val="22"/>
        </w:rPr>
        <w:t xml:space="preserve">viral load </w:t>
      </w:r>
      <w:r w:rsidR="00AE1436" w:rsidRPr="008D536F">
        <w:rPr>
          <w:rFonts w:ascii="Times New Roman" w:hAnsi="Times New Roman"/>
          <w:b w:val="0"/>
          <w:bCs w:val="0"/>
          <w:sz w:val="22"/>
          <w:szCs w:val="22"/>
        </w:rPr>
        <w:t>[</w:t>
      </w:r>
      <w:r w:rsidR="00B97772" w:rsidRPr="008D536F">
        <w:rPr>
          <w:rFonts w:ascii="Times New Roman" w:hAnsi="Times New Roman"/>
          <w:b w:val="0"/>
          <w:bCs w:val="0"/>
          <w:sz w:val="22"/>
          <w:szCs w:val="22"/>
        </w:rPr>
        <w:t>VL</w:t>
      </w:r>
      <w:r w:rsidR="00AE1436" w:rsidRPr="008D536F">
        <w:rPr>
          <w:rFonts w:ascii="Times New Roman" w:hAnsi="Times New Roman"/>
          <w:b w:val="0"/>
          <w:bCs w:val="0"/>
          <w:sz w:val="22"/>
          <w:szCs w:val="22"/>
        </w:rPr>
        <w:t>]</w:t>
      </w:r>
      <w:r w:rsidR="001A6C75" w:rsidRPr="008D536F">
        <w:rPr>
          <w:rFonts w:ascii="Times New Roman" w:hAnsi="Times New Roman"/>
          <w:b w:val="0"/>
          <w:bCs w:val="0"/>
          <w:sz w:val="22"/>
          <w:szCs w:val="22"/>
        </w:rPr>
        <w:t xml:space="preserve"> </w:t>
      </w:r>
      <w:r w:rsidR="00B97772" w:rsidRPr="008D536F">
        <w:rPr>
          <w:rFonts w:ascii="Times New Roman" w:hAnsi="Times New Roman"/>
          <w:b w:val="0"/>
          <w:bCs w:val="0"/>
          <w:sz w:val="22"/>
          <w:szCs w:val="22"/>
        </w:rPr>
        <w:t>&lt;50 copies/mL</w:t>
      </w:r>
      <w:r w:rsidR="00AE1436" w:rsidRPr="008D536F">
        <w:rPr>
          <w:rFonts w:ascii="Times New Roman" w:hAnsi="Times New Roman"/>
          <w:b w:val="0"/>
          <w:bCs w:val="0"/>
          <w:sz w:val="22"/>
          <w:szCs w:val="22"/>
        </w:rPr>
        <w:t>)</w:t>
      </w:r>
      <w:r w:rsidR="00A17D6D" w:rsidRPr="008D536F">
        <w:rPr>
          <w:rFonts w:ascii="Times New Roman" w:hAnsi="Times New Roman"/>
          <w:b w:val="0"/>
          <w:bCs w:val="0"/>
          <w:sz w:val="22"/>
          <w:szCs w:val="22"/>
        </w:rPr>
        <w:t xml:space="preserve"> using the </w:t>
      </w:r>
      <w:r w:rsidR="008F2F7F" w:rsidRPr="008D536F">
        <w:rPr>
          <w:rFonts w:ascii="Times New Roman" w:hAnsi="Times New Roman"/>
          <w:b w:val="0"/>
          <w:bCs w:val="0"/>
          <w:sz w:val="22"/>
          <w:szCs w:val="22"/>
        </w:rPr>
        <w:t>modified intention-to-treat</w:t>
      </w:r>
      <w:r w:rsidR="006D22A7" w:rsidRPr="008D536F">
        <w:rPr>
          <w:rFonts w:ascii="Times New Roman" w:hAnsi="Times New Roman"/>
          <w:b w:val="0"/>
          <w:bCs w:val="0"/>
          <w:sz w:val="22"/>
          <w:szCs w:val="22"/>
        </w:rPr>
        <w:t xml:space="preserve"> </w:t>
      </w:r>
      <w:r w:rsidR="00A17D6D" w:rsidRPr="008D536F">
        <w:rPr>
          <w:rFonts w:ascii="Times New Roman" w:hAnsi="Times New Roman"/>
          <w:b w:val="0"/>
          <w:bCs w:val="0"/>
          <w:sz w:val="22"/>
          <w:szCs w:val="22"/>
        </w:rPr>
        <w:t>analysis</w:t>
      </w:r>
      <w:r w:rsidR="00537090" w:rsidRPr="008D536F">
        <w:rPr>
          <w:rFonts w:ascii="Times New Roman" w:hAnsi="Times New Roman"/>
          <w:b w:val="0"/>
          <w:bCs w:val="0"/>
          <w:sz w:val="22"/>
          <w:szCs w:val="22"/>
        </w:rPr>
        <w:t xml:space="preserve"> at week</w:t>
      </w:r>
      <w:r w:rsidR="006D22A7" w:rsidRPr="008D536F">
        <w:rPr>
          <w:rFonts w:ascii="Times New Roman" w:hAnsi="Times New Roman"/>
          <w:b w:val="0"/>
          <w:bCs w:val="0"/>
          <w:sz w:val="22"/>
          <w:szCs w:val="22"/>
        </w:rPr>
        <w:t xml:space="preserve"> 24</w:t>
      </w:r>
    </w:p>
    <w:p w14:paraId="1BCE99F4" w14:textId="77777777" w:rsidR="00AE1436" w:rsidRPr="008D536F" w:rsidRDefault="00AE1436" w:rsidP="00AE1436">
      <w:pPr>
        <w:rPr>
          <w:rFonts w:ascii="Times New Roman" w:hAnsi="Times New Roman"/>
        </w:rPr>
      </w:pPr>
    </w:p>
    <w:tbl>
      <w:tblPr>
        <w:tblStyle w:val="PlainTable3"/>
        <w:tblW w:w="5000" w:type="pct"/>
        <w:tblLook w:val="04A0" w:firstRow="1" w:lastRow="0" w:firstColumn="1" w:lastColumn="0" w:noHBand="0" w:noVBand="1"/>
      </w:tblPr>
      <w:tblGrid>
        <w:gridCol w:w="4131"/>
        <w:gridCol w:w="1820"/>
        <w:gridCol w:w="4135"/>
      </w:tblGrid>
      <w:tr w:rsidR="00B644D1" w:rsidRPr="008D536F" w14:paraId="554F2A99" w14:textId="5540A01C" w:rsidTr="007F46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8" w:type="pct"/>
            <w:tcBorders>
              <w:top w:val="single" w:sz="4" w:space="0" w:color="auto"/>
              <w:bottom w:val="single" w:sz="4" w:space="0" w:color="auto"/>
            </w:tcBorders>
          </w:tcPr>
          <w:bookmarkEnd w:id="5"/>
          <w:p w14:paraId="0FA3ADC0" w14:textId="115AF87C" w:rsidR="00B644D1" w:rsidRPr="008D536F" w:rsidRDefault="000B45AD" w:rsidP="0013431B">
            <w:pPr>
              <w:spacing w:after="0"/>
              <w:rPr>
                <w:rFonts w:ascii="Times New Roman" w:hAnsi="Times New Roman"/>
                <w:b w:val="0"/>
                <w:bCs w:val="0"/>
                <w:lang w:val="fr-BE"/>
              </w:rPr>
            </w:pPr>
            <w:proofErr w:type="spellStart"/>
            <w:r w:rsidRPr="008D536F">
              <w:rPr>
                <w:rFonts w:ascii="Times New Roman" w:hAnsi="Times New Roman"/>
                <w:b w:val="0"/>
                <w:bCs w:val="0"/>
                <w:caps w:val="0"/>
                <w:lang w:val="fr-BE"/>
              </w:rPr>
              <w:t>Outcome</w:t>
            </w:r>
            <w:proofErr w:type="spellEnd"/>
          </w:p>
        </w:tc>
        <w:tc>
          <w:tcPr>
            <w:tcW w:w="902" w:type="pct"/>
            <w:tcBorders>
              <w:top w:val="single" w:sz="4" w:space="0" w:color="auto"/>
              <w:bottom w:val="single" w:sz="4" w:space="0" w:color="auto"/>
            </w:tcBorders>
          </w:tcPr>
          <w:p w14:paraId="154D6602" w14:textId="076FB90E" w:rsidR="00B644D1" w:rsidRPr="008D536F" w:rsidRDefault="00A17D6D" w:rsidP="0013431B">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8D536F">
              <w:rPr>
                <w:rFonts w:ascii="Times New Roman" w:hAnsi="Times New Roman"/>
                <w:b w:val="0"/>
                <w:bCs w:val="0"/>
              </w:rPr>
              <w:t>N(%)</w:t>
            </w:r>
          </w:p>
        </w:tc>
        <w:tc>
          <w:tcPr>
            <w:tcW w:w="2050" w:type="pct"/>
            <w:tcBorders>
              <w:top w:val="single" w:sz="4" w:space="0" w:color="auto"/>
              <w:bottom w:val="single" w:sz="4" w:space="0" w:color="auto"/>
            </w:tcBorders>
          </w:tcPr>
          <w:p w14:paraId="2B4B3C1F" w14:textId="627B69DE" w:rsidR="00B644D1" w:rsidRPr="008D536F" w:rsidRDefault="00A17D6D" w:rsidP="0013431B">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8D536F">
              <w:rPr>
                <w:rFonts w:ascii="Times New Roman" w:hAnsi="Times New Roman"/>
                <w:b w:val="0"/>
                <w:bCs w:val="0"/>
              </w:rPr>
              <w:t>D</w:t>
            </w:r>
            <w:r w:rsidR="000B45AD" w:rsidRPr="008D536F">
              <w:rPr>
                <w:rFonts w:ascii="Times New Roman" w:hAnsi="Times New Roman"/>
                <w:b w:val="0"/>
                <w:bCs w:val="0"/>
                <w:caps w:val="0"/>
              </w:rPr>
              <w:t>etails</w:t>
            </w:r>
          </w:p>
        </w:tc>
      </w:tr>
      <w:tr w:rsidR="00864EE4" w:rsidRPr="008D536F" w14:paraId="473630C2" w14:textId="77777777" w:rsidTr="007F4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pct"/>
            <w:tcBorders>
              <w:top w:val="single" w:sz="4" w:space="0" w:color="auto"/>
              <w:right w:val="single" w:sz="4" w:space="0" w:color="auto"/>
            </w:tcBorders>
          </w:tcPr>
          <w:p w14:paraId="76039A28" w14:textId="39091D67" w:rsidR="00864EE4" w:rsidRPr="008D536F" w:rsidRDefault="001A6C75" w:rsidP="00864EE4">
            <w:pPr>
              <w:spacing w:after="0"/>
              <w:rPr>
                <w:rFonts w:ascii="Times New Roman" w:hAnsi="Times New Roman"/>
                <w:b w:val="0"/>
                <w:bCs w:val="0"/>
                <w:lang w:val="fr-BE"/>
              </w:rPr>
            </w:pPr>
            <w:r w:rsidRPr="008D536F">
              <w:rPr>
                <w:rFonts w:ascii="Times New Roman" w:hAnsi="Times New Roman"/>
                <w:b w:val="0"/>
                <w:bCs w:val="0"/>
                <w:caps w:val="0"/>
                <w:lang w:val="fr-BE"/>
              </w:rPr>
              <w:t>VL &gt;1000 copies/ml</w:t>
            </w:r>
          </w:p>
        </w:tc>
        <w:tc>
          <w:tcPr>
            <w:tcW w:w="902" w:type="pct"/>
            <w:tcBorders>
              <w:top w:val="single" w:sz="4" w:space="0" w:color="auto"/>
              <w:left w:val="single" w:sz="4" w:space="0" w:color="auto"/>
            </w:tcBorders>
          </w:tcPr>
          <w:p w14:paraId="033DE580" w14:textId="48A98FB7" w:rsidR="00864EE4" w:rsidRPr="008D536F" w:rsidRDefault="00864EE4" w:rsidP="00864EE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8D536F">
              <w:rPr>
                <w:rFonts w:ascii="Times New Roman" w:hAnsi="Times New Roman"/>
                <w:bCs/>
              </w:rPr>
              <w:t>0/60 (0%)</w:t>
            </w:r>
          </w:p>
        </w:tc>
        <w:tc>
          <w:tcPr>
            <w:tcW w:w="2050" w:type="pct"/>
            <w:tcBorders>
              <w:top w:val="single" w:sz="4" w:space="0" w:color="auto"/>
            </w:tcBorders>
          </w:tcPr>
          <w:p w14:paraId="789A0170" w14:textId="77777777" w:rsidR="00864EE4" w:rsidRPr="008D536F" w:rsidRDefault="00864EE4" w:rsidP="00864EE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864EE4" w:rsidRPr="008D536F" w14:paraId="677D80A0" w14:textId="77777777" w:rsidTr="007F469B">
        <w:tc>
          <w:tcPr>
            <w:cnfStyle w:val="001000000000" w:firstRow="0" w:lastRow="0" w:firstColumn="1" w:lastColumn="0" w:oddVBand="0" w:evenVBand="0" w:oddHBand="0" w:evenHBand="0" w:firstRowFirstColumn="0" w:firstRowLastColumn="0" w:lastRowFirstColumn="0" w:lastRowLastColumn="0"/>
            <w:tcW w:w="2048" w:type="pct"/>
            <w:tcBorders>
              <w:right w:val="single" w:sz="4" w:space="0" w:color="auto"/>
            </w:tcBorders>
          </w:tcPr>
          <w:p w14:paraId="543274DE" w14:textId="4D4DF971" w:rsidR="00864EE4" w:rsidRPr="008D536F" w:rsidRDefault="001A6C75" w:rsidP="00864EE4">
            <w:pPr>
              <w:spacing w:after="0"/>
              <w:rPr>
                <w:rFonts w:ascii="Times New Roman" w:hAnsi="Times New Roman"/>
                <w:b w:val="0"/>
                <w:bCs w:val="0"/>
                <w:lang w:val="fr-BE"/>
              </w:rPr>
            </w:pPr>
            <w:r w:rsidRPr="008D536F">
              <w:rPr>
                <w:rFonts w:ascii="Times New Roman" w:hAnsi="Times New Roman"/>
                <w:b w:val="0"/>
                <w:bCs w:val="0"/>
                <w:caps w:val="0"/>
                <w:lang w:val="fr-BE"/>
              </w:rPr>
              <w:t>VL 50-1000 copies/ml</w:t>
            </w:r>
          </w:p>
        </w:tc>
        <w:tc>
          <w:tcPr>
            <w:tcW w:w="902" w:type="pct"/>
            <w:tcBorders>
              <w:left w:val="single" w:sz="4" w:space="0" w:color="auto"/>
            </w:tcBorders>
          </w:tcPr>
          <w:p w14:paraId="2EBA5C1D" w14:textId="5DC7A5DA" w:rsidR="00864EE4" w:rsidRPr="008D536F" w:rsidRDefault="00864EE4" w:rsidP="00864EE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8D536F">
              <w:rPr>
                <w:rFonts w:ascii="Times New Roman" w:hAnsi="Times New Roman"/>
                <w:bCs/>
              </w:rPr>
              <w:t>7/60 (12%)</w:t>
            </w:r>
          </w:p>
        </w:tc>
        <w:tc>
          <w:tcPr>
            <w:tcW w:w="2050" w:type="pct"/>
          </w:tcPr>
          <w:p w14:paraId="3E6C9ADA" w14:textId="31DB1FFB" w:rsidR="00864EE4" w:rsidRPr="008D536F" w:rsidRDefault="00EB2D6E" w:rsidP="00864EE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8D536F">
              <w:rPr>
                <w:rFonts w:ascii="Times New Roman" w:hAnsi="Times New Roman"/>
                <w:bCs/>
              </w:rPr>
              <w:t>Six had a VL</w:t>
            </w:r>
            <w:r w:rsidR="007222AB" w:rsidRPr="008D536F">
              <w:rPr>
                <w:rFonts w:ascii="Times New Roman" w:hAnsi="Times New Roman"/>
                <w:bCs/>
              </w:rPr>
              <w:t xml:space="preserve"> 50-99 copies/mL and one had a VL 100-999 copies/mL</w:t>
            </w:r>
          </w:p>
        </w:tc>
      </w:tr>
      <w:tr w:rsidR="00864EE4" w:rsidRPr="008D536F" w14:paraId="0C4D2E4E" w14:textId="77777777" w:rsidTr="007F4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pct"/>
            <w:tcBorders>
              <w:right w:val="single" w:sz="4" w:space="0" w:color="auto"/>
            </w:tcBorders>
          </w:tcPr>
          <w:p w14:paraId="26B2CB47" w14:textId="7C85DF58" w:rsidR="00864EE4" w:rsidRPr="008D536F" w:rsidRDefault="001A6C75" w:rsidP="00864EE4">
            <w:pPr>
              <w:spacing w:after="0"/>
              <w:rPr>
                <w:rFonts w:ascii="Times New Roman" w:hAnsi="Times New Roman"/>
                <w:b w:val="0"/>
                <w:bCs w:val="0"/>
              </w:rPr>
            </w:pPr>
            <w:r w:rsidRPr="008D536F">
              <w:rPr>
                <w:rFonts w:ascii="Times New Roman" w:hAnsi="Times New Roman"/>
                <w:b w:val="0"/>
                <w:bCs w:val="0"/>
                <w:caps w:val="0"/>
              </w:rPr>
              <w:t>Discontinued study drug (failure)</w:t>
            </w:r>
          </w:p>
        </w:tc>
        <w:tc>
          <w:tcPr>
            <w:tcW w:w="902" w:type="pct"/>
            <w:tcBorders>
              <w:left w:val="single" w:sz="4" w:space="0" w:color="auto"/>
            </w:tcBorders>
          </w:tcPr>
          <w:p w14:paraId="342D385D" w14:textId="556D2E29" w:rsidR="00864EE4" w:rsidRPr="008D536F" w:rsidRDefault="00864EE4" w:rsidP="00864EE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8D536F">
              <w:rPr>
                <w:rFonts w:ascii="Times New Roman" w:hAnsi="Times New Roman"/>
                <w:bCs/>
              </w:rPr>
              <w:t>0/60 (0%)</w:t>
            </w:r>
          </w:p>
        </w:tc>
        <w:tc>
          <w:tcPr>
            <w:tcW w:w="2050" w:type="pct"/>
          </w:tcPr>
          <w:p w14:paraId="45D80BE5" w14:textId="77777777" w:rsidR="00864EE4" w:rsidRPr="008D536F" w:rsidRDefault="00864EE4" w:rsidP="00864EE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864EE4" w:rsidRPr="008D536F" w14:paraId="2EBA98AE" w14:textId="77777777" w:rsidTr="007F469B">
        <w:tc>
          <w:tcPr>
            <w:cnfStyle w:val="001000000000" w:firstRow="0" w:lastRow="0" w:firstColumn="1" w:lastColumn="0" w:oddVBand="0" w:evenVBand="0" w:oddHBand="0" w:evenHBand="0" w:firstRowFirstColumn="0" w:firstRowLastColumn="0" w:lastRowFirstColumn="0" w:lastRowLastColumn="0"/>
            <w:tcW w:w="2048" w:type="pct"/>
            <w:tcBorders>
              <w:right w:val="single" w:sz="4" w:space="0" w:color="auto"/>
            </w:tcBorders>
          </w:tcPr>
          <w:p w14:paraId="360CCB43" w14:textId="31F01626" w:rsidR="00864EE4" w:rsidRPr="008D536F" w:rsidRDefault="001A6C75" w:rsidP="00864EE4">
            <w:pPr>
              <w:spacing w:after="0"/>
              <w:rPr>
                <w:rFonts w:ascii="Times New Roman" w:hAnsi="Times New Roman"/>
                <w:b w:val="0"/>
                <w:bCs w:val="0"/>
              </w:rPr>
            </w:pPr>
            <w:r w:rsidRPr="008D536F">
              <w:rPr>
                <w:rFonts w:ascii="Times New Roman" w:hAnsi="Times New Roman"/>
                <w:b w:val="0"/>
                <w:bCs w:val="0"/>
                <w:caps w:val="0"/>
              </w:rPr>
              <w:t>Discontinued study drug (other)</w:t>
            </w:r>
          </w:p>
        </w:tc>
        <w:tc>
          <w:tcPr>
            <w:tcW w:w="902" w:type="pct"/>
            <w:tcBorders>
              <w:left w:val="single" w:sz="4" w:space="0" w:color="auto"/>
            </w:tcBorders>
          </w:tcPr>
          <w:p w14:paraId="23DEA414" w14:textId="74728CEF" w:rsidR="00864EE4" w:rsidRPr="008D536F" w:rsidRDefault="00864EE4" w:rsidP="00864EE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8D536F">
              <w:rPr>
                <w:rFonts w:ascii="Times New Roman" w:hAnsi="Times New Roman"/>
                <w:bCs/>
              </w:rPr>
              <w:t>1/60 (1.7%)</w:t>
            </w:r>
          </w:p>
        </w:tc>
        <w:tc>
          <w:tcPr>
            <w:tcW w:w="2050" w:type="pct"/>
          </w:tcPr>
          <w:p w14:paraId="2F496BD5" w14:textId="00386829" w:rsidR="00864EE4" w:rsidRPr="008D536F" w:rsidRDefault="00864EE4" w:rsidP="00864EE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D536F">
              <w:rPr>
                <w:rFonts w:ascii="Times New Roman" w:hAnsi="Times New Roman"/>
              </w:rPr>
              <w:t>Participant discontinued the study drug due to a</w:t>
            </w:r>
            <w:r w:rsidR="006F48C2" w:rsidRPr="008D536F">
              <w:rPr>
                <w:rFonts w:ascii="Times New Roman" w:hAnsi="Times New Roman"/>
              </w:rPr>
              <w:t xml:space="preserve"> tenofovir-related</w:t>
            </w:r>
            <w:r w:rsidRPr="008D536F">
              <w:rPr>
                <w:rFonts w:ascii="Times New Roman" w:hAnsi="Times New Roman"/>
              </w:rPr>
              <w:t xml:space="preserve"> adverse event</w:t>
            </w:r>
          </w:p>
        </w:tc>
      </w:tr>
      <w:tr w:rsidR="00864EE4" w:rsidRPr="008D536F" w14:paraId="05A70044" w14:textId="1897CB42" w:rsidTr="007F4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pct"/>
            <w:tcBorders>
              <w:bottom w:val="single" w:sz="4" w:space="0" w:color="auto"/>
              <w:right w:val="single" w:sz="4" w:space="0" w:color="auto"/>
            </w:tcBorders>
          </w:tcPr>
          <w:p w14:paraId="14802484" w14:textId="3658631B" w:rsidR="00864EE4" w:rsidRPr="008D536F" w:rsidRDefault="001A6C75" w:rsidP="00864EE4">
            <w:pPr>
              <w:spacing w:after="0"/>
              <w:rPr>
                <w:rFonts w:ascii="Times New Roman" w:hAnsi="Times New Roman"/>
                <w:b w:val="0"/>
                <w:bCs w:val="0"/>
              </w:rPr>
            </w:pPr>
            <w:r w:rsidRPr="008D536F">
              <w:rPr>
                <w:rFonts w:ascii="Times New Roman" w:hAnsi="Times New Roman"/>
                <w:b w:val="0"/>
                <w:bCs w:val="0"/>
                <w:caps w:val="0"/>
              </w:rPr>
              <w:t>Missing data but still on study</w:t>
            </w:r>
          </w:p>
        </w:tc>
        <w:tc>
          <w:tcPr>
            <w:tcW w:w="902" w:type="pct"/>
            <w:tcBorders>
              <w:left w:val="single" w:sz="4" w:space="0" w:color="auto"/>
              <w:bottom w:val="single" w:sz="4" w:space="0" w:color="auto"/>
            </w:tcBorders>
          </w:tcPr>
          <w:p w14:paraId="04C7F24C" w14:textId="6355FA5C" w:rsidR="00864EE4" w:rsidRPr="008D536F" w:rsidRDefault="00864EE4" w:rsidP="00864EE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8D536F">
              <w:rPr>
                <w:rFonts w:ascii="Times New Roman" w:hAnsi="Times New Roman"/>
                <w:bCs/>
              </w:rPr>
              <w:t>1/60 (1.7%)</w:t>
            </w:r>
          </w:p>
        </w:tc>
        <w:tc>
          <w:tcPr>
            <w:tcW w:w="2050" w:type="pct"/>
            <w:tcBorders>
              <w:bottom w:val="single" w:sz="4" w:space="0" w:color="auto"/>
            </w:tcBorders>
          </w:tcPr>
          <w:p w14:paraId="125D60DF" w14:textId="34D063FE" w:rsidR="00864EE4" w:rsidRPr="008D536F" w:rsidRDefault="00864EE4" w:rsidP="00864EE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D536F">
              <w:rPr>
                <w:rFonts w:ascii="Times New Roman" w:hAnsi="Times New Roman"/>
              </w:rPr>
              <w:t>Missed the study visit within the ±2 week VL window</w:t>
            </w:r>
          </w:p>
        </w:tc>
      </w:tr>
    </w:tbl>
    <w:p w14:paraId="3F26621A" w14:textId="77777777" w:rsidR="0065530E" w:rsidRPr="008D536F" w:rsidRDefault="0065530E" w:rsidP="0065530E">
      <w:pPr>
        <w:spacing w:after="0"/>
        <w:rPr>
          <w:rFonts w:ascii="Times New Roman" w:hAnsi="Times New Roman"/>
          <w:u w:val="single"/>
        </w:rPr>
      </w:pPr>
    </w:p>
    <w:p w14:paraId="0BEDD0A1" w14:textId="77777777" w:rsidR="00864EE4" w:rsidRPr="008D536F" w:rsidRDefault="00864EE4">
      <w:pPr>
        <w:spacing w:after="160" w:line="259" w:lineRule="auto"/>
        <w:rPr>
          <w:rFonts w:ascii="Times New Roman" w:hAnsi="Times New Roman"/>
        </w:rPr>
      </w:pPr>
    </w:p>
    <w:p w14:paraId="62B50FB9" w14:textId="1C8DEDF0" w:rsidR="00887EBA" w:rsidRPr="008D536F" w:rsidRDefault="00887EBA">
      <w:pPr>
        <w:spacing w:after="160" w:line="259" w:lineRule="auto"/>
        <w:rPr>
          <w:rFonts w:ascii="Times New Roman" w:hAnsi="Times New Roman"/>
        </w:rPr>
      </w:pPr>
      <w:r w:rsidRPr="008D536F">
        <w:rPr>
          <w:rFonts w:ascii="Times New Roman" w:hAnsi="Times New Roman"/>
        </w:rPr>
        <w:br w:type="page"/>
      </w:r>
    </w:p>
    <w:p w14:paraId="5729139B" w14:textId="485B3451" w:rsidR="00887EBA" w:rsidRPr="008D536F" w:rsidRDefault="00887EBA" w:rsidP="00887EBA">
      <w:pPr>
        <w:rPr>
          <w:rFonts w:ascii="Times New Roman" w:hAnsi="Times New Roman"/>
        </w:rPr>
      </w:pPr>
      <w:r w:rsidRPr="008D536F">
        <w:rPr>
          <w:rFonts w:ascii="Times New Roman" w:hAnsi="Times New Roman"/>
        </w:rPr>
        <w:lastRenderedPageBreak/>
        <w:t xml:space="preserve">Table 3. Aggregated HIV viral load </w:t>
      </w:r>
      <w:r w:rsidR="0023614E" w:rsidRPr="008D536F">
        <w:rPr>
          <w:rFonts w:ascii="Times New Roman" w:hAnsi="Times New Roman"/>
        </w:rPr>
        <w:t>outcomes</w:t>
      </w:r>
      <w:r w:rsidRPr="008D536F">
        <w:rPr>
          <w:rFonts w:ascii="Times New Roman" w:hAnsi="Times New Roman"/>
        </w:rPr>
        <w:t xml:space="preserve"> by</w:t>
      </w:r>
      <w:r w:rsidR="0023614E" w:rsidRPr="008D536F">
        <w:rPr>
          <w:rFonts w:ascii="Times New Roman" w:hAnsi="Times New Roman"/>
        </w:rPr>
        <w:t xml:space="preserve"> study</w:t>
      </w:r>
      <w:r w:rsidRPr="008D536F">
        <w:rPr>
          <w:rFonts w:ascii="Times New Roman" w:hAnsi="Times New Roman"/>
        </w:rPr>
        <w:t xml:space="preserve"> visit </w:t>
      </w:r>
    </w:p>
    <w:tbl>
      <w:tblPr>
        <w:tblW w:w="0" w:type="auto"/>
        <w:tblInd w:w="-284" w:type="dxa"/>
        <w:tblLayout w:type="fixed"/>
        <w:tblLook w:val="04A0" w:firstRow="1" w:lastRow="0" w:firstColumn="1" w:lastColumn="0" w:noHBand="0" w:noVBand="1"/>
      </w:tblPr>
      <w:tblGrid>
        <w:gridCol w:w="851"/>
        <w:gridCol w:w="851"/>
        <w:gridCol w:w="1276"/>
        <w:gridCol w:w="1701"/>
        <w:gridCol w:w="1701"/>
        <w:gridCol w:w="1701"/>
        <w:gridCol w:w="2126"/>
      </w:tblGrid>
      <w:tr w:rsidR="004001CC" w:rsidRPr="008D536F" w14:paraId="07A1B43C" w14:textId="77777777" w:rsidTr="009A34A9">
        <w:trPr>
          <w:trHeight w:val="300"/>
        </w:trPr>
        <w:tc>
          <w:tcPr>
            <w:tcW w:w="851" w:type="dxa"/>
            <w:tcBorders>
              <w:top w:val="single" w:sz="4" w:space="0" w:color="auto"/>
              <w:left w:val="nil"/>
              <w:bottom w:val="single" w:sz="4" w:space="0" w:color="auto"/>
              <w:right w:val="nil"/>
            </w:tcBorders>
            <w:shd w:val="clear" w:color="auto" w:fill="auto"/>
            <w:noWrap/>
            <w:vAlign w:val="center"/>
          </w:tcPr>
          <w:p w14:paraId="09E5B26C" w14:textId="77777777" w:rsidR="004001CC" w:rsidRPr="008D536F" w:rsidRDefault="004001CC" w:rsidP="004001CC">
            <w:pPr>
              <w:spacing w:after="0" w:line="240" w:lineRule="auto"/>
              <w:rPr>
                <w:rFonts w:ascii="Times New Roman" w:eastAsia="Times New Roman" w:hAnsi="Times New Roman"/>
                <w:lang w:eastAsia="en-GB"/>
              </w:rPr>
            </w:pPr>
          </w:p>
        </w:tc>
        <w:tc>
          <w:tcPr>
            <w:tcW w:w="2127" w:type="dxa"/>
            <w:gridSpan w:val="2"/>
            <w:tcBorders>
              <w:top w:val="single" w:sz="4" w:space="0" w:color="auto"/>
              <w:left w:val="nil"/>
              <w:bottom w:val="single" w:sz="4" w:space="0" w:color="auto"/>
              <w:right w:val="nil"/>
            </w:tcBorders>
            <w:shd w:val="clear" w:color="auto" w:fill="auto"/>
            <w:noWrap/>
            <w:vAlign w:val="center"/>
          </w:tcPr>
          <w:p w14:paraId="66FD67E4" w14:textId="137B5905"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Participants analysed (n)</w:t>
            </w:r>
          </w:p>
        </w:tc>
        <w:tc>
          <w:tcPr>
            <w:tcW w:w="7229" w:type="dxa"/>
            <w:gridSpan w:val="4"/>
            <w:tcBorders>
              <w:top w:val="single" w:sz="4" w:space="0" w:color="auto"/>
              <w:left w:val="nil"/>
              <w:bottom w:val="single" w:sz="4" w:space="0" w:color="auto"/>
              <w:right w:val="nil"/>
            </w:tcBorders>
            <w:shd w:val="clear" w:color="auto" w:fill="auto"/>
            <w:noWrap/>
            <w:vAlign w:val="center"/>
          </w:tcPr>
          <w:p w14:paraId="1219ECE4" w14:textId="1B961BE8"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P</w:t>
            </w:r>
            <w:r w:rsidR="006D0057" w:rsidRPr="008D536F">
              <w:rPr>
                <w:rFonts w:ascii="Times New Roman" w:eastAsia="Times New Roman" w:hAnsi="Times New Roman"/>
                <w:lang w:eastAsia="en-GB"/>
              </w:rPr>
              <w:t xml:space="preserve">ercentage </w:t>
            </w:r>
            <w:r w:rsidRPr="008D536F">
              <w:rPr>
                <w:rFonts w:ascii="Times New Roman" w:eastAsia="Times New Roman" w:hAnsi="Times New Roman"/>
                <w:lang w:eastAsia="en-GB"/>
              </w:rPr>
              <w:t>suppressed (</w:t>
            </w:r>
            <w:r w:rsidR="006D0057" w:rsidRPr="008D536F">
              <w:rPr>
                <w:rFonts w:ascii="Times New Roman" w:eastAsia="Times New Roman" w:hAnsi="Times New Roman"/>
                <w:lang w:eastAsia="en-GB"/>
              </w:rPr>
              <w:t>95% confidence interval</w:t>
            </w:r>
            <w:r w:rsidRPr="008D536F">
              <w:rPr>
                <w:rFonts w:ascii="Times New Roman" w:eastAsia="Times New Roman" w:hAnsi="Times New Roman"/>
                <w:lang w:eastAsia="en-GB"/>
              </w:rPr>
              <w:t>)</w:t>
            </w:r>
          </w:p>
        </w:tc>
      </w:tr>
      <w:tr w:rsidR="004001CC" w:rsidRPr="008D536F" w14:paraId="3C104B0C" w14:textId="77777777" w:rsidTr="009A34A9">
        <w:trPr>
          <w:trHeight w:val="300"/>
        </w:trPr>
        <w:tc>
          <w:tcPr>
            <w:tcW w:w="851" w:type="dxa"/>
            <w:tcBorders>
              <w:top w:val="single" w:sz="4" w:space="0" w:color="auto"/>
              <w:left w:val="nil"/>
              <w:bottom w:val="single" w:sz="4" w:space="0" w:color="auto"/>
              <w:right w:val="nil"/>
            </w:tcBorders>
            <w:shd w:val="clear" w:color="auto" w:fill="auto"/>
            <w:noWrap/>
            <w:vAlign w:val="center"/>
            <w:hideMark/>
          </w:tcPr>
          <w:p w14:paraId="00B91A31"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Week</w:t>
            </w:r>
          </w:p>
        </w:tc>
        <w:tc>
          <w:tcPr>
            <w:tcW w:w="851" w:type="dxa"/>
            <w:tcBorders>
              <w:top w:val="single" w:sz="4" w:space="0" w:color="auto"/>
              <w:left w:val="nil"/>
              <w:bottom w:val="single" w:sz="4" w:space="0" w:color="auto"/>
              <w:right w:val="nil"/>
            </w:tcBorders>
            <w:shd w:val="clear" w:color="auto" w:fill="auto"/>
            <w:noWrap/>
            <w:vAlign w:val="center"/>
            <w:hideMark/>
          </w:tcPr>
          <w:p w14:paraId="582E6D77" w14:textId="77777777" w:rsidR="004001CC" w:rsidRPr="008D536F" w:rsidRDefault="004001CC" w:rsidP="004001CC">
            <w:pPr>
              <w:spacing w:after="0" w:line="240" w:lineRule="auto"/>
              <w:rPr>
                <w:rFonts w:ascii="Times New Roman" w:eastAsia="Times New Roman" w:hAnsi="Times New Roman"/>
                <w:lang w:eastAsia="en-GB"/>
              </w:rPr>
            </w:pPr>
            <w:proofErr w:type="spellStart"/>
            <w:r w:rsidRPr="008D536F">
              <w:rPr>
                <w:rFonts w:ascii="Times New Roman" w:eastAsia="Times New Roman" w:hAnsi="Times New Roman"/>
                <w:lang w:eastAsia="en-GB"/>
              </w:rPr>
              <w:t>mITT</w:t>
            </w:r>
            <w:proofErr w:type="spellEnd"/>
            <w:r w:rsidRPr="008D536F">
              <w:rPr>
                <w:rFonts w:ascii="Times New Roman" w:eastAsia="Times New Roman" w:hAnsi="Times New Roman"/>
                <w:lang w:eastAsia="en-GB"/>
              </w:rPr>
              <w:t>*</w:t>
            </w:r>
          </w:p>
        </w:tc>
        <w:tc>
          <w:tcPr>
            <w:tcW w:w="1276" w:type="dxa"/>
            <w:tcBorders>
              <w:top w:val="single" w:sz="4" w:space="0" w:color="auto"/>
              <w:left w:val="nil"/>
              <w:bottom w:val="single" w:sz="4" w:space="0" w:color="auto"/>
              <w:right w:val="nil"/>
            </w:tcBorders>
            <w:shd w:val="clear" w:color="auto" w:fill="auto"/>
            <w:noWrap/>
            <w:vAlign w:val="center"/>
            <w:hideMark/>
          </w:tcPr>
          <w:p w14:paraId="082A59C2" w14:textId="108B5D2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Sensitivity analysis**</w:t>
            </w:r>
          </w:p>
        </w:tc>
        <w:tc>
          <w:tcPr>
            <w:tcW w:w="1701" w:type="dxa"/>
            <w:tcBorders>
              <w:top w:val="single" w:sz="4" w:space="0" w:color="auto"/>
              <w:left w:val="nil"/>
              <w:bottom w:val="single" w:sz="4" w:space="0" w:color="auto"/>
              <w:right w:val="nil"/>
            </w:tcBorders>
            <w:shd w:val="clear" w:color="auto" w:fill="auto"/>
            <w:noWrap/>
            <w:vAlign w:val="center"/>
            <w:hideMark/>
          </w:tcPr>
          <w:p w14:paraId="5BC21927"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&lt;50cp/mL (</w:t>
            </w:r>
            <w:proofErr w:type="spellStart"/>
            <w:r w:rsidRPr="008D536F">
              <w:rPr>
                <w:rFonts w:ascii="Times New Roman" w:eastAsia="Times New Roman" w:hAnsi="Times New Roman"/>
                <w:lang w:eastAsia="en-GB"/>
              </w:rPr>
              <w:t>mITT</w:t>
            </w:r>
            <w:proofErr w:type="spellEnd"/>
            <w:r w:rsidRPr="008D536F">
              <w:rPr>
                <w:rFonts w:ascii="Times New Roman" w:eastAsia="Times New Roman" w:hAnsi="Times New Roman"/>
                <w:lang w:eastAsia="en-GB"/>
              </w:rPr>
              <w:t>)</w:t>
            </w:r>
          </w:p>
        </w:tc>
        <w:tc>
          <w:tcPr>
            <w:tcW w:w="1701" w:type="dxa"/>
            <w:tcBorders>
              <w:top w:val="single" w:sz="4" w:space="0" w:color="auto"/>
              <w:left w:val="nil"/>
              <w:bottom w:val="single" w:sz="4" w:space="0" w:color="auto"/>
              <w:right w:val="nil"/>
            </w:tcBorders>
            <w:shd w:val="clear" w:color="auto" w:fill="auto"/>
            <w:noWrap/>
            <w:vAlign w:val="center"/>
            <w:hideMark/>
          </w:tcPr>
          <w:p w14:paraId="404BD76B"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&lt;50cp/mL (sensitivity)</w:t>
            </w:r>
          </w:p>
        </w:tc>
        <w:tc>
          <w:tcPr>
            <w:tcW w:w="1701" w:type="dxa"/>
            <w:tcBorders>
              <w:top w:val="single" w:sz="4" w:space="0" w:color="auto"/>
              <w:left w:val="nil"/>
              <w:bottom w:val="single" w:sz="4" w:space="0" w:color="auto"/>
              <w:right w:val="nil"/>
            </w:tcBorders>
            <w:shd w:val="clear" w:color="auto" w:fill="auto"/>
            <w:noWrap/>
            <w:vAlign w:val="center"/>
            <w:hideMark/>
          </w:tcPr>
          <w:p w14:paraId="3893ED14"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&lt;400cp/mL (</w:t>
            </w:r>
            <w:proofErr w:type="spellStart"/>
            <w:r w:rsidRPr="008D536F">
              <w:rPr>
                <w:rFonts w:ascii="Times New Roman" w:eastAsia="Times New Roman" w:hAnsi="Times New Roman"/>
                <w:lang w:eastAsia="en-GB"/>
              </w:rPr>
              <w:t>mITT</w:t>
            </w:r>
            <w:proofErr w:type="spellEnd"/>
            <w:r w:rsidRPr="008D536F">
              <w:rPr>
                <w:rFonts w:ascii="Times New Roman" w:eastAsia="Times New Roman" w:hAnsi="Times New Roman"/>
                <w:lang w:eastAsia="en-GB"/>
              </w:rPr>
              <w:t>)</w:t>
            </w:r>
          </w:p>
        </w:tc>
        <w:tc>
          <w:tcPr>
            <w:tcW w:w="2126" w:type="dxa"/>
            <w:tcBorders>
              <w:top w:val="single" w:sz="4" w:space="0" w:color="auto"/>
              <w:left w:val="nil"/>
              <w:bottom w:val="single" w:sz="4" w:space="0" w:color="auto"/>
              <w:right w:val="nil"/>
            </w:tcBorders>
            <w:shd w:val="clear" w:color="auto" w:fill="auto"/>
            <w:noWrap/>
            <w:vAlign w:val="center"/>
            <w:hideMark/>
          </w:tcPr>
          <w:p w14:paraId="1DFADD80"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&lt;400cp/mL (sensitivity)</w:t>
            </w:r>
          </w:p>
        </w:tc>
      </w:tr>
      <w:tr w:rsidR="004001CC" w:rsidRPr="008D536F" w14:paraId="4AB2ED1F" w14:textId="77777777" w:rsidTr="009603BB">
        <w:trPr>
          <w:trHeight w:val="300"/>
        </w:trPr>
        <w:tc>
          <w:tcPr>
            <w:tcW w:w="851" w:type="dxa"/>
            <w:tcBorders>
              <w:top w:val="single" w:sz="4" w:space="0" w:color="auto"/>
              <w:left w:val="nil"/>
              <w:bottom w:val="nil"/>
              <w:right w:val="nil"/>
            </w:tcBorders>
            <w:shd w:val="clear" w:color="auto" w:fill="F2F2F2" w:themeFill="background1" w:themeFillShade="F2"/>
            <w:noWrap/>
            <w:vAlign w:val="bottom"/>
            <w:hideMark/>
          </w:tcPr>
          <w:p w14:paraId="581BD324"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0</w:t>
            </w:r>
          </w:p>
        </w:tc>
        <w:tc>
          <w:tcPr>
            <w:tcW w:w="851" w:type="dxa"/>
            <w:tcBorders>
              <w:top w:val="single" w:sz="4" w:space="0" w:color="auto"/>
              <w:left w:val="nil"/>
              <w:bottom w:val="nil"/>
              <w:right w:val="nil"/>
            </w:tcBorders>
            <w:shd w:val="clear" w:color="auto" w:fill="F2F2F2" w:themeFill="background1" w:themeFillShade="F2"/>
            <w:noWrap/>
            <w:vAlign w:val="bottom"/>
            <w:hideMark/>
          </w:tcPr>
          <w:p w14:paraId="3E7FE65E"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60</w:t>
            </w:r>
          </w:p>
        </w:tc>
        <w:tc>
          <w:tcPr>
            <w:tcW w:w="1276" w:type="dxa"/>
            <w:tcBorders>
              <w:top w:val="single" w:sz="4" w:space="0" w:color="auto"/>
              <w:left w:val="nil"/>
              <w:bottom w:val="nil"/>
              <w:right w:val="nil"/>
            </w:tcBorders>
            <w:shd w:val="clear" w:color="auto" w:fill="F2F2F2" w:themeFill="background1" w:themeFillShade="F2"/>
            <w:noWrap/>
            <w:vAlign w:val="bottom"/>
            <w:hideMark/>
          </w:tcPr>
          <w:p w14:paraId="4BB57944"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60</w:t>
            </w:r>
          </w:p>
        </w:tc>
        <w:tc>
          <w:tcPr>
            <w:tcW w:w="1701" w:type="dxa"/>
            <w:tcBorders>
              <w:top w:val="single" w:sz="4" w:space="0" w:color="auto"/>
              <w:left w:val="nil"/>
              <w:bottom w:val="nil"/>
              <w:right w:val="nil"/>
            </w:tcBorders>
            <w:shd w:val="clear" w:color="auto" w:fill="F2F2F2" w:themeFill="background1" w:themeFillShade="F2"/>
            <w:noWrap/>
            <w:vAlign w:val="bottom"/>
            <w:hideMark/>
          </w:tcPr>
          <w:p w14:paraId="0BFA0CBC" w14:textId="38F1164B"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0.0 (0.0-6.0)</w:t>
            </w:r>
            <w:r w:rsidR="00EF3CD9" w:rsidRPr="008D536F">
              <w:rPr>
                <w:rFonts w:ascii="Times New Roman" w:hAnsi="Times New Roman"/>
              </w:rPr>
              <w:t>†</w:t>
            </w:r>
          </w:p>
        </w:tc>
        <w:tc>
          <w:tcPr>
            <w:tcW w:w="1701" w:type="dxa"/>
            <w:tcBorders>
              <w:top w:val="single" w:sz="4" w:space="0" w:color="auto"/>
              <w:left w:val="nil"/>
              <w:bottom w:val="nil"/>
              <w:right w:val="nil"/>
            </w:tcBorders>
            <w:shd w:val="clear" w:color="auto" w:fill="F2F2F2" w:themeFill="background1" w:themeFillShade="F2"/>
            <w:noWrap/>
            <w:vAlign w:val="bottom"/>
            <w:hideMark/>
          </w:tcPr>
          <w:p w14:paraId="12C73269" w14:textId="71025E1F"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0.0 (0.0-6.0)</w:t>
            </w:r>
            <w:r w:rsidR="00EF3CD9" w:rsidRPr="008D536F">
              <w:rPr>
                <w:rFonts w:ascii="Times New Roman" w:hAnsi="Times New Roman"/>
              </w:rPr>
              <w:t>†</w:t>
            </w:r>
          </w:p>
        </w:tc>
        <w:tc>
          <w:tcPr>
            <w:tcW w:w="1701" w:type="dxa"/>
            <w:tcBorders>
              <w:top w:val="single" w:sz="4" w:space="0" w:color="auto"/>
              <w:left w:val="nil"/>
              <w:bottom w:val="nil"/>
              <w:right w:val="nil"/>
            </w:tcBorders>
            <w:shd w:val="clear" w:color="auto" w:fill="F2F2F2" w:themeFill="background1" w:themeFillShade="F2"/>
            <w:noWrap/>
            <w:vAlign w:val="bottom"/>
            <w:hideMark/>
          </w:tcPr>
          <w:p w14:paraId="7EE59CC4" w14:textId="2C1D0981"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0.0 (0.0-6.0)</w:t>
            </w:r>
            <w:r w:rsidR="00EF3CD9" w:rsidRPr="008D536F">
              <w:rPr>
                <w:rFonts w:ascii="Times New Roman" w:hAnsi="Times New Roman"/>
              </w:rPr>
              <w:t>†</w:t>
            </w:r>
          </w:p>
        </w:tc>
        <w:tc>
          <w:tcPr>
            <w:tcW w:w="2126" w:type="dxa"/>
            <w:tcBorders>
              <w:top w:val="single" w:sz="4" w:space="0" w:color="auto"/>
              <w:left w:val="nil"/>
              <w:bottom w:val="nil"/>
              <w:right w:val="nil"/>
            </w:tcBorders>
            <w:shd w:val="clear" w:color="auto" w:fill="F2F2F2" w:themeFill="background1" w:themeFillShade="F2"/>
            <w:noWrap/>
            <w:vAlign w:val="bottom"/>
            <w:hideMark/>
          </w:tcPr>
          <w:p w14:paraId="49BBF500" w14:textId="39B9E899"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0.0 (0.0-6.0)</w:t>
            </w:r>
            <w:r w:rsidR="00EF3CD9" w:rsidRPr="008D536F">
              <w:rPr>
                <w:rFonts w:ascii="Times New Roman" w:hAnsi="Times New Roman"/>
              </w:rPr>
              <w:t>†</w:t>
            </w:r>
          </w:p>
        </w:tc>
      </w:tr>
      <w:tr w:rsidR="004001CC" w:rsidRPr="008D536F" w14:paraId="2775D450" w14:textId="77777777" w:rsidTr="009A34A9">
        <w:trPr>
          <w:trHeight w:val="300"/>
        </w:trPr>
        <w:tc>
          <w:tcPr>
            <w:tcW w:w="851" w:type="dxa"/>
            <w:tcBorders>
              <w:top w:val="nil"/>
              <w:left w:val="nil"/>
              <w:bottom w:val="nil"/>
              <w:right w:val="nil"/>
            </w:tcBorders>
            <w:shd w:val="clear" w:color="auto" w:fill="auto"/>
            <w:noWrap/>
            <w:vAlign w:val="bottom"/>
            <w:hideMark/>
          </w:tcPr>
          <w:p w14:paraId="4D3F9C39"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4</w:t>
            </w:r>
          </w:p>
        </w:tc>
        <w:tc>
          <w:tcPr>
            <w:tcW w:w="851" w:type="dxa"/>
            <w:tcBorders>
              <w:top w:val="nil"/>
              <w:left w:val="nil"/>
              <w:bottom w:val="nil"/>
              <w:right w:val="nil"/>
            </w:tcBorders>
            <w:shd w:val="clear" w:color="auto" w:fill="auto"/>
            <w:noWrap/>
            <w:vAlign w:val="bottom"/>
            <w:hideMark/>
          </w:tcPr>
          <w:p w14:paraId="1C590802"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60</w:t>
            </w:r>
          </w:p>
        </w:tc>
        <w:tc>
          <w:tcPr>
            <w:tcW w:w="1276" w:type="dxa"/>
            <w:tcBorders>
              <w:top w:val="nil"/>
              <w:left w:val="nil"/>
              <w:bottom w:val="nil"/>
              <w:right w:val="nil"/>
            </w:tcBorders>
            <w:shd w:val="clear" w:color="auto" w:fill="auto"/>
            <w:noWrap/>
            <w:vAlign w:val="bottom"/>
            <w:hideMark/>
          </w:tcPr>
          <w:p w14:paraId="1E94EB47"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54</w:t>
            </w:r>
          </w:p>
        </w:tc>
        <w:tc>
          <w:tcPr>
            <w:tcW w:w="1701" w:type="dxa"/>
            <w:tcBorders>
              <w:top w:val="nil"/>
              <w:left w:val="nil"/>
              <w:bottom w:val="nil"/>
              <w:right w:val="nil"/>
            </w:tcBorders>
            <w:shd w:val="clear" w:color="auto" w:fill="auto"/>
            <w:noWrap/>
            <w:vAlign w:val="bottom"/>
            <w:hideMark/>
          </w:tcPr>
          <w:p w14:paraId="5212BF42"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68.3 (55.0-79.7)</w:t>
            </w:r>
          </w:p>
        </w:tc>
        <w:tc>
          <w:tcPr>
            <w:tcW w:w="1701" w:type="dxa"/>
            <w:tcBorders>
              <w:top w:val="nil"/>
              <w:left w:val="nil"/>
              <w:bottom w:val="nil"/>
              <w:right w:val="nil"/>
            </w:tcBorders>
            <w:shd w:val="clear" w:color="auto" w:fill="auto"/>
            <w:noWrap/>
            <w:vAlign w:val="bottom"/>
            <w:hideMark/>
          </w:tcPr>
          <w:p w14:paraId="34403738"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75.9 (62.4-86.5)</w:t>
            </w:r>
          </w:p>
        </w:tc>
        <w:tc>
          <w:tcPr>
            <w:tcW w:w="1701" w:type="dxa"/>
            <w:tcBorders>
              <w:top w:val="nil"/>
              <w:left w:val="nil"/>
              <w:bottom w:val="nil"/>
              <w:right w:val="nil"/>
            </w:tcBorders>
            <w:shd w:val="clear" w:color="auto" w:fill="auto"/>
            <w:noWrap/>
            <w:vAlign w:val="bottom"/>
            <w:hideMark/>
          </w:tcPr>
          <w:p w14:paraId="1E933CEE"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88.3 (77.4-95.2)</w:t>
            </w:r>
          </w:p>
        </w:tc>
        <w:tc>
          <w:tcPr>
            <w:tcW w:w="2126" w:type="dxa"/>
            <w:tcBorders>
              <w:top w:val="nil"/>
              <w:left w:val="nil"/>
              <w:bottom w:val="nil"/>
              <w:right w:val="nil"/>
            </w:tcBorders>
            <w:shd w:val="clear" w:color="auto" w:fill="auto"/>
            <w:noWrap/>
            <w:vAlign w:val="bottom"/>
            <w:hideMark/>
          </w:tcPr>
          <w:p w14:paraId="11954B48"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98.1 (90.1-100.0)</w:t>
            </w:r>
          </w:p>
        </w:tc>
      </w:tr>
      <w:tr w:rsidR="004001CC" w:rsidRPr="008D536F" w14:paraId="11E976AF" w14:textId="77777777" w:rsidTr="009603BB">
        <w:trPr>
          <w:trHeight w:val="300"/>
        </w:trPr>
        <w:tc>
          <w:tcPr>
            <w:tcW w:w="851" w:type="dxa"/>
            <w:tcBorders>
              <w:top w:val="nil"/>
              <w:left w:val="nil"/>
              <w:bottom w:val="nil"/>
              <w:right w:val="nil"/>
            </w:tcBorders>
            <w:shd w:val="clear" w:color="auto" w:fill="F2F2F2" w:themeFill="background1" w:themeFillShade="F2"/>
            <w:noWrap/>
            <w:vAlign w:val="bottom"/>
            <w:hideMark/>
          </w:tcPr>
          <w:p w14:paraId="6E5EBBA7"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8</w:t>
            </w:r>
          </w:p>
        </w:tc>
        <w:tc>
          <w:tcPr>
            <w:tcW w:w="851" w:type="dxa"/>
            <w:tcBorders>
              <w:top w:val="nil"/>
              <w:left w:val="nil"/>
              <w:bottom w:val="nil"/>
              <w:right w:val="nil"/>
            </w:tcBorders>
            <w:shd w:val="clear" w:color="auto" w:fill="F2F2F2" w:themeFill="background1" w:themeFillShade="F2"/>
            <w:noWrap/>
            <w:vAlign w:val="bottom"/>
            <w:hideMark/>
          </w:tcPr>
          <w:p w14:paraId="4351F785"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60</w:t>
            </w:r>
          </w:p>
        </w:tc>
        <w:tc>
          <w:tcPr>
            <w:tcW w:w="1276" w:type="dxa"/>
            <w:tcBorders>
              <w:top w:val="nil"/>
              <w:left w:val="nil"/>
              <w:bottom w:val="nil"/>
              <w:right w:val="nil"/>
            </w:tcBorders>
            <w:shd w:val="clear" w:color="auto" w:fill="F2F2F2" w:themeFill="background1" w:themeFillShade="F2"/>
            <w:noWrap/>
            <w:vAlign w:val="bottom"/>
            <w:hideMark/>
          </w:tcPr>
          <w:p w14:paraId="3A917AEA"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51</w:t>
            </w:r>
          </w:p>
        </w:tc>
        <w:tc>
          <w:tcPr>
            <w:tcW w:w="1701" w:type="dxa"/>
            <w:tcBorders>
              <w:top w:val="nil"/>
              <w:left w:val="nil"/>
              <w:bottom w:val="nil"/>
              <w:right w:val="nil"/>
            </w:tcBorders>
            <w:shd w:val="clear" w:color="auto" w:fill="F2F2F2" w:themeFill="background1" w:themeFillShade="F2"/>
            <w:noWrap/>
            <w:vAlign w:val="bottom"/>
            <w:hideMark/>
          </w:tcPr>
          <w:p w14:paraId="7A25356D"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73.3 (60.3-83.9)</w:t>
            </w:r>
          </w:p>
        </w:tc>
        <w:tc>
          <w:tcPr>
            <w:tcW w:w="1701" w:type="dxa"/>
            <w:tcBorders>
              <w:top w:val="nil"/>
              <w:left w:val="nil"/>
              <w:bottom w:val="nil"/>
              <w:right w:val="nil"/>
            </w:tcBorders>
            <w:shd w:val="clear" w:color="auto" w:fill="F2F2F2" w:themeFill="background1" w:themeFillShade="F2"/>
            <w:noWrap/>
            <w:vAlign w:val="bottom"/>
            <w:hideMark/>
          </w:tcPr>
          <w:p w14:paraId="007F8F50"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86.3 (73.7-94.3)</w:t>
            </w:r>
          </w:p>
        </w:tc>
        <w:tc>
          <w:tcPr>
            <w:tcW w:w="1701" w:type="dxa"/>
            <w:tcBorders>
              <w:top w:val="nil"/>
              <w:left w:val="nil"/>
              <w:bottom w:val="nil"/>
              <w:right w:val="nil"/>
            </w:tcBorders>
            <w:shd w:val="clear" w:color="auto" w:fill="F2F2F2" w:themeFill="background1" w:themeFillShade="F2"/>
            <w:noWrap/>
            <w:vAlign w:val="bottom"/>
            <w:hideMark/>
          </w:tcPr>
          <w:p w14:paraId="38A99527"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80.0 (67.7-89.2)</w:t>
            </w:r>
          </w:p>
        </w:tc>
        <w:tc>
          <w:tcPr>
            <w:tcW w:w="2126" w:type="dxa"/>
            <w:tcBorders>
              <w:top w:val="nil"/>
              <w:left w:val="nil"/>
              <w:bottom w:val="nil"/>
              <w:right w:val="nil"/>
            </w:tcBorders>
            <w:shd w:val="clear" w:color="auto" w:fill="F2F2F2" w:themeFill="background1" w:themeFillShade="F2"/>
            <w:noWrap/>
            <w:vAlign w:val="bottom"/>
            <w:hideMark/>
          </w:tcPr>
          <w:p w14:paraId="5CCBCFA3"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94.1 (83.8-98.8)</w:t>
            </w:r>
          </w:p>
        </w:tc>
      </w:tr>
      <w:tr w:rsidR="004001CC" w:rsidRPr="008D536F" w14:paraId="0965F255" w14:textId="77777777" w:rsidTr="009A34A9">
        <w:trPr>
          <w:trHeight w:val="300"/>
        </w:trPr>
        <w:tc>
          <w:tcPr>
            <w:tcW w:w="851" w:type="dxa"/>
            <w:tcBorders>
              <w:top w:val="nil"/>
              <w:left w:val="nil"/>
              <w:bottom w:val="nil"/>
              <w:right w:val="nil"/>
            </w:tcBorders>
            <w:shd w:val="clear" w:color="auto" w:fill="auto"/>
            <w:noWrap/>
            <w:vAlign w:val="bottom"/>
            <w:hideMark/>
          </w:tcPr>
          <w:p w14:paraId="447AE294"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12</w:t>
            </w:r>
          </w:p>
        </w:tc>
        <w:tc>
          <w:tcPr>
            <w:tcW w:w="851" w:type="dxa"/>
            <w:tcBorders>
              <w:top w:val="nil"/>
              <w:left w:val="nil"/>
              <w:bottom w:val="nil"/>
              <w:right w:val="nil"/>
            </w:tcBorders>
            <w:shd w:val="clear" w:color="auto" w:fill="auto"/>
            <w:noWrap/>
            <w:vAlign w:val="bottom"/>
            <w:hideMark/>
          </w:tcPr>
          <w:p w14:paraId="39531AC9"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60</w:t>
            </w:r>
          </w:p>
        </w:tc>
        <w:tc>
          <w:tcPr>
            <w:tcW w:w="1276" w:type="dxa"/>
            <w:tcBorders>
              <w:top w:val="nil"/>
              <w:left w:val="nil"/>
              <w:bottom w:val="nil"/>
              <w:right w:val="nil"/>
            </w:tcBorders>
            <w:shd w:val="clear" w:color="auto" w:fill="auto"/>
            <w:noWrap/>
            <w:vAlign w:val="bottom"/>
            <w:hideMark/>
          </w:tcPr>
          <w:p w14:paraId="443774C0"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54</w:t>
            </w:r>
          </w:p>
        </w:tc>
        <w:tc>
          <w:tcPr>
            <w:tcW w:w="1701" w:type="dxa"/>
            <w:tcBorders>
              <w:top w:val="nil"/>
              <w:left w:val="nil"/>
              <w:bottom w:val="nil"/>
              <w:right w:val="nil"/>
            </w:tcBorders>
            <w:shd w:val="clear" w:color="auto" w:fill="auto"/>
            <w:noWrap/>
            <w:vAlign w:val="bottom"/>
            <w:hideMark/>
          </w:tcPr>
          <w:p w14:paraId="1E86BA86"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75.0 (62.1-85.3)</w:t>
            </w:r>
          </w:p>
        </w:tc>
        <w:tc>
          <w:tcPr>
            <w:tcW w:w="1701" w:type="dxa"/>
            <w:tcBorders>
              <w:top w:val="nil"/>
              <w:left w:val="nil"/>
              <w:bottom w:val="nil"/>
              <w:right w:val="nil"/>
            </w:tcBorders>
            <w:shd w:val="clear" w:color="auto" w:fill="auto"/>
            <w:noWrap/>
            <w:vAlign w:val="bottom"/>
            <w:hideMark/>
          </w:tcPr>
          <w:p w14:paraId="31AE792D"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83.3 (70.7-92.1)</w:t>
            </w:r>
          </w:p>
        </w:tc>
        <w:tc>
          <w:tcPr>
            <w:tcW w:w="1701" w:type="dxa"/>
            <w:tcBorders>
              <w:top w:val="nil"/>
              <w:left w:val="nil"/>
              <w:bottom w:val="nil"/>
              <w:right w:val="nil"/>
            </w:tcBorders>
            <w:shd w:val="clear" w:color="auto" w:fill="auto"/>
            <w:noWrap/>
            <w:vAlign w:val="bottom"/>
            <w:hideMark/>
          </w:tcPr>
          <w:p w14:paraId="0D6B8CAA"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86.7 (75.4-94.1)</w:t>
            </w:r>
          </w:p>
        </w:tc>
        <w:tc>
          <w:tcPr>
            <w:tcW w:w="2126" w:type="dxa"/>
            <w:tcBorders>
              <w:top w:val="nil"/>
              <w:left w:val="nil"/>
              <w:bottom w:val="nil"/>
              <w:right w:val="nil"/>
            </w:tcBorders>
            <w:shd w:val="clear" w:color="auto" w:fill="auto"/>
            <w:noWrap/>
            <w:vAlign w:val="bottom"/>
            <w:hideMark/>
          </w:tcPr>
          <w:p w14:paraId="72001D03"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96.3 (87.3-99.5)</w:t>
            </w:r>
          </w:p>
        </w:tc>
      </w:tr>
      <w:tr w:rsidR="004001CC" w:rsidRPr="008D536F" w14:paraId="1D026E12" w14:textId="77777777" w:rsidTr="009603BB">
        <w:trPr>
          <w:trHeight w:val="300"/>
        </w:trPr>
        <w:tc>
          <w:tcPr>
            <w:tcW w:w="851" w:type="dxa"/>
            <w:tcBorders>
              <w:top w:val="nil"/>
              <w:left w:val="nil"/>
              <w:bottom w:val="nil"/>
              <w:right w:val="nil"/>
            </w:tcBorders>
            <w:shd w:val="clear" w:color="auto" w:fill="F2F2F2" w:themeFill="background1" w:themeFillShade="F2"/>
            <w:noWrap/>
            <w:vAlign w:val="bottom"/>
            <w:hideMark/>
          </w:tcPr>
          <w:p w14:paraId="270E4C45"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16</w:t>
            </w:r>
          </w:p>
        </w:tc>
        <w:tc>
          <w:tcPr>
            <w:tcW w:w="851" w:type="dxa"/>
            <w:tcBorders>
              <w:top w:val="nil"/>
              <w:left w:val="nil"/>
              <w:bottom w:val="nil"/>
              <w:right w:val="nil"/>
            </w:tcBorders>
            <w:shd w:val="clear" w:color="auto" w:fill="F2F2F2" w:themeFill="background1" w:themeFillShade="F2"/>
            <w:noWrap/>
            <w:vAlign w:val="bottom"/>
            <w:hideMark/>
          </w:tcPr>
          <w:p w14:paraId="6A90BF0B"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60</w:t>
            </w:r>
          </w:p>
        </w:tc>
        <w:tc>
          <w:tcPr>
            <w:tcW w:w="1276" w:type="dxa"/>
            <w:tcBorders>
              <w:top w:val="nil"/>
              <w:left w:val="nil"/>
              <w:bottom w:val="nil"/>
              <w:right w:val="nil"/>
            </w:tcBorders>
            <w:shd w:val="clear" w:color="auto" w:fill="F2F2F2" w:themeFill="background1" w:themeFillShade="F2"/>
            <w:noWrap/>
            <w:vAlign w:val="bottom"/>
            <w:hideMark/>
          </w:tcPr>
          <w:p w14:paraId="4DFDE9E1"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52</w:t>
            </w:r>
          </w:p>
        </w:tc>
        <w:tc>
          <w:tcPr>
            <w:tcW w:w="1701" w:type="dxa"/>
            <w:tcBorders>
              <w:top w:val="nil"/>
              <w:left w:val="nil"/>
              <w:bottom w:val="nil"/>
              <w:right w:val="nil"/>
            </w:tcBorders>
            <w:shd w:val="clear" w:color="auto" w:fill="F2F2F2" w:themeFill="background1" w:themeFillShade="F2"/>
            <w:noWrap/>
            <w:vAlign w:val="bottom"/>
            <w:hideMark/>
          </w:tcPr>
          <w:p w14:paraId="21023142"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76.7 (64.0-86.6)</w:t>
            </w:r>
          </w:p>
        </w:tc>
        <w:tc>
          <w:tcPr>
            <w:tcW w:w="1701" w:type="dxa"/>
            <w:tcBorders>
              <w:top w:val="nil"/>
              <w:left w:val="nil"/>
              <w:bottom w:val="nil"/>
              <w:right w:val="nil"/>
            </w:tcBorders>
            <w:shd w:val="clear" w:color="auto" w:fill="F2F2F2" w:themeFill="background1" w:themeFillShade="F2"/>
            <w:noWrap/>
            <w:vAlign w:val="bottom"/>
            <w:hideMark/>
          </w:tcPr>
          <w:p w14:paraId="6C28869E"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88.5 (76.6-95.6)</w:t>
            </w:r>
          </w:p>
        </w:tc>
        <w:tc>
          <w:tcPr>
            <w:tcW w:w="1701" w:type="dxa"/>
            <w:tcBorders>
              <w:top w:val="nil"/>
              <w:left w:val="nil"/>
              <w:bottom w:val="nil"/>
              <w:right w:val="nil"/>
            </w:tcBorders>
            <w:shd w:val="clear" w:color="auto" w:fill="F2F2F2" w:themeFill="background1" w:themeFillShade="F2"/>
            <w:noWrap/>
            <w:vAlign w:val="bottom"/>
            <w:hideMark/>
          </w:tcPr>
          <w:p w14:paraId="69C14CD6"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86.7 (75.4-94.1)</w:t>
            </w:r>
          </w:p>
        </w:tc>
        <w:tc>
          <w:tcPr>
            <w:tcW w:w="2126" w:type="dxa"/>
            <w:tcBorders>
              <w:top w:val="nil"/>
              <w:left w:val="nil"/>
              <w:bottom w:val="nil"/>
              <w:right w:val="nil"/>
            </w:tcBorders>
            <w:shd w:val="clear" w:color="auto" w:fill="F2F2F2" w:themeFill="background1" w:themeFillShade="F2"/>
            <w:noWrap/>
            <w:vAlign w:val="bottom"/>
            <w:hideMark/>
          </w:tcPr>
          <w:p w14:paraId="37ADAE3F" w14:textId="6C353EF5"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100.0 (93.2-100.0)</w:t>
            </w:r>
            <w:r w:rsidR="00EF3CD9" w:rsidRPr="008D536F">
              <w:rPr>
                <w:rFonts w:ascii="Times New Roman" w:hAnsi="Times New Roman"/>
              </w:rPr>
              <w:t>†</w:t>
            </w:r>
          </w:p>
        </w:tc>
      </w:tr>
      <w:tr w:rsidR="004001CC" w:rsidRPr="008D536F" w14:paraId="56F62D66" w14:textId="77777777" w:rsidTr="009A34A9">
        <w:trPr>
          <w:trHeight w:val="300"/>
        </w:trPr>
        <w:tc>
          <w:tcPr>
            <w:tcW w:w="851" w:type="dxa"/>
            <w:tcBorders>
              <w:top w:val="nil"/>
              <w:left w:val="nil"/>
              <w:bottom w:val="nil"/>
              <w:right w:val="nil"/>
            </w:tcBorders>
            <w:shd w:val="clear" w:color="auto" w:fill="auto"/>
            <w:noWrap/>
            <w:vAlign w:val="bottom"/>
            <w:hideMark/>
          </w:tcPr>
          <w:p w14:paraId="01457173"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20</w:t>
            </w:r>
          </w:p>
        </w:tc>
        <w:tc>
          <w:tcPr>
            <w:tcW w:w="851" w:type="dxa"/>
            <w:tcBorders>
              <w:top w:val="nil"/>
              <w:left w:val="nil"/>
              <w:bottom w:val="nil"/>
              <w:right w:val="nil"/>
            </w:tcBorders>
            <w:shd w:val="clear" w:color="auto" w:fill="auto"/>
            <w:noWrap/>
            <w:vAlign w:val="bottom"/>
            <w:hideMark/>
          </w:tcPr>
          <w:p w14:paraId="601DF223"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60</w:t>
            </w:r>
          </w:p>
        </w:tc>
        <w:tc>
          <w:tcPr>
            <w:tcW w:w="1276" w:type="dxa"/>
            <w:tcBorders>
              <w:top w:val="nil"/>
              <w:left w:val="nil"/>
              <w:bottom w:val="nil"/>
              <w:right w:val="nil"/>
            </w:tcBorders>
            <w:shd w:val="clear" w:color="auto" w:fill="auto"/>
            <w:noWrap/>
            <w:vAlign w:val="bottom"/>
            <w:hideMark/>
          </w:tcPr>
          <w:p w14:paraId="77DF0CBE"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48</w:t>
            </w:r>
          </w:p>
        </w:tc>
        <w:tc>
          <w:tcPr>
            <w:tcW w:w="1701" w:type="dxa"/>
            <w:tcBorders>
              <w:top w:val="nil"/>
              <w:left w:val="nil"/>
              <w:bottom w:val="nil"/>
              <w:right w:val="nil"/>
            </w:tcBorders>
            <w:shd w:val="clear" w:color="auto" w:fill="auto"/>
            <w:noWrap/>
            <w:vAlign w:val="bottom"/>
            <w:hideMark/>
          </w:tcPr>
          <w:p w14:paraId="42F8CD22"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63.3 (49.9-75.4)</w:t>
            </w:r>
          </w:p>
        </w:tc>
        <w:tc>
          <w:tcPr>
            <w:tcW w:w="1701" w:type="dxa"/>
            <w:tcBorders>
              <w:top w:val="nil"/>
              <w:left w:val="nil"/>
              <w:bottom w:val="nil"/>
              <w:right w:val="nil"/>
            </w:tcBorders>
            <w:shd w:val="clear" w:color="auto" w:fill="auto"/>
            <w:noWrap/>
            <w:vAlign w:val="bottom"/>
            <w:hideMark/>
          </w:tcPr>
          <w:p w14:paraId="5DE271C8"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79.2 (65.0-89.5)</w:t>
            </w:r>
          </w:p>
        </w:tc>
        <w:tc>
          <w:tcPr>
            <w:tcW w:w="1701" w:type="dxa"/>
            <w:tcBorders>
              <w:top w:val="nil"/>
              <w:left w:val="nil"/>
              <w:bottom w:val="nil"/>
              <w:right w:val="nil"/>
            </w:tcBorders>
            <w:shd w:val="clear" w:color="auto" w:fill="auto"/>
            <w:noWrap/>
            <w:vAlign w:val="bottom"/>
            <w:hideMark/>
          </w:tcPr>
          <w:p w14:paraId="5333FD17" w14:textId="77777777"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80.0 (67.7-89.2)</w:t>
            </w:r>
          </w:p>
        </w:tc>
        <w:tc>
          <w:tcPr>
            <w:tcW w:w="2126" w:type="dxa"/>
            <w:tcBorders>
              <w:top w:val="nil"/>
              <w:left w:val="nil"/>
              <w:bottom w:val="nil"/>
              <w:right w:val="nil"/>
            </w:tcBorders>
            <w:shd w:val="clear" w:color="auto" w:fill="auto"/>
            <w:noWrap/>
            <w:vAlign w:val="bottom"/>
            <w:hideMark/>
          </w:tcPr>
          <w:p w14:paraId="0C8149BA" w14:textId="5F1F4B6A" w:rsidR="004001CC" w:rsidRPr="008D536F" w:rsidRDefault="004001CC" w:rsidP="004001CC">
            <w:pPr>
              <w:spacing w:after="0" w:line="240" w:lineRule="auto"/>
              <w:rPr>
                <w:rFonts w:ascii="Times New Roman" w:eastAsia="Times New Roman" w:hAnsi="Times New Roman"/>
                <w:lang w:eastAsia="en-GB"/>
              </w:rPr>
            </w:pPr>
            <w:r w:rsidRPr="008D536F">
              <w:rPr>
                <w:rFonts w:ascii="Times New Roman" w:hAnsi="Times New Roman"/>
              </w:rPr>
              <w:t>100.0 (92.6-100.0)</w:t>
            </w:r>
            <w:r w:rsidR="00EF3CD9" w:rsidRPr="008D536F">
              <w:rPr>
                <w:rFonts w:ascii="Times New Roman" w:hAnsi="Times New Roman"/>
              </w:rPr>
              <w:t>†</w:t>
            </w:r>
          </w:p>
        </w:tc>
      </w:tr>
      <w:tr w:rsidR="004001CC" w:rsidRPr="008D536F" w14:paraId="32B1D85A" w14:textId="77777777" w:rsidTr="009603BB">
        <w:trPr>
          <w:trHeight w:val="300"/>
        </w:trPr>
        <w:tc>
          <w:tcPr>
            <w:tcW w:w="851" w:type="dxa"/>
            <w:tcBorders>
              <w:top w:val="nil"/>
              <w:left w:val="nil"/>
              <w:bottom w:val="single" w:sz="4" w:space="0" w:color="auto"/>
              <w:right w:val="nil"/>
            </w:tcBorders>
            <w:shd w:val="clear" w:color="auto" w:fill="F2F2F2" w:themeFill="background1" w:themeFillShade="F2"/>
            <w:noWrap/>
            <w:vAlign w:val="bottom"/>
            <w:hideMark/>
          </w:tcPr>
          <w:p w14:paraId="3D38912D"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24</w:t>
            </w:r>
          </w:p>
        </w:tc>
        <w:tc>
          <w:tcPr>
            <w:tcW w:w="851" w:type="dxa"/>
            <w:tcBorders>
              <w:top w:val="nil"/>
              <w:left w:val="nil"/>
              <w:bottom w:val="single" w:sz="4" w:space="0" w:color="auto"/>
              <w:right w:val="nil"/>
            </w:tcBorders>
            <w:shd w:val="clear" w:color="auto" w:fill="F2F2F2" w:themeFill="background1" w:themeFillShade="F2"/>
            <w:noWrap/>
            <w:vAlign w:val="bottom"/>
            <w:hideMark/>
          </w:tcPr>
          <w:p w14:paraId="3E262D23"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60</w:t>
            </w:r>
          </w:p>
        </w:tc>
        <w:tc>
          <w:tcPr>
            <w:tcW w:w="1276" w:type="dxa"/>
            <w:tcBorders>
              <w:top w:val="nil"/>
              <w:left w:val="nil"/>
              <w:bottom w:val="single" w:sz="4" w:space="0" w:color="auto"/>
              <w:right w:val="nil"/>
            </w:tcBorders>
            <w:shd w:val="clear" w:color="auto" w:fill="F2F2F2" w:themeFill="background1" w:themeFillShade="F2"/>
            <w:noWrap/>
            <w:vAlign w:val="bottom"/>
            <w:hideMark/>
          </w:tcPr>
          <w:p w14:paraId="599E5D9F"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57</w:t>
            </w:r>
          </w:p>
        </w:tc>
        <w:tc>
          <w:tcPr>
            <w:tcW w:w="1701" w:type="dxa"/>
            <w:tcBorders>
              <w:top w:val="nil"/>
              <w:left w:val="nil"/>
              <w:bottom w:val="single" w:sz="4" w:space="0" w:color="auto"/>
              <w:right w:val="nil"/>
            </w:tcBorders>
            <w:shd w:val="clear" w:color="auto" w:fill="F2F2F2" w:themeFill="background1" w:themeFillShade="F2"/>
            <w:noWrap/>
            <w:vAlign w:val="bottom"/>
            <w:hideMark/>
          </w:tcPr>
          <w:p w14:paraId="2B7A88A9"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85.0 (73.4-92.9)</w:t>
            </w:r>
          </w:p>
        </w:tc>
        <w:tc>
          <w:tcPr>
            <w:tcW w:w="1701" w:type="dxa"/>
            <w:tcBorders>
              <w:top w:val="nil"/>
              <w:left w:val="nil"/>
              <w:bottom w:val="single" w:sz="4" w:space="0" w:color="auto"/>
              <w:right w:val="nil"/>
            </w:tcBorders>
            <w:shd w:val="clear" w:color="auto" w:fill="F2F2F2" w:themeFill="background1" w:themeFillShade="F2"/>
            <w:noWrap/>
            <w:vAlign w:val="bottom"/>
            <w:hideMark/>
          </w:tcPr>
          <w:p w14:paraId="16D98474"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89.5 (78.5-96.0)</w:t>
            </w:r>
          </w:p>
        </w:tc>
        <w:tc>
          <w:tcPr>
            <w:tcW w:w="1701" w:type="dxa"/>
            <w:tcBorders>
              <w:top w:val="nil"/>
              <w:left w:val="nil"/>
              <w:bottom w:val="single" w:sz="4" w:space="0" w:color="auto"/>
              <w:right w:val="nil"/>
            </w:tcBorders>
            <w:shd w:val="clear" w:color="auto" w:fill="F2F2F2" w:themeFill="background1" w:themeFillShade="F2"/>
            <w:noWrap/>
            <w:vAlign w:val="bottom"/>
            <w:hideMark/>
          </w:tcPr>
          <w:p w14:paraId="31BB0D70" w14:textId="77777777"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95.0 (86.1-99.0)</w:t>
            </w:r>
          </w:p>
        </w:tc>
        <w:tc>
          <w:tcPr>
            <w:tcW w:w="2126" w:type="dxa"/>
            <w:tcBorders>
              <w:top w:val="nil"/>
              <w:left w:val="nil"/>
              <w:bottom w:val="single" w:sz="4" w:space="0" w:color="auto"/>
              <w:right w:val="nil"/>
            </w:tcBorders>
            <w:shd w:val="clear" w:color="auto" w:fill="F2F2F2" w:themeFill="background1" w:themeFillShade="F2"/>
            <w:noWrap/>
            <w:vAlign w:val="bottom"/>
            <w:hideMark/>
          </w:tcPr>
          <w:p w14:paraId="6FFF5D79" w14:textId="1B3D7418" w:rsidR="004001CC" w:rsidRPr="008D536F" w:rsidRDefault="004001CC" w:rsidP="004001CC">
            <w:pPr>
              <w:spacing w:after="0" w:line="240" w:lineRule="auto"/>
              <w:rPr>
                <w:rFonts w:ascii="Times New Roman" w:eastAsia="Times New Roman" w:hAnsi="Times New Roman"/>
                <w:b/>
                <w:bCs/>
                <w:lang w:eastAsia="en-GB"/>
              </w:rPr>
            </w:pPr>
            <w:r w:rsidRPr="008D536F">
              <w:rPr>
                <w:rFonts w:ascii="Times New Roman" w:hAnsi="Times New Roman"/>
                <w:b/>
                <w:bCs/>
              </w:rPr>
              <w:t>100.0 (93.7-100.0)</w:t>
            </w:r>
            <w:r w:rsidR="00EF3CD9" w:rsidRPr="008D536F">
              <w:rPr>
                <w:rFonts w:ascii="Times New Roman" w:hAnsi="Times New Roman"/>
              </w:rPr>
              <w:t>†</w:t>
            </w:r>
          </w:p>
        </w:tc>
      </w:tr>
      <w:tr w:rsidR="004001CC" w:rsidRPr="008D536F" w14:paraId="6B25604B" w14:textId="77777777" w:rsidTr="009A34A9">
        <w:trPr>
          <w:trHeight w:val="300"/>
        </w:trPr>
        <w:tc>
          <w:tcPr>
            <w:tcW w:w="10207" w:type="dxa"/>
            <w:gridSpan w:val="7"/>
            <w:tcBorders>
              <w:top w:val="single" w:sz="4" w:space="0" w:color="auto"/>
              <w:left w:val="nil"/>
              <w:bottom w:val="single" w:sz="4" w:space="0" w:color="auto"/>
              <w:right w:val="nil"/>
            </w:tcBorders>
            <w:shd w:val="clear" w:color="auto" w:fill="auto"/>
            <w:noWrap/>
            <w:vAlign w:val="center"/>
          </w:tcPr>
          <w:p w14:paraId="1FB0A283" w14:textId="3504DA12" w:rsidR="004001CC" w:rsidRPr="008D536F" w:rsidRDefault="004001CC" w:rsidP="004001CC">
            <w:pPr>
              <w:spacing w:after="0" w:line="240" w:lineRule="auto"/>
              <w:rPr>
                <w:rFonts w:ascii="Times New Roman" w:eastAsia="Times New Roman" w:hAnsi="Times New Roman"/>
                <w:lang w:eastAsia="en-ZA"/>
              </w:rPr>
            </w:pPr>
            <w:r w:rsidRPr="008D536F">
              <w:rPr>
                <w:rFonts w:ascii="Times New Roman" w:eastAsia="Times New Roman" w:hAnsi="Times New Roman"/>
                <w:lang w:eastAsia="en-GB"/>
              </w:rPr>
              <w:t>*</w:t>
            </w:r>
            <w:r w:rsidR="001E057A" w:rsidRPr="008D536F">
              <w:rPr>
                <w:rFonts w:ascii="Times New Roman" w:hAnsi="Times New Roman"/>
              </w:rPr>
              <w:t xml:space="preserve"> </w:t>
            </w:r>
            <w:r w:rsidR="009C626B" w:rsidRPr="008D536F">
              <w:rPr>
                <w:rFonts w:ascii="Times New Roman" w:hAnsi="Times New Roman"/>
              </w:rPr>
              <w:t>M</w:t>
            </w:r>
            <w:r w:rsidR="001E057A" w:rsidRPr="008D536F">
              <w:rPr>
                <w:rFonts w:ascii="Times New Roman" w:hAnsi="Times New Roman"/>
              </w:rPr>
              <w:t>odified intention-to-treat analysis (</w:t>
            </w:r>
            <w:proofErr w:type="spellStart"/>
            <w:r w:rsidR="001E057A" w:rsidRPr="008D536F">
              <w:rPr>
                <w:rFonts w:ascii="Times New Roman" w:hAnsi="Times New Roman"/>
              </w:rPr>
              <w:t>mITT</w:t>
            </w:r>
            <w:proofErr w:type="spellEnd"/>
            <w:r w:rsidR="001E057A" w:rsidRPr="008D536F">
              <w:rPr>
                <w:rFonts w:ascii="Times New Roman" w:hAnsi="Times New Roman"/>
              </w:rPr>
              <w:t xml:space="preserve">) </w:t>
            </w:r>
            <w:r w:rsidRPr="008D536F">
              <w:rPr>
                <w:rFonts w:ascii="Times New Roman" w:hAnsi="Times New Roman"/>
              </w:rPr>
              <w:t xml:space="preserve">excludes those </w:t>
            </w:r>
            <w:r w:rsidRPr="008D536F">
              <w:rPr>
                <w:rFonts w:ascii="Times New Roman" w:eastAsia="Times New Roman" w:hAnsi="Times New Roman"/>
                <w:lang w:eastAsia="en-ZA"/>
              </w:rPr>
              <w:t>switching study drug for reasons of stopping contraception or wish to become pregnant, or becoming pregnant, transfer out for non-clinical reasons and death from non-HIV and non-drug causes</w:t>
            </w:r>
          </w:p>
          <w:p w14:paraId="7902DEF0" w14:textId="1A10EF00" w:rsidR="004001CC" w:rsidRPr="008D536F" w:rsidRDefault="004001CC" w:rsidP="004001CC">
            <w:pPr>
              <w:spacing w:after="0" w:line="240" w:lineRule="auto"/>
              <w:rPr>
                <w:rFonts w:ascii="Times New Roman" w:hAnsi="Times New Roman"/>
                <w:shd w:val="clear" w:color="auto" w:fill="FFFFFF"/>
              </w:rPr>
            </w:pPr>
            <w:r w:rsidRPr="008D536F">
              <w:rPr>
                <w:rFonts w:ascii="Times New Roman" w:eastAsia="Times New Roman" w:hAnsi="Times New Roman"/>
                <w:lang w:eastAsia="en-GB"/>
              </w:rPr>
              <w:t>**</w:t>
            </w:r>
            <w:r w:rsidR="008B734B" w:rsidRPr="008D536F">
              <w:rPr>
                <w:rFonts w:ascii="Times New Roman" w:eastAsia="Times New Roman" w:hAnsi="Times New Roman"/>
                <w:lang w:eastAsia="en-GB"/>
              </w:rPr>
              <w:t xml:space="preserve"> </w:t>
            </w:r>
            <w:r w:rsidR="009C626B" w:rsidRPr="008D536F">
              <w:rPr>
                <w:rFonts w:ascii="Times New Roman" w:eastAsia="Times New Roman" w:hAnsi="Times New Roman"/>
                <w:lang w:eastAsia="en-GB"/>
              </w:rPr>
              <w:t>S</w:t>
            </w:r>
            <w:r w:rsidR="00E00EA1" w:rsidRPr="008D536F">
              <w:rPr>
                <w:rFonts w:ascii="Times New Roman" w:eastAsia="Times New Roman" w:hAnsi="Times New Roman"/>
                <w:lang w:eastAsia="en-GB"/>
              </w:rPr>
              <w:t xml:space="preserve">ensitivity analysis </w:t>
            </w:r>
            <w:r w:rsidRPr="008D536F">
              <w:rPr>
                <w:rFonts w:ascii="Times New Roman" w:hAnsi="Times New Roman"/>
              </w:rPr>
              <w:t xml:space="preserve">excludes </w:t>
            </w:r>
            <w:r w:rsidRPr="008D536F">
              <w:rPr>
                <w:rFonts w:ascii="Times New Roman" w:eastAsia="Times New Roman" w:hAnsi="Times New Roman"/>
                <w:lang w:eastAsia="en-ZA"/>
              </w:rPr>
              <w:t xml:space="preserve">those excluded from </w:t>
            </w:r>
            <w:proofErr w:type="spellStart"/>
            <w:r w:rsidRPr="008D536F">
              <w:rPr>
                <w:rFonts w:ascii="Times New Roman" w:eastAsia="Times New Roman" w:hAnsi="Times New Roman"/>
                <w:lang w:eastAsia="en-ZA"/>
              </w:rPr>
              <w:t>mITT</w:t>
            </w:r>
            <w:proofErr w:type="spellEnd"/>
            <w:r w:rsidRPr="008D536F">
              <w:rPr>
                <w:rFonts w:ascii="Times New Roman" w:eastAsia="Times New Roman" w:hAnsi="Times New Roman"/>
                <w:lang w:eastAsia="en-ZA"/>
              </w:rPr>
              <w:t xml:space="preserve"> analysis, as well as lost to follow up, those missing a VL within the window, participants who stopped or were changed from the study drug for reasons other than failure of the regimen and those who had evidence of poor adherence (</w:t>
            </w:r>
            <w:r w:rsidR="00AD441D" w:rsidRPr="008D536F">
              <w:rPr>
                <w:rFonts w:ascii="Times New Roman" w:hAnsi="Times New Roman"/>
              </w:rPr>
              <w:t>tenofovir diphosphate [</w:t>
            </w:r>
            <w:r w:rsidRPr="008D536F">
              <w:rPr>
                <w:rFonts w:ascii="Times New Roman" w:eastAsia="Times New Roman" w:hAnsi="Times New Roman"/>
                <w:lang w:eastAsia="en-ZA"/>
              </w:rPr>
              <w:t>TFV-DP</w:t>
            </w:r>
            <w:r w:rsidR="00AD441D" w:rsidRPr="008D536F">
              <w:rPr>
                <w:rFonts w:ascii="Times New Roman" w:eastAsia="Times New Roman" w:hAnsi="Times New Roman"/>
                <w:lang w:eastAsia="en-ZA"/>
              </w:rPr>
              <w:t xml:space="preserve">] </w:t>
            </w:r>
            <w:r w:rsidRPr="008D536F">
              <w:rPr>
                <w:rFonts w:ascii="Times New Roman" w:eastAsia="Times New Roman" w:hAnsi="Times New Roman"/>
                <w:lang w:eastAsia="en-ZA"/>
              </w:rPr>
              <w:t xml:space="preserve">&lt;350 </w:t>
            </w:r>
            <w:proofErr w:type="spellStart"/>
            <w:r w:rsidRPr="008D536F">
              <w:rPr>
                <w:rFonts w:ascii="Times New Roman" w:eastAsia="Times New Roman" w:hAnsi="Times New Roman"/>
                <w:lang w:eastAsia="en-ZA"/>
              </w:rPr>
              <w:t>fmol</w:t>
            </w:r>
            <w:proofErr w:type="spellEnd"/>
            <w:r w:rsidRPr="008D536F">
              <w:rPr>
                <w:rFonts w:ascii="Times New Roman" w:eastAsia="Times New Roman" w:hAnsi="Times New Roman"/>
                <w:lang w:eastAsia="en-ZA"/>
              </w:rPr>
              <w:t>/punch).</w:t>
            </w:r>
            <w:r w:rsidR="00B82316" w:rsidRPr="008D536F">
              <w:rPr>
                <w:rFonts w:ascii="Times New Roman" w:eastAsia="Times New Roman" w:hAnsi="Times New Roman"/>
                <w:lang w:eastAsia="en-ZA"/>
              </w:rPr>
              <w:t xml:space="preserve"> </w:t>
            </w:r>
            <w:r w:rsidR="00B82316" w:rsidRPr="008D536F">
              <w:rPr>
                <w:rFonts w:ascii="Times New Roman" w:hAnsi="Times New Roman"/>
                <w:shd w:val="clear" w:color="auto" w:fill="FFFFFF"/>
              </w:rPr>
              <w:t xml:space="preserve">As </w:t>
            </w:r>
            <w:r w:rsidR="00090117" w:rsidRPr="008D536F">
              <w:rPr>
                <w:rFonts w:ascii="Times New Roman" w:hAnsi="Times New Roman"/>
                <w:shd w:val="clear" w:color="auto" w:fill="FFFFFF"/>
              </w:rPr>
              <w:t>TFV-DP</w:t>
            </w:r>
            <w:r w:rsidR="00B82316" w:rsidRPr="008D536F">
              <w:rPr>
                <w:rFonts w:ascii="Times New Roman" w:hAnsi="Times New Roman"/>
                <w:shd w:val="clear" w:color="auto" w:fill="FFFFFF"/>
              </w:rPr>
              <w:t xml:space="preserve"> was measured at weeks 12 and 24 only, it was assumed that individuals that were adherent/nonadherent at those visits were adherent/nonadherent respectively at the preceding visits (</w:t>
            </w:r>
            <w:proofErr w:type="spellStart"/>
            <w:r w:rsidR="00B82316" w:rsidRPr="008D536F">
              <w:rPr>
                <w:rFonts w:ascii="Times New Roman" w:hAnsi="Times New Roman"/>
                <w:shd w:val="clear" w:color="auto" w:fill="FFFFFF"/>
              </w:rPr>
              <w:t>ie</w:t>
            </w:r>
            <w:proofErr w:type="spellEnd"/>
            <w:r w:rsidR="00B82316" w:rsidRPr="008D536F">
              <w:rPr>
                <w:rFonts w:ascii="Times New Roman" w:hAnsi="Times New Roman"/>
                <w:shd w:val="clear" w:color="auto" w:fill="FFFFFF"/>
              </w:rPr>
              <w:t>, weeks 4-12 for the week 12 adherence measure and weeks 16-24 for the week 24 adherence measure). Using this assumption, only one additional visit (at week 16) was excluded from the sensitivity population.</w:t>
            </w:r>
          </w:p>
          <w:p w14:paraId="565738A8" w14:textId="1D07F5A9" w:rsidR="00F06828" w:rsidRPr="008D536F" w:rsidRDefault="00F06828" w:rsidP="004001CC">
            <w:pPr>
              <w:spacing w:after="0" w:line="240" w:lineRule="auto"/>
              <w:rPr>
                <w:rFonts w:ascii="Times New Roman" w:eastAsia="Times New Roman" w:hAnsi="Times New Roman"/>
                <w:lang w:eastAsia="en-GB"/>
              </w:rPr>
            </w:pPr>
            <w:r w:rsidRPr="008D536F">
              <w:rPr>
                <w:rFonts w:ascii="Times New Roman" w:hAnsi="Times New Roman"/>
              </w:rPr>
              <w:t xml:space="preserve">† </w:t>
            </w:r>
            <w:r w:rsidR="009C626B" w:rsidRPr="008D536F">
              <w:rPr>
                <w:rFonts w:ascii="Times New Roman" w:hAnsi="Times New Roman"/>
              </w:rPr>
              <w:t>O</w:t>
            </w:r>
            <w:r w:rsidRPr="008D536F">
              <w:rPr>
                <w:rFonts w:ascii="Times New Roman" w:hAnsi="Times New Roman"/>
              </w:rPr>
              <w:t>ne sided 97.5% confidence interval (CI)</w:t>
            </w:r>
            <w:r w:rsidR="008B734B" w:rsidRPr="008D536F">
              <w:rPr>
                <w:rFonts w:ascii="Times New Roman" w:hAnsi="Times New Roman"/>
              </w:rPr>
              <w:t xml:space="preserve"> when 0 or 100% were successful</w:t>
            </w:r>
          </w:p>
        </w:tc>
      </w:tr>
    </w:tbl>
    <w:p w14:paraId="6BC372EF" w14:textId="2CA598F3" w:rsidR="004001CC" w:rsidRPr="008D536F" w:rsidRDefault="00B97772">
      <w:pPr>
        <w:spacing w:after="160" w:line="259" w:lineRule="auto"/>
        <w:rPr>
          <w:rFonts w:ascii="Times New Roman" w:hAnsi="Times New Roman"/>
        </w:rPr>
      </w:pPr>
      <w:r w:rsidRPr="008D536F">
        <w:rPr>
          <w:rFonts w:ascii="Times New Roman" w:hAnsi="Times New Roman"/>
        </w:rPr>
        <w:br w:type="page"/>
      </w:r>
    </w:p>
    <w:p w14:paraId="1CCC245F" w14:textId="5119F882" w:rsidR="00B42A97" w:rsidRPr="008D536F" w:rsidRDefault="007B6193" w:rsidP="00B42A97">
      <w:pPr>
        <w:pStyle w:val="Heading2"/>
        <w:rPr>
          <w:rFonts w:ascii="Times New Roman" w:hAnsi="Times New Roman" w:cs="Times New Roman"/>
          <w:color w:val="auto"/>
          <w:sz w:val="22"/>
          <w:szCs w:val="22"/>
        </w:rPr>
      </w:pPr>
      <w:r w:rsidRPr="008D536F">
        <w:rPr>
          <w:rFonts w:ascii="Times New Roman" w:hAnsi="Times New Roman" w:cs="Times New Roman"/>
          <w:color w:val="auto"/>
          <w:sz w:val="22"/>
          <w:szCs w:val="22"/>
        </w:rPr>
        <w:lastRenderedPageBreak/>
        <w:t>T</w:t>
      </w:r>
      <w:r w:rsidR="0012116C" w:rsidRPr="008D536F">
        <w:rPr>
          <w:rFonts w:ascii="Times New Roman" w:hAnsi="Times New Roman" w:cs="Times New Roman"/>
          <w:color w:val="auto"/>
          <w:sz w:val="22"/>
          <w:szCs w:val="22"/>
        </w:rPr>
        <w:t>able</w:t>
      </w:r>
      <w:r w:rsidRPr="008D536F">
        <w:rPr>
          <w:rFonts w:ascii="Times New Roman" w:hAnsi="Times New Roman" w:cs="Times New Roman"/>
          <w:color w:val="auto"/>
          <w:sz w:val="22"/>
          <w:szCs w:val="22"/>
        </w:rPr>
        <w:t xml:space="preserve"> </w:t>
      </w:r>
      <w:r w:rsidR="00B554C0" w:rsidRPr="008D536F">
        <w:rPr>
          <w:rFonts w:ascii="Times New Roman" w:hAnsi="Times New Roman" w:cs="Times New Roman"/>
          <w:color w:val="auto"/>
          <w:sz w:val="22"/>
          <w:szCs w:val="22"/>
        </w:rPr>
        <w:t>4</w:t>
      </w:r>
      <w:r w:rsidR="00B076F1" w:rsidRPr="008D536F">
        <w:rPr>
          <w:rFonts w:ascii="Times New Roman" w:hAnsi="Times New Roman" w:cs="Times New Roman"/>
          <w:color w:val="auto"/>
          <w:sz w:val="22"/>
          <w:szCs w:val="22"/>
        </w:rPr>
        <w:t>.</w:t>
      </w:r>
      <w:r w:rsidRPr="008D536F">
        <w:rPr>
          <w:rFonts w:ascii="Times New Roman" w:hAnsi="Times New Roman" w:cs="Times New Roman"/>
          <w:color w:val="auto"/>
          <w:sz w:val="22"/>
          <w:szCs w:val="22"/>
        </w:rPr>
        <w:t xml:space="preserve"> HIV viral load </w:t>
      </w:r>
      <w:r w:rsidR="002127A3" w:rsidRPr="008D536F">
        <w:rPr>
          <w:rFonts w:ascii="Times New Roman" w:hAnsi="Times New Roman" w:cs="Times New Roman"/>
          <w:color w:val="auto"/>
          <w:sz w:val="22"/>
          <w:szCs w:val="22"/>
        </w:rPr>
        <w:t xml:space="preserve">(VL) </w:t>
      </w:r>
      <w:r w:rsidRPr="008D536F">
        <w:rPr>
          <w:rFonts w:ascii="Times New Roman" w:hAnsi="Times New Roman" w:cs="Times New Roman"/>
          <w:color w:val="auto"/>
          <w:sz w:val="22"/>
          <w:szCs w:val="22"/>
        </w:rPr>
        <w:t>data by participant</w:t>
      </w:r>
      <w:r w:rsidR="0028513B" w:rsidRPr="008D536F">
        <w:rPr>
          <w:rFonts w:ascii="Times New Roman" w:hAnsi="Times New Roman" w:cs="Times New Roman"/>
          <w:color w:val="auto"/>
          <w:sz w:val="22"/>
          <w:szCs w:val="22"/>
        </w:rPr>
        <w:t xml:space="preserve">  </w:t>
      </w:r>
    </w:p>
    <w:tbl>
      <w:tblPr>
        <w:tblW w:w="0" w:type="auto"/>
        <w:tblLayout w:type="fixed"/>
        <w:tblLook w:val="04A0" w:firstRow="1" w:lastRow="0" w:firstColumn="1" w:lastColumn="0" w:noHBand="0" w:noVBand="1"/>
      </w:tblPr>
      <w:tblGrid>
        <w:gridCol w:w="1276"/>
        <w:gridCol w:w="1512"/>
        <w:gridCol w:w="331"/>
        <w:gridCol w:w="887"/>
        <w:gridCol w:w="956"/>
        <w:gridCol w:w="262"/>
        <w:gridCol w:w="1215"/>
        <w:gridCol w:w="224"/>
        <w:gridCol w:w="991"/>
        <w:gridCol w:w="851"/>
        <w:gridCol w:w="364"/>
        <w:gridCol w:w="1217"/>
      </w:tblGrid>
      <w:tr w:rsidR="00C94450" w:rsidRPr="008D536F" w14:paraId="03928152" w14:textId="77777777" w:rsidTr="00722CD3">
        <w:trPr>
          <w:trHeight w:val="320"/>
        </w:trPr>
        <w:tc>
          <w:tcPr>
            <w:tcW w:w="1276" w:type="dxa"/>
            <w:vMerge w:val="restart"/>
            <w:tcBorders>
              <w:top w:val="single" w:sz="4" w:space="0" w:color="auto"/>
            </w:tcBorders>
            <w:shd w:val="clear" w:color="auto" w:fill="FFFFFF" w:themeFill="background1"/>
            <w:noWrap/>
            <w:vAlign w:val="bottom"/>
          </w:tcPr>
          <w:p w14:paraId="669AB568" w14:textId="77777777" w:rsidR="00C94450" w:rsidRPr="008D536F" w:rsidRDefault="00C94450" w:rsidP="006911DE">
            <w:pPr>
              <w:spacing w:after="0" w:line="240" w:lineRule="auto"/>
              <w:rPr>
                <w:rFonts w:ascii="Times New Roman" w:eastAsia="Times New Roman" w:hAnsi="Times New Roman"/>
                <w:lang w:eastAsia="en-GB"/>
              </w:rPr>
            </w:pPr>
            <w:bookmarkStart w:id="6" w:name="_Toc54940399"/>
            <w:r w:rsidRPr="008D536F">
              <w:rPr>
                <w:rFonts w:ascii="Times New Roman" w:eastAsia="Times New Roman" w:hAnsi="Times New Roman"/>
                <w:lang w:eastAsia="en-GB"/>
              </w:rPr>
              <w:t>Participant</w:t>
            </w:r>
          </w:p>
        </w:tc>
        <w:tc>
          <w:tcPr>
            <w:tcW w:w="8810" w:type="dxa"/>
            <w:gridSpan w:val="11"/>
            <w:tcBorders>
              <w:top w:val="single" w:sz="4" w:space="0" w:color="auto"/>
            </w:tcBorders>
            <w:shd w:val="clear" w:color="auto" w:fill="FFFFFF" w:themeFill="background1"/>
            <w:noWrap/>
            <w:vAlign w:val="bottom"/>
          </w:tcPr>
          <w:p w14:paraId="582E4ED1" w14:textId="0003C13C" w:rsidR="00C94450" w:rsidRPr="008D536F" w:rsidRDefault="002127A3"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VL</w:t>
            </w:r>
            <w:r w:rsidR="00C94450" w:rsidRPr="008D536F">
              <w:rPr>
                <w:rFonts w:ascii="Times New Roman" w:eastAsia="Times New Roman" w:hAnsi="Times New Roman"/>
                <w:lang w:eastAsia="en-GB"/>
              </w:rPr>
              <w:t xml:space="preserve"> result by week</w:t>
            </w:r>
            <w:r w:rsidRPr="008D536F">
              <w:rPr>
                <w:rFonts w:ascii="Times New Roman" w:eastAsia="Times New Roman" w:hAnsi="Times New Roman"/>
                <w:lang w:eastAsia="en-GB"/>
              </w:rPr>
              <w:t xml:space="preserve"> </w:t>
            </w:r>
          </w:p>
        </w:tc>
      </w:tr>
      <w:tr w:rsidR="00C94450" w:rsidRPr="008D536F" w14:paraId="239A1DE6" w14:textId="77777777" w:rsidTr="00722CD3">
        <w:trPr>
          <w:trHeight w:val="320"/>
        </w:trPr>
        <w:tc>
          <w:tcPr>
            <w:tcW w:w="1276" w:type="dxa"/>
            <w:vMerge/>
            <w:tcBorders>
              <w:bottom w:val="single" w:sz="4" w:space="0" w:color="auto"/>
            </w:tcBorders>
            <w:shd w:val="clear" w:color="auto" w:fill="FFFFFF" w:themeFill="background1"/>
            <w:noWrap/>
            <w:vAlign w:val="bottom"/>
            <w:hideMark/>
          </w:tcPr>
          <w:p w14:paraId="2677CEA7" w14:textId="77777777" w:rsidR="00C94450" w:rsidRPr="008D536F" w:rsidRDefault="00C94450" w:rsidP="006911DE">
            <w:pPr>
              <w:spacing w:after="0" w:line="240" w:lineRule="auto"/>
              <w:rPr>
                <w:rFonts w:ascii="Times New Roman" w:eastAsia="Times New Roman" w:hAnsi="Times New Roman"/>
                <w:lang w:eastAsia="en-GB"/>
              </w:rPr>
            </w:pPr>
          </w:p>
        </w:tc>
        <w:tc>
          <w:tcPr>
            <w:tcW w:w="1512" w:type="dxa"/>
            <w:tcBorders>
              <w:top w:val="single" w:sz="4" w:space="0" w:color="FFFFFF" w:themeColor="background1"/>
              <w:bottom w:val="single" w:sz="4" w:space="0" w:color="auto"/>
            </w:tcBorders>
            <w:shd w:val="clear" w:color="auto" w:fill="FFFFFF" w:themeFill="background1"/>
            <w:noWrap/>
            <w:vAlign w:val="bottom"/>
            <w:hideMark/>
          </w:tcPr>
          <w:p w14:paraId="5D3FA86B" w14:textId="2E3BB1E5"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Screening</w:t>
            </w:r>
            <w:r w:rsidR="00B47E6E"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VL</w:t>
            </w:r>
          </w:p>
        </w:tc>
        <w:tc>
          <w:tcPr>
            <w:tcW w:w="1218" w:type="dxa"/>
            <w:gridSpan w:val="2"/>
            <w:tcBorders>
              <w:top w:val="single" w:sz="4" w:space="0" w:color="FFFFFF" w:themeColor="background1"/>
              <w:bottom w:val="single" w:sz="4" w:space="0" w:color="auto"/>
            </w:tcBorders>
            <w:shd w:val="clear" w:color="auto" w:fill="FFFFFF" w:themeFill="background1"/>
            <w:noWrap/>
            <w:vAlign w:val="bottom"/>
            <w:hideMark/>
          </w:tcPr>
          <w:p w14:paraId="6E2D0336" w14:textId="64EB7E6D"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w:t>
            </w:r>
            <w:r w:rsidR="002127A3" w:rsidRPr="008D536F">
              <w:rPr>
                <w:rFonts w:ascii="Times New Roman" w:eastAsia="Times New Roman" w:hAnsi="Times New Roman"/>
                <w:lang w:eastAsia="en-GB"/>
              </w:rPr>
              <w:t>ee</w:t>
            </w:r>
            <w:r w:rsidRPr="008D536F">
              <w:rPr>
                <w:rFonts w:ascii="Times New Roman" w:eastAsia="Times New Roman" w:hAnsi="Times New Roman"/>
                <w:lang w:eastAsia="en-GB"/>
              </w:rPr>
              <w:t>k</w:t>
            </w:r>
            <w:r w:rsidR="00CB44C7"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4</w:t>
            </w:r>
          </w:p>
        </w:tc>
        <w:tc>
          <w:tcPr>
            <w:tcW w:w="1218" w:type="dxa"/>
            <w:gridSpan w:val="2"/>
            <w:tcBorders>
              <w:top w:val="single" w:sz="4" w:space="0" w:color="FFFFFF" w:themeColor="background1"/>
              <w:bottom w:val="single" w:sz="4" w:space="0" w:color="auto"/>
            </w:tcBorders>
            <w:shd w:val="clear" w:color="auto" w:fill="FFFFFF" w:themeFill="background1"/>
            <w:noWrap/>
            <w:vAlign w:val="bottom"/>
            <w:hideMark/>
          </w:tcPr>
          <w:p w14:paraId="4FE10F80" w14:textId="6CC6A8A9"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w:t>
            </w:r>
            <w:r w:rsidR="002127A3" w:rsidRPr="008D536F">
              <w:rPr>
                <w:rFonts w:ascii="Times New Roman" w:eastAsia="Times New Roman" w:hAnsi="Times New Roman"/>
                <w:lang w:eastAsia="en-GB"/>
              </w:rPr>
              <w:t>ee</w:t>
            </w:r>
            <w:r w:rsidRPr="008D536F">
              <w:rPr>
                <w:rFonts w:ascii="Times New Roman" w:eastAsia="Times New Roman" w:hAnsi="Times New Roman"/>
                <w:lang w:eastAsia="en-GB"/>
              </w:rPr>
              <w:t>k</w:t>
            </w:r>
            <w:r w:rsidR="002127A3"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8</w:t>
            </w:r>
          </w:p>
        </w:tc>
        <w:tc>
          <w:tcPr>
            <w:tcW w:w="1215" w:type="dxa"/>
            <w:tcBorders>
              <w:top w:val="single" w:sz="4" w:space="0" w:color="FFFFFF" w:themeColor="background1"/>
              <w:bottom w:val="single" w:sz="4" w:space="0" w:color="auto"/>
            </w:tcBorders>
            <w:shd w:val="clear" w:color="auto" w:fill="FFFFFF" w:themeFill="background1"/>
            <w:noWrap/>
            <w:vAlign w:val="bottom"/>
            <w:hideMark/>
          </w:tcPr>
          <w:p w14:paraId="081C7619" w14:textId="2BCE1FA2"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w:t>
            </w:r>
            <w:r w:rsidR="002127A3" w:rsidRPr="008D536F">
              <w:rPr>
                <w:rFonts w:ascii="Times New Roman" w:eastAsia="Times New Roman" w:hAnsi="Times New Roman"/>
                <w:lang w:eastAsia="en-GB"/>
              </w:rPr>
              <w:t>ee</w:t>
            </w:r>
            <w:r w:rsidRPr="008D536F">
              <w:rPr>
                <w:rFonts w:ascii="Times New Roman" w:eastAsia="Times New Roman" w:hAnsi="Times New Roman"/>
                <w:lang w:eastAsia="en-GB"/>
              </w:rPr>
              <w:t>k</w:t>
            </w:r>
            <w:r w:rsidR="002127A3"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12</w:t>
            </w:r>
          </w:p>
        </w:tc>
        <w:tc>
          <w:tcPr>
            <w:tcW w:w="1215" w:type="dxa"/>
            <w:gridSpan w:val="2"/>
            <w:tcBorders>
              <w:top w:val="single" w:sz="4" w:space="0" w:color="FFFFFF" w:themeColor="background1"/>
              <w:bottom w:val="single" w:sz="4" w:space="0" w:color="auto"/>
            </w:tcBorders>
            <w:shd w:val="clear" w:color="auto" w:fill="FFFFFF" w:themeFill="background1"/>
            <w:noWrap/>
            <w:vAlign w:val="bottom"/>
            <w:hideMark/>
          </w:tcPr>
          <w:p w14:paraId="46EB5354" w14:textId="601D46B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w:t>
            </w:r>
            <w:r w:rsidR="002127A3" w:rsidRPr="008D536F">
              <w:rPr>
                <w:rFonts w:ascii="Times New Roman" w:eastAsia="Times New Roman" w:hAnsi="Times New Roman"/>
                <w:lang w:eastAsia="en-GB"/>
              </w:rPr>
              <w:t>ee</w:t>
            </w:r>
            <w:r w:rsidRPr="008D536F">
              <w:rPr>
                <w:rFonts w:ascii="Times New Roman" w:eastAsia="Times New Roman" w:hAnsi="Times New Roman"/>
                <w:lang w:eastAsia="en-GB"/>
              </w:rPr>
              <w:t>k</w:t>
            </w:r>
            <w:r w:rsidR="00CB44C7"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16</w:t>
            </w:r>
          </w:p>
        </w:tc>
        <w:tc>
          <w:tcPr>
            <w:tcW w:w="1215" w:type="dxa"/>
            <w:gridSpan w:val="2"/>
            <w:tcBorders>
              <w:top w:val="single" w:sz="4" w:space="0" w:color="FFFFFF" w:themeColor="background1"/>
              <w:bottom w:val="single" w:sz="4" w:space="0" w:color="auto"/>
            </w:tcBorders>
            <w:shd w:val="clear" w:color="auto" w:fill="FFFFFF" w:themeFill="background1"/>
            <w:noWrap/>
            <w:vAlign w:val="bottom"/>
            <w:hideMark/>
          </w:tcPr>
          <w:p w14:paraId="4CE8AAD6" w14:textId="0325922F"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w:t>
            </w:r>
            <w:r w:rsidR="00CB44C7" w:rsidRPr="008D536F">
              <w:rPr>
                <w:rFonts w:ascii="Times New Roman" w:eastAsia="Times New Roman" w:hAnsi="Times New Roman"/>
                <w:lang w:eastAsia="en-GB"/>
              </w:rPr>
              <w:t>ee</w:t>
            </w:r>
            <w:r w:rsidRPr="008D536F">
              <w:rPr>
                <w:rFonts w:ascii="Times New Roman" w:eastAsia="Times New Roman" w:hAnsi="Times New Roman"/>
                <w:lang w:eastAsia="en-GB"/>
              </w:rPr>
              <w:t>k</w:t>
            </w:r>
            <w:r w:rsidR="00CB44C7"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20</w:t>
            </w:r>
          </w:p>
        </w:tc>
        <w:tc>
          <w:tcPr>
            <w:tcW w:w="1217" w:type="dxa"/>
            <w:tcBorders>
              <w:top w:val="single" w:sz="4" w:space="0" w:color="FFFFFF" w:themeColor="background1"/>
              <w:bottom w:val="single" w:sz="4" w:space="0" w:color="auto"/>
            </w:tcBorders>
            <w:shd w:val="clear" w:color="auto" w:fill="FFFFFF" w:themeFill="background1"/>
            <w:noWrap/>
            <w:vAlign w:val="bottom"/>
            <w:hideMark/>
          </w:tcPr>
          <w:p w14:paraId="14EEAE1C" w14:textId="4BD4FC3A"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w:t>
            </w:r>
            <w:r w:rsidR="00CB44C7" w:rsidRPr="008D536F">
              <w:rPr>
                <w:rFonts w:ascii="Times New Roman" w:eastAsia="Times New Roman" w:hAnsi="Times New Roman"/>
                <w:lang w:eastAsia="en-GB"/>
              </w:rPr>
              <w:t>ee</w:t>
            </w:r>
            <w:r w:rsidRPr="008D536F">
              <w:rPr>
                <w:rFonts w:ascii="Times New Roman" w:eastAsia="Times New Roman" w:hAnsi="Times New Roman"/>
                <w:lang w:eastAsia="en-GB"/>
              </w:rPr>
              <w:t>k</w:t>
            </w:r>
            <w:r w:rsidR="00CB44C7"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24</w:t>
            </w:r>
          </w:p>
        </w:tc>
      </w:tr>
      <w:tr w:rsidR="00C94450" w:rsidRPr="008D536F" w14:paraId="1575A4C2" w14:textId="77777777" w:rsidTr="00B47E6E">
        <w:trPr>
          <w:trHeight w:val="310"/>
        </w:trPr>
        <w:tc>
          <w:tcPr>
            <w:tcW w:w="1276" w:type="dxa"/>
            <w:tcBorders>
              <w:top w:val="single" w:sz="4" w:space="0" w:color="auto"/>
            </w:tcBorders>
            <w:shd w:val="clear" w:color="auto" w:fill="auto"/>
            <w:noWrap/>
            <w:vAlign w:val="bottom"/>
            <w:hideMark/>
          </w:tcPr>
          <w:p w14:paraId="6A79BD1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w:t>
            </w:r>
          </w:p>
        </w:tc>
        <w:tc>
          <w:tcPr>
            <w:tcW w:w="1512" w:type="dxa"/>
            <w:tcBorders>
              <w:top w:val="single" w:sz="4" w:space="0" w:color="auto"/>
            </w:tcBorders>
            <w:shd w:val="clear" w:color="auto" w:fill="auto"/>
            <w:noWrap/>
            <w:vAlign w:val="bottom"/>
            <w:hideMark/>
          </w:tcPr>
          <w:p w14:paraId="5B5838E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77425</w:t>
            </w:r>
          </w:p>
        </w:tc>
        <w:tc>
          <w:tcPr>
            <w:tcW w:w="1218" w:type="dxa"/>
            <w:gridSpan w:val="2"/>
            <w:tcBorders>
              <w:top w:val="single" w:sz="4" w:space="0" w:color="auto"/>
            </w:tcBorders>
            <w:shd w:val="clear" w:color="auto" w:fill="FB7575"/>
            <w:noWrap/>
            <w:vAlign w:val="bottom"/>
            <w:hideMark/>
          </w:tcPr>
          <w:p w14:paraId="628CDBE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314</w:t>
            </w:r>
          </w:p>
        </w:tc>
        <w:tc>
          <w:tcPr>
            <w:tcW w:w="1218" w:type="dxa"/>
            <w:gridSpan w:val="2"/>
            <w:tcBorders>
              <w:top w:val="single" w:sz="4" w:space="0" w:color="auto"/>
            </w:tcBorders>
            <w:shd w:val="clear" w:color="auto" w:fill="FB7575"/>
            <w:noWrap/>
            <w:vAlign w:val="bottom"/>
            <w:hideMark/>
          </w:tcPr>
          <w:p w14:paraId="50DDE84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215</w:t>
            </w:r>
          </w:p>
        </w:tc>
        <w:tc>
          <w:tcPr>
            <w:tcW w:w="1215" w:type="dxa"/>
            <w:tcBorders>
              <w:top w:val="single" w:sz="4" w:space="0" w:color="auto"/>
            </w:tcBorders>
            <w:shd w:val="clear" w:color="000000" w:fill="F8CBAD"/>
            <w:noWrap/>
            <w:vAlign w:val="bottom"/>
            <w:hideMark/>
          </w:tcPr>
          <w:p w14:paraId="6C254CE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69</w:t>
            </w:r>
          </w:p>
        </w:tc>
        <w:tc>
          <w:tcPr>
            <w:tcW w:w="1215" w:type="dxa"/>
            <w:gridSpan w:val="2"/>
            <w:tcBorders>
              <w:top w:val="single" w:sz="4" w:space="0" w:color="auto"/>
            </w:tcBorders>
            <w:shd w:val="clear" w:color="auto" w:fill="FB7575"/>
            <w:noWrap/>
            <w:vAlign w:val="bottom"/>
            <w:hideMark/>
          </w:tcPr>
          <w:p w14:paraId="6E03201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102</w:t>
            </w:r>
          </w:p>
        </w:tc>
        <w:tc>
          <w:tcPr>
            <w:tcW w:w="1215" w:type="dxa"/>
            <w:gridSpan w:val="2"/>
            <w:tcBorders>
              <w:top w:val="single" w:sz="4" w:space="0" w:color="auto"/>
            </w:tcBorders>
            <w:shd w:val="clear" w:color="000000" w:fill="F8CBAD"/>
            <w:noWrap/>
            <w:vAlign w:val="bottom"/>
            <w:hideMark/>
          </w:tcPr>
          <w:p w14:paraId="08F2EFC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58</w:t>
            </w:r>
          </w:p>
        </w:tc>
        <w:tc>
          <w:tcPr>
            <w:tcW w:w="1217" w:type="dxa"/>
            <w:tcBorders>
              <w:top w:val="single" w:sz="4" w:space="0" w:color="auto"/>
            </w:tcBorders>
            <w:shd w:val="clear" w:color="000000" w:fill="E2EFDA"/>
            <w:noWrap/>
            <w:vAlign w:val="bottom"/>
            <w:hideMark/>
          </w:tcPr>
          <w:p w14:paraId="6AE605B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49</w:t>
            </w:r>
          </w:p>
        </w:tc>
      </w:tr>
      <w:tr w:rsidR="00C94450" w:rsidRPr="008D536F" w14:paraId="0B97F069" w14:textId="77777777" w:rsidTr="00B47E6E">
        <w:trPr>
          <w:trHeight w:val="310"/>
        </w:trPr>
        <w:tc>
          <w:tcPr>
            <w:tcW w:w="1276" w:type="dxa"/>
            <w:shd w:val="clear" w:color="auto" w:fill="auto"/>
            <w:noWrap/>
            <w:vAlign w:val="bottom"/>
            <w:hideMark/>
          </w:tcPr>
          <w:p w14:paraId="5D3E5C59"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w:t>
            </w:r>
          </w:p>
        </w:tc>
        <w:tc>
          <w:tcPr>
            <w:tcW w:w="1512" w:type="dxa"/>
            <w:shd w:val="clear" w:color="auto" w:fill="auto"/>
            <w:noWrap/>
            <w:vAlign w:val="bottom"/>
            <w:hideMark/>
          </w:tcPr>
          <w:p w14:paraId="3C69B32D"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4668</w:t>
            </w:r>
          </w:p>
        </w:tc>
        <w:tc>
          <w:tcPr>
            <w:tcW w:w="1218" w:type="dxa"/>
            <w:gridSpan w:val="2"/>
            <w:shd w:val="clear" w:color="000000" w:fill="E2EFDA"/>
            <w:noWrap/>
            <w:vAlign w:val="bottom"/>
            <w:hideMark/>
          </w:tcPr>
          <w:p w14:paraId="3E0B8DF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5C51A3D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4307D6B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29</w:t>
            </w:r>
          </w:p>
        </w:tc>
        <w:tc>
          <w:tcPr>
            <w:tcW w:w="1215" w:type="dxa"/>
            <w:gridSpan w:val="2"/>
            <w:shd w:val="clear" w:color="000000" w:fill="E2EFDA"/>
            <w:noWrap/>
            <w:vAlign w:val="bottom"/>
            <w:hideMark/>
          </w:tcPr>
          <w:p w14:paraId="1EC4C8E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7E5C160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23</w:t>
            </w:r>
          </w:p>
        </w:tc>
        <w:tc>
          <w:tcPr>
            <w:tcW w:w="1217" w:type="dxa"/>
            <w:shd w:val="clear" w:color="000000" w:fill="E2EFDA"/>
            <w:noWrap/>
            <w:vAlign w:val="bottom"/>
            <w:hideMark/>
          </w:tcPr>
          <w:p w14:paraId="2DC577F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0469EF72" w14:textId="77777777" w:rsidTr="00B47E6E">
        <w:trPr>
          <w:trHeight w:val="310"/>
        </w:trPr>
        <w:tc>
          <w:tcPr>
            <w:tcW w:w="1276" w:type="dxa"/>
            <w:shd w:val="clear" w:color="auto" w:fill="auto"/>
            <w:noWrap/>
            <w:vAlign w:val="bottom"/>
            <w:hideMark/>
          </w:tcPr>
          <w:p w14:paraId="5EEEB007"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w:t>
            </w:r>
          </w:p>
        </w:tc>
        <w:tc>
          <w:tcPr>
            <w:tcW w:w="1512" w:type="dxa"/>
            <w:shd w:val="clear" w:color="auto" w:fill="auto"/>
            <w:noWrap/>
            <w:vAlign w:val="bottom"/>
            <w:hideMark/>
          </w:tcPr>
          <w:p w14:paraId="05E3EC1D"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2113</w:t>
            </w:r>
          </w:p>
        </w:tc>
        <w:tc>
          <w:tcPr>
            <w:tcW w:w="1218" w:type="dxa"/>
            <w:gridSpan w:val="2"/>
            <w:shd w:val="clear" w:color="000000" w:fill="E2EFDA"/>
            <w:noWrap/>
            <w:vAlign w:val="bottom"/>
            <w:hideMark/>
          </w:tcPr>
          <w:p w14:paraId="13E5D9C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73E02E1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7A55D65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4A0BBBD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3F32F06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shd w:val="clear" w:color="000000" w:fill="E2EFDA"/>
            <w:noWrap/>
            <w:vAlign w:val="bottom"/>
            <w:hideMark/>
          </w:tcPr>
          <w:p w14:paraId="203DF84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2532BE79" w14:textId="77777777" w:rsidTr="00B47E6E">
        <w:trPr>
          <w:trHeight w:val="310"/>
        </w:trPr>
        <w:tc>
          <w:tcPr>
            <w:tcW w:w="1276" w:type="dxa"/>
            <w:shd w:val="clear" w:color="auto" w:fill="auto"/>
            <w:noWrap/>
            <w:vAlign w:val="bottom"/>
            <w:hideMark/>
          </w:tcPr>
          <w:p w14:paraId="6F13985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w:t>
            </w:r>
          </w:p>
        </w:tc>
        <w:tc>
          <w:tcPr>
            <w:tcW w:w="1512" w:type="dxa"/>
            <w:shd w:val="clear" w:color="auto" w:fill="auto"/>
            <w:noWrap/>
            <w:vAlign w:val="bottom"/>
            <w:hideMark/>
          </w:tcPr>
          <w:p w14:paraId="5DC9319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2608</w:t>
            </w:r>
          </w:p>
        </w:tc>
        <w:tc>
          <w:tcPr>
            <w:tcW w:w="1218" w:type="dxa"/>
            <w:gridSpan w:val="2"/>
            <w:shd w:val="clear" w:color="000000" w:fill="E2EFDA"/>
            <w:noWrap/>
            <w:vAlign w:val="bottom"/>
            <w:hideMark/>
          </w:tcPr>
          <w:p w14:paraId="0A7FD61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33</w:t>
            </w:r>
          </w:p>
        </w:tc>
        <w:tc>
          <w:tcPr>
            <w:tcW w:w="1218" w:type="dxa"/>
            <w:gridSpan w:val="2"/>
            <w:shd w:val="clear" w:color="000000" w:fill="E2EFDA"/>
            <w:noWrap/>
            <w:vAlign w:val="bottom"/>
            <w:hideMark/>
          </w:tcPr>
          <w:p w14:paraId="65458D6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384E2F6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2A7CBEA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0EAC11A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7A2CD6A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311ADD61" w14:textId="77777777" w:rsidTr="00B47E6E">
        <w:trPr>
          <w:trHeight w:val="320"/>
        </w:trPr>
        <w:tc>
          <w:tcPr>
            <w:tcW w:w="1276" w:type="dxa"/>
            <w:shd w:val="clear" w:color="auto" w:fill="auto"/>
            <w:noWrap/>
            <w:vAlign w:val="bottom"/>
            <w:hideMark/>
          </w:tcPr>
          <w:p w14:paraId="26C1F5A9"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w:t>
            </w:r>
          </w:p>
        </w:tc>
        <w:tc>
          <w:tcPr>
            <w:tcW w:w="1512" w:type="dxa"/>
            <w:shd w:val="clear" w:color="auto" w:fill="auto"/>
            <w:noWrap/>
            <w:vAlign w:val="bottom"/>
            <w:hideMark/>
          </w:tcPr>
          <w:p w14:paraId="79FA15BB"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3097</w:t>
            </w:r>
          </w:p>
        </w:tc>
        <w:tc>
          <w:tcPr>
            <w:tcW w:w="1218" w:type="dxa"/>
            <w:gridSpan w:val="2"/>
            <w:shd w:val="clear" w:color="000000" w:fill="E2EFDA"/>
            <w:noWrap/>
            <w:vAlign w:val="bottom"/>
            <w:hideMark/>
          </w:tcPr>
          <w:p w14:paraId="0A208FC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1E37E3D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612B705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5A8181E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auto" w:fill="F7CAAC" w:themeFill="accent2" w:themeFillTint="66"/>
            <w:noWrap/>
            <w:vAlign w:val="bottom"/>
            <w:hideMark/>
          </w:tcPr>
          <w:p w14:paraId="3561AC5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&lt;100</w:t>
            </w:r>
          </w:p>
        </w:tc>
        <w:tc>
          <w:tcPr>
            <w:tcW w:w="1217" w:type="dxa"/>
            <w:shd w:val="clear" w:color="000000" w:fill="E2EFDA"/>
            <w:noWrap/>
            <w:vAlign w:val="bottom"/>
            <w:hideMark/>
          </w:tcPr>
          <w:p w14:paraId="7F1DB0F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4C19190D" w14:textId="77777777" w:rsidTr="00B47E6E">
        <w:trPr>
          <w:trHeight w:val="310"/>
        </w:trPr>
        <w:tc>
          <w:tcPr>
            <w:tcW w:w="1276" w:type="dxa"/>
            <w:shd w:val="clear" w:color="auto" w:fill="auto"/>
            <w:noWrap/>
            <w:vAlign w:val="bottom"/>
            <w:hideMark/>
          </w:tcPr>
          <w:p w14:paraId="6EABB092"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6</w:t>
            </w:r>
          </w:p>
        </w:tc>
        <w:tc>
          <w:tcPr>
            <w:tcW w:w="1512" w:type="dxa"/>
            <w:shd w:val="clear" w:color="auto" w:fill="auto"/>
            <w:noWrap/>
            <w:vAlign w:val="bottom"/>
            <w:hideMark/>
          </w:tcPr>
          <w:p w14:paraId="4BA1C52D"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1299</w:t>
            </w:r>
          </w:p>
        </w:tc>
        <w:tc>
          <w:tcPr>
            <w:tcW w:w="1218" w:type="dxa"/>
            <w:gridSpan w:val="2"/>
            <w:shd w:val="clear" w:color="000000" w:fill="E2EFDA"/>
            <w:noWrap/>
            <w:vAlign w:val="bottom"/>
            <w:hideMark/>
          </w:tcPr>
          <w:p w14:paraId="18163E2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26</w:t>
            </w:r>
          </w:p>
        </w:tc>
        <w:tc>
          <w:tcPr>
            <w:tcW w:w="1218" w:type="dxa"/>
            <w:gridSpan w:val="2"/>
            <w:shd w:val="clear" w:color="000000" w:fill="E2EFDA"/>
            <w:noWrap/>
            <w:vAlign w:val="bottom"/>
            <w:hideMark/>
          </w:tcPr>
          <w:p w14:paraId="285BC3E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31</w:t>
            </w:r>
          </w:p>
        </w:tc>
        <w:tc>
          <w:tcPr>
            <w:tcW w:w="1215" w:type="dxa"/>
            <w:shd w:val="clear" w:color="000000" w:fill="F8CBAD"/>
            <w:noWrap/>
            <w:vAlign w:val="bottom"/>
            <w:hideMark/>
          </w:tcPr>
          <w:p w14:paraId="637724F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80</w:t>
            </w:r>
          </w:p>
        </w:tc>
        <w:tc>
          <w:tcPr>
            <w:tcW w:w="1215" w:type="dxa"/>
            <w:gridSpan w:val="2"/>
            <w:shd w:val="clear" w:color="000000" w:fill="E2EFDA"/>
            <w:noWrap/>
            <w:vAlign w:val="bottom"/>
            <w:hideMark/>
          </w:tcPr>
          <w:p w14:paraId="6CD1424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39</w:t>
            </w:r>
          </w:p>
        </w:tc>
        <w:tc>
          <w:tcPr>
            <w:tcW w:w="1215" w:type="dxa"/>
            <w:gridSpan w:val="2"/>
            <w:shd w:val="clear" w:color="000000" w:fill="E2EFDA"/>
            <w:noWrap/>
            <w:vAlign w:val="bottom"/>
            <w:hideMark/>
          </w:tcPr>
          <w:p w14:paraId="32E9CE3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50</w:t>
            </w:r>
          </w:p>
        </w:tc>
        <w:tc>
          <w:tcPr>
            <w:tcW w:w="1217" w:type="dxa"/>
            <w:shd w:val="clear" w:color="000000" w:fill="E2EFDA"/>
            <w:noWrap/>
            <w:vAlign w:val="bottom"/>
            <w:hideMark/>
          </w:tcPr>
          <w:p w14:paraId="4E98845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7B61A352" w14:textId="77777777" w:rsidTr="00B47E6E">
        <w:trPr>
          <w:trHeight w:val="310"/>
        </w:trPr>
        <w:tc>
          <w:tcPr>
            <w:tcW w:w="1276" w:type="dxa"/>
            <w:shd w:val="clear" w:color="auto" w:fill="auto"/>
            <w:noWrap/>
            <w:vAlign w:val="bottom"/>
            <w:hideMark/>
          </w:tcPr>
          <w:p w14:paraId="79E2EAB3"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7</w:t>
            </w:r>
          </w:p>
        </w:tc>
        <w:tc>
          <w:tcPr>
            <w:tcW w:w="1512" w:type="dxa"/>
            <w:shd w:val="clear" w:color="auto" w:fill="auto"/>
            <w:noWrap/>
            <w:vAlign w:val="bottom"/>
            <w:hideMark/>
          </w:tcPr>
          <w:p w14:paraId="1152D33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11178</w:t>
            </w:r>
          </w:p>
        </w:tc>
        <w:tc>
          <w:tcPr>
            <w:tcW w:w="1218" w:type="dxa"/>
            <w:gridSpan w:val="2"/>
            <w:shd w:val="clear" w:color="000000" w:fill="E2EFDA"/>
            <w:noWrap/>
            <w:vAlign w:val="bottom"/>
            <w:hideMark/>
          </w:tcPr>
          <w:p w14:paraId="317D6D9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33E25C2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F8CBAD"/>
            <w:noWrap/>
            <w:vAlign w:val="bottom"/>
            <w:hideMark/>
          </w:tcPr>
          <w:p w14:paraId="0DF6084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70</w:t>
            </w:r>
          </w:p>
        </w:tc>
        <w:tc>
          <w:tcPr>
            <w:tcW w:w="1215" w:type="dxa"/>
            <w:gridSpan w:val="2"/>
            <w:shd w:val="clear" w:color="000000" w:fill="E2EFDA"/>
            <w:noWrap/>
            <w:vAlign w:val="bottom"/>
            <w:hideMark/>
          </w:tcPr>
          <w:p w14:paraId="32A869E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22</w:t>
            </w:r>
          </w:p>
        </w:tc>
        <w:tc>
          <w:tcPr>
            <w:tcW w:w="1215" w:type="dxa"/>
            <w:gridSpan w:val="2"/>
            <w:shd w:val="clear" w:color="auto" w:fill="D9E2F3" w:themeFill="accent1" w:themeFillTint="33"/>
            <w:noWrap/>
            <w:vAlign w:val="bottom"/>
            <w:hideMark/>
          </w:tcPr>
          <w:p w14:paraId="01F3A22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MV</w:t>
            </w:r>
          </w:p>
        </w:tc>
        <w:tc>
          <w:tcPr>
            <w:tcW w:w="1217" w:type="dxa"/>
            <w:shd w:val="clear" w:color="000000" w:fill="E2EFDA"/>
            <w:noWrap/>
            <w:vAlign w:val="bottom"/>
            <w:hideMark/>
          </w:tcPr>
          <w:p w14:paraId="7AA086D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16894FFC" w14:textId="77777777" w:rsidTr="00B47E6E">
        <w:trPr>
          <w:trHeight w:val="310"/>
        </w:trPr>
        <w:tc>
          <w:tcPr>
            <w:tcW w:w="1276" w:type="dxa"/>
            <w:shd w:val="clear" w:color="auto" w:fill="auto"/>
            <w:noWrap/>
            <w:vAlign w:val="bottom"/>
            <w:hideMark/>
          </w:tcPr>
          <w:p w14:paraId="6BC380FD"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8</w:t>
            </w:r>
          </w:p>
        </w:tc>
        <w:tc>
          <w:tcPr>
            <w:tcW w:w="1512" w:type="dxa"/>
            <w:shd w:val="clear" w:color="auto" w:fill="auto"/>
            <w:noWrap/>
            <w:vAlign w:val="bottom"/>
            <w:hideMark/>
          </w:tcPr>
          <w:p w14:paraId="46386205"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8320</w:t>
            </w:r>
          </w:p>
        </w:tc>
        <w:tc>
          <w:tcPr>
            <w:tcW w:w="1218" w:type="dxa"/>
            <w:gridSpan w:val="2"/>
            <w:shd w:val="clear" w:color="000000" w:fill="E2EFDA"/>
            <w:noWrap/>
            <w:vAlign w:val="bottom"/>
            <w:hideMark/>
          </w:tcPr>
          <w:p w14:paraId="7C153A3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55687A5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24298A4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68ABCF7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24</w:t>
            </w:r>
          </w:p>
        </w:tc>
        <w:tc>
          <w:tcPr>
            <w:tcW w:w="1215" w:type="dxa"/>
            <w:gridSpan w:val="2"/>
            <w:shd w:val="clear" w:color="auto" w:fill="F7CAAC" w:themeFill="accent2" w:themeFillTint="66"/>
            <w:noWrap/>
            <w:vAlign w:val="bottom"/>
            <w:hideMark/>
          </w:tcPr>
          <w:p w14:paraId="2242EF1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&lt;100</w:t>
            </w:r>
          </w:p>
        </w:tc>
        <w:tc>
          <w:tcPr>
            <w:tcW w:w="1217" w:type="dxa"/>
            <w:shd w:val="clear" w:color="000000" w:fill="E2EFDA"/>
            <w:noWrap/>
            <w:vAlign w:val="bottom"/>
            <w:hideMark/>
          </w:tcPr>
          <w:p w14:paraId="7CDBC7B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17B1639B" w14:textId="77777777" w:rsidTr="00B47E6E">
        <w:trPr>
          <w:trHeight w:val="310"/>
        </w:trPr>
        <w:tc>
          <w:tcPr>
            <w:tcW w:w="1276" w:type="dxa"/>
            <w:shd w:val="clear" w:color="auto" w:fill="auto"/>
            <w:noWrap/>
            <w:vAlign w:val="bottom"/>
            <w:hideMark/>
          </w:tcPr>
          <w:p w14:paraId="2CCE394F"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9</w:t>
            </w:r>
          </w:p>
        </w:tc>
        <w:tc>
          <w:tcPr>
            <w:tcW w:w="1512" w:type="dxa"/>
            <w:shd w:val="clear" w:color="auto" w:fill="auto"/>
            <w:noWrap/>
            <w:vAlign w:val="bottom"/>
            <w:hideMark/>
          </w:tcPr>
          <w:p w14:paraId="7E795F77"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17356</w:t>
            </w:r>
          </w:p>
        </w:tc>
        <w:tc>
          <w:tcPr>
            <w:tcW w:w="1218" w:type="dxa"/>
            <w:gridSpan w:val="2"/>
            <w:shd w:val="clear" w:color="auto" w:fill="FB7575"/>
            <w:noWrap/>
            <w:vAlign w:val="bottom"/>
            <w:hideMark/>
          </w:tcPr>
          <w:p w14:paraId="11505B4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319</w:t>
            </w:r>
          </w:p>
        </w:tc>
        <w:tc>
          <w:tcPr>
            <w:tcW w:w="1218" w:type="dxa"/>
            <w:gridSpan w:val="2"/>
            <w:shd w:val="clear" w:color="000000" w:fill="FF0000"/>
            <w:noWrap/>
            <w:vAlign w:val="bottom"/>
            <w:hideMark/>
          </w:tcPr>
          <w:p w14:paraId="52CAA72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22467</w:t>
            </w:r>
          </w:p>
        </w:tc>
        <w:tc>
          <w:tcPr>
            <w:tcW w:w="1215" w:type="dxa"/>
            <w:shd w:val="clear" w:color="000000" w:fill="E2EFDA"/>
            <w:noWrap/>
            <w:vAlign w:val="bottom"/>
            <w:hideMark/>
          </w:tcPr>
          <w:p w14:paraId="437B86B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auto" w:fill="FB7575"/>
            <w:noWrap/>
            <w:vAlign w:val="bottom"/>
            <w:hideMark/>
          </w:tcPr>
          <w:p w14:paraId="74ECFF5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107</w:t>
            </w:r>
          </w:p>
        </w:tc>
        <w:tc>
          <w:tcPr>
            <w:tcW w:w="1215" w:type="dxa"/>
            <w:gridSpan w:val="2"/>
            <w:shd w:val="clear" w:color="000000" w:fill="E2EFDA"/>
            <w:noWrap/>
            <w:vAlign w:val="bottom"/>
            <w:hideMark/>
          </w:tcPr>
          <w:p w14:paraId="430D728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75F01DB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3BF5EA66" w14:textId="77777777" w:rsidTr="00B47E6E">
        <w:trPr>
          <w:trHeight w:val="320"/>
        </w:trPr>
        <w:tc>
          <w:tcPr>
            <w:tcW w:w="1276" w:type="dxa"/>
            <w:shd w:val="clear" w:color="auto" w:fill="auto"/>
            <w:noWrap/>
            <w:vAlign w:val="bottom"/>
            <w:hideMark/>
          </w:tcPr>
          <w:p w14:paraId="0B46EEA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10</w:t>
            </w:r>
          </w:p>
        </w:tc>
        <w:tc>
          <w:tcPr>
            <w:tcW w:w="1512" w:type="dxa"/>
            <w:shd w:val="clear" w:color="auto" w:fill="auto"/>
            <w:noWrap/>
            <w:vAlign w:val="bottom"/>
            <w:hideMark/>
          </w:tcPr>
          <w:p w14:paraId="3B3F339F"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61758</w:t>
            </w:r>
          </w:p>
        </w:tc>
        <w:tc>
          <w:tcPr>
            <w:tcW w:w="1218" w:type="dxa"/>
            <w:gridSpan w:val="2"/>
            <w:shd w:val="clear" w:color="000000" w:fill="E2EFDA"/>
            <w:noWrap/>
            <w:vAlign w:val="bottom"/>
            <w:hideMark/>
          </w:tcPr>
          <w:p w14:paraId="02AC2D4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45</w:t>
            </w:r>
          </w:p>
        </w:tc>
        <w:tc>
          <w:tcPr>
            <w:tcW w:w="1218" w:type="dxa"/>
            <w:gridSpan w:val="2"/>
            <w:shd w:val="clear" w:color="000000" w:fill="E2EFDA"/>
            <w:noWrap/>
            <w:vAlign w:val="bottom"/>
            <w:hideMark/>
          </w:tcPr>
          <w:p w14:paraId="2251164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1BD1028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3C59F5B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62353C8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32</w:t>
            </w:r>
          </w:p>
        </w:tc>
        <w:tc>
          <w:tcPr>
            <w:tcW w:w="1217" w:type="dxa"/>
            <w:shd w:val="clear" w:color="000000" w:fill="E2EFDA"/>
            <w:noWrap/>
            <w:vAlign w:val="bottom"/>
            <w:hideMark/>
          </w:tcPr>
          <w:p w14:paraId="2F611F2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27</w:t>
            </w:r>
          </w:p>
        </w:tc>
      </w:tr>
      <w:tr w:rsidR="00C94450" w:rsidRPr="008D536F" w14:paraId="5F6324E1" w14:textId="77777777" w:rsidTr="00B47E6E">
        <w:trPr>
          <w:trHeight w:val="310"/>
        </w:trPr>
        <w:tc>
          <w:tcPr>
            <w:tcW w:w="1276" w:type="dxa"/>
            <w:shd w:val="clear" w:color="auto" w:fill="auto"/>
            <w:noWrap/>
            <w:vAlign w:val="bottom"/>
            <w:hideMark/>
          </w:tcPr>
          <w:p w14:paraId="642E17DB"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11</w:t>
            </w:r>
          </w:p>
        </w:tc>
        <w:tc>
          <w:tcPr>
            <w:tcW w:w="1512" w:type="dxa"/>
            <w:shd w:val="clear" w:color="auto" w:fill="auto"/>
            <w:noWrap/>
            <w:vAlign w:val="bottom"/>
            <w:hideMark/>
          </w:tcPr>
          <w:p w14:paraId="57560D5D"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48765</w:t>
            </w:r>
          </w:p>
        </w:tc>
        <w:tc>
          <w:tcPr>
            <w:tcW w:w="1218" w:type="dxa"/>
            <w:gridSpan w:val="2"/>
            <w:shd w:val="clear" w:color="000000" w:fill="F8CBAD"/>
            <w:noWrap/>
            <w:vAlign w:val="bottom"/>
            <w:hideMark/>
          </w:tcPr>
          <w:p w14:paraId="1B4B9CB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73</w:t>
            </w:r>
          </w:p>
        </w:tc>
        <w:tc>
          <w:tcPr>
            <w:tcW w:w="1218" w:type="dxa"/>
            <w:gridSpan w:val="2"/>
            <w:shd w:val="clear" w:color="000000" w:fill="E2EFDA"/>
            <w:noWrap/>
            <w:vAlign w:val="bottom"/>
            <w:hideMark/>
          </w:tcPr>
          <w:p w14:paraId="3EC758C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00A62E7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0250CF4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39</w:t>
            </w:r>
          </w:p>
        </w:tc>
        <w:tc>
          <w:tcPr>
            <w:tcW w:w="1215" w:type="dxa"/>
            <w:gridSpan w:val="2"/>
            <w:shd w:val="clear" w:color="000000" w:fill="E2EFDA"/>
            <w:noWrap/>
            <w:vAlign w:val="bottom"/>
            <w:hideMark/>
          </w:tcPr>
          <w:p w14:paraId="712D17B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F8CBAD"/>
            <w:noWrap/>
            <w:vAlign w:val="bottom"/>
            <w:hideMark/>
          </w:tcPr>
          <w:p w14:paraId="69F4621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75</w:t>
            </w:r>
          </w:p>
        </w:tc>
      </w:tr>
      <w:tr w:rsidR="00C94450" w:rsidRPr="008D536F" w14:paraId="47B82AC7" w14:textId="77777777" w:rsidTr="00B47E6E">
        <w:trPr>
          <w:trHeight w:val="310"/>
        </w:trPr>
        <w:tc>
          <w:tcPr>
            <w:tcW w:w="1276" w:type="dxa"/>
            <w:shd w:val="clear" w:color="auto" w:fill="auto"/>
            <w:noWrap/>
            <w:vAlign w:val="bottom"/>
            <w:hideMark/>
          </w:tcPr>
          <w:p w14:paraId="798AAB7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12</w:t>
            </w:r>
          </w:p>
        </w:tc>
        <w:tc>
          <w:tcPr>
            <w:tcW w:w="1512" w:type="dxa"/>
            <w:shd w:val="clear" w:color="auto" w:fill="auto"/>
            <w:noWrap/>
            <w:vAlign w:val="bottom"/>
            <w:hideMark/>
          </w:tcPr>
          <w:p w14:paraId="57E2063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22197</w:t>
            </w:r>
          </w:p>
        </w:tc>
        <w:tc>
          <w:tcPr>
            <w:tcW w:w="1218" w:type="dxa"/>
            <w:gridSpan w:val="2"/>
            <w:shd w:val="clear" w:color="000000" w:fill="F8CBAD"/>
            <w:noWrap/>
            <w:vAlign w:val="bottom"/>
            <w:hideMark/>
          </w:tcPr>
          <w:p w14:paraId="15157F8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77</w:t>
            </w:r>
          </w:p>
        </w:tc>
        <w:tc>
          <w:tcPr>
            <w:tcW w:w="1218" w:type="dxa"/>
            <w:gridSpan w:val="2"/>
            <w:shd w:val="clear" w:color="000000" w:fill="E2EFDA"/>
            <w:noWrap/>
            <w:vAlign w:val="bottom"/>
            <w:hideMark/>
          </w:tcPr>
          <w:p w14:paraId="74C9B76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798CE89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30</w:t>
            </w:r>
          </w:p>
        </w:tc>
        <w:tc>
          <w:tcPr>
            <w:tcW w:w="1215" w:type="dxa"/>
            <w:gridSpan w:val="2"/>
            <w:shd w:val="clear" w:color="000000" w:fill="E2EFDA"/>
            <w:noWrap/>
            <w:vAlign w:val="bottom"/>
            <w:hideMark/>
          </w:tcPr>
          <w:p w14:paraId="2DC2E4E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28D4773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30</w:t>
            </w:r>
          </w:p>
        </w:tc>
        <w:tc>
          <w:tcPr>
            <w:tcW w:w="1217" w:type="dxa"/>
            <w:shd w:val="clear" w:color="000000" w:fill="F8CBAD"/>
            <w:noWrap/>
            <w:vAlign w:val="bottom"/>
            <w:hideMark/>
          </w:tcPr>
          <w:p w14:paraId="79EE582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52</w:t>
            </w:r>
          </w:p>
        </w:tc>
      </w:tr>
      <w:tr w:rsidR="00C94450" w:rsidRPr="008D536F" w14:paraId="294FD142" w14:textId="77777777" w:rsidTr="00B47E6E">
        <w:trPr>
          <w:trHeight w:val="310"/>
        </w:trPr>
        <w:tc>
          <w:tcPr>
            <w:tcW w:w="1276" w:type="dxa"/>
            <w:shd w:val="clear" w:color="auto" w:fill="auto"/>
            <w:noWrap/>
            <w:vAlign w:val="bottom"/>
            <w:hideMark/>
          </w:tcPr>
          <w:p w14:paraId="7F4DFC1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13</w:t>
            </w:r>
          </w:p>
        </w:tc>
        <w:tc>
          <w:tcPr>
            <w:tcW w:w="1512" w:type="dxa"/>
            <w:shd w:val="clear" w:color="auto" w:fill="auto"/>
            <w:noWrap/>
            <w:vAlign w:val="bottom"/>
            <w:hideMark/>
          </w:tcPr>
          <w:p w14:paraId="6DCC07F7"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1040</w:t>
            </w:r>
          </w:p>
        </w:tc>
        <w:tc>
          <w:tcPr>
            <w:tcW w:w="1218" w:type="dxa"/>
            <w:gridSpan w:val="2"/>
            <w:shd w:val="clear" w:color="000000" w:fill="E2EFDA"/>
            <w:noWrap/>
            <w:vAlign w:val="bottom"/>
            <w:hideMark/>
          </w:tcPr>
          <w:p w14:paraId="475A8F3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7835B80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3FE2C0F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7911691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2BFA963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4762833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72FD876C" w14:textId="77777777" w:rsidTr="00B47E6E">
        <w:trPr>
          <w:trHeight w:val="310"/>
        </w:trPr>
        <w:tc>
          <w:tcPr>
            <w:tcW w:w="1276" w:type="dxa"/>
            <w:shd w:val="clear" w:color="auto" w:fill="auto"/>
            <w:noWrap/>
            <w:vAlign w:val="bottom"/>
            <w:hideMark/>
          </w:tcPr>
          <w:p w14:paraId="761B9E60"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14</w:t>
            </w:r>
          </w:p>
        </w:tc>
        <w:tc>
          <w:tcPr>
            <w:tcW w:w="1512" w:type="dxa"/>
            <w:shd w:val="clear" w:color="auto" w:fill="auto"/>
            <w:noWrap/>
            <w:vAlign w:val="bottom"/>
            <w:hideMark/>
          </w:tcPr>
          <w:p w14:paraId="1C97BB1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44742</w:t>
            </w:r>
          </w:p>
        </w:tc>
        <w:tc>
          <w:tcPr>
            <w:tcW w:w="1218" w:type="dxa"/>
            <w:gridSpan w:val="2"/>
            <w:shd w:val="clear" w:color="auto" w:fill="F7CAAC" w:themeFill="accent2" w:themeFillTint="66"/>
            <w:noWrap/>
            <w:vAlign w:val="bottom"/>
            <w:hideMark/>
          </w:tcPr>
          <w:p w14:paraId="03F04E2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&lt;100</w:t>
            </w:r>
          </w:p>
        </w:tc>
        <w:tc>
          <w:tcPr>
            <w:tcW w:w="1218" w:type="dxa"/>
            <w:gridSpan w:val="2"/>
            <w:shd w:val="clear" w:color="000000" w:fill="E2EFDA"/>
            <w:noWrap/>
            <w:vAlign w:val="bottom"/>
            <w:hideMark/>
          </w:tcPr>
          <w:p w14:paraId="34F1D80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3CF9331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auto" w:fill="D9E2F3" w:themeFill="accent1" w:themeFillTint="33"/>
            <w:noWrap/>
            <w:vAlign w:val="bottom"/>
            <w:hideMark/>
          </w:tcPr>
          <w:p w14:paraId="3F29320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000000" w:fill="E2EFDA"/>
            <w:noWrap/>
            <w:vAlign w:val="bottom"/>
            <w:hideMark/>
          </w:tcPr>
          <w:p w14:paraId="2A70ED0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49418E5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47ABE8F3" w14:textId="77777777" w:rsidTr="00B47E6E">
        <w:trPr>
          <w:trHeight w:val="320"/>
        </w:trPr>
        <w:tc>
          <w:tcPr>
            <w:tcW w:w="1276" w:type="dxa"/>
            <w:shd w:val="clear" w:color="auto" w:fill="auto"/>
            <w:noWrap/>
            <w:vAlign w:val="bottom"/>
            <w:hideMark/>
          </w:tcPr>
          <w:p w14:paraId="03413DD0"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15</w:t>
            </w:r>
          </w:p>
        </w:tc>
        <w:tc>
          <w:tcPr>
            <w:tcW w:w="1512" w:type="dxa"/>
            <w:shd w:val="clear" w:color="auto" w:fill="auto"/>
            <w:noWrap/>
            <w:vAlign w:val="bottom"/>
            <w:hideMark/>
          </w:tcPr>
          <w:p w14:paraId="78ED0689"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2218</w:t>
            </w:r>
          </w:p>
        </w:tc>
        <w:tc>
          <w:tcPr>
            <w:tcW w:w="1218" w:type="dxa"/>
            <w:gridSpan w:val="2"/>
            <w:shd w:val="clear" w:color="000000" w:fill="E2EFDA"/>
            <w:noWrap/>
            <w:vAlign w:val="bottom"/>
            <w:hideMark/>
          </w:tcPr>
          <w:p w14:paraId="3820BBE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5AD50FF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w:t>
            </w:r>
          </w:p>
        </w:tc>
        <w:tc>
          <w:tcPr>
            <w:tcW w:w="1215" w:type="dxa"/>
            <w:shd w:val="clear" w:color="000000" w:fill="E2EFDA"/>
            <w:noWrap/>
            <w:vAlign w:val="bottom"/>
            <w:hideMark/>
          </w:tcPr>
          <w:p w14:paraId="3AD347E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567A77C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3353029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37</w:t>
            </w:r>
          </w:p>
        </w:tc>
        <w:tc>
          <w:tcPr>
            <w:tcW w:w="1217" w:type="dxa"/>
            <w:shd w:val="clear" w:color="000000" w:fill="F8CBAD"/>
            <w:noWrap/>
            <w:vAlign w:val="bottom"/>
            <w:hideMark/>
          </w:tcPr>
          <w:p w14:paraId="12970BC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81</w:t>
            </w:r>
          </w:p>
        </w:tc>
      </w:tr>
      <w:tr w:rsidR="00C94450" w:rsidRPr="008D536F" w14:paraId="6FD9087D" w14:textId="77777777" w:rsidTr="00B47E6E">
        <w:trPr>
          <w:trHeight w:val="310"/>
        </w:trPr>
        <w:tc>
          <w:tcPr>
            <w:tcW w:w="1276" w:type="dxa"/>
            <w:shd w:val="clear" w:color="auto" w:fill="auto"/>
            <w:noWrap/>
            <w:vAlign w:val="bottom"/>
            <w:hideMark/>
          </w:tcPr>
          <w:p w14:paraId="29147E55"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16</w:t>
            </w:r>
          </w:p>
        </w:tc>
        <w:tc>
          <w:tcPr>
            <w:tcW w:w="1512" w:type="dxa"/>
            <w:shd w:val="clear" w:color="auto" w:fill="auto"/>
            <w:noWrap/>
            <w:vAlign w:val="bottom"/>
            <w:hideMark/>
          </w:tcPr>
          <w:p w14:paraId="123F445F"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22794</w:t>
            </w:r>
          </w:p>
        </w:tc>
        <w:tc>
          <w:tcPr>
            <w:tcW w:w="1218" w:type="dxa"/>
            <w:gridSpan w:val="2"/>
            <w:shd w:val="clear" w:color="000000" w:fill="E2EFDA"/>
            <w:noWrap/>
            <w:vAlign w:val="bottom"/>
            <w:hideMark/>
          </w:tcPr>
          <w:p w14:paraId="202E9A8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34</w:t>
            </w:r>
          </w:p>
        </w:tc>
        <w:tc>
          <w:tcPr>
            <w:tcW w:w="1218" w:type="dxa"/>
            <w:gridSpan w:val="2"/>
            <w:shd w:val="clear" w:color="000000" w:fill="E2EFDA"/>
            <w:noWrap/>
            <w:vAlign w:val="bottom"/>
            <w:hideMark/>
          </w:tcPr>
          <w:p w14:paraId="36EBC2E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0D9FF94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4D2B9DF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1D58FAC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83</w:t>
            </w:r>
          </w:p>
        </w:tc>
        <w:tc>
          <w:tcPr>
            <w:tcW w:w="1217" w:type="dxa"/>
            <w:shd w:val="clear" w:color="auto" w:fill="F7CAAC" w:themeFill="accent2" w:themeFillTint="66"/>
            <w:noWrap/>
            <w:vAlign w:val="bottom"/>
            <w:hideMark/>
          </w:tcPr>
          <w:p w14:paraId="7998A40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&lt;100</w:t>
            </w:r>
          </w:p>
        </w:tc>
      </w:tr>
      <w:tr w:rsidR="00C94450" w:rsidRPr="008D536F" w14:paraId="3F2566A6" w14:textId="77777777" w:rsidTr="00B47E6E">
        <w:trPr>
          <w:trHeight w:val="310"/>
        </w:trPr>
        <w:tc>
          <w:tcPr>
            <w:tcW w:w="1276" w:type="dxa"/>
            <w:shd w:val="clear" w:color="auto" w:fill="auto"/>
            <w:noWrap/>
            <w:vAlign w:val="bottom"/>
            <w:hideMark/>
          </w:tcPr>
          <w:p w14:paraId="742797EC"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17</w:t>
            </w:r>
          </w:p>
        </w:tc>
        <w:tc>
          <w:tcPr>
            <w:tcW w:w="1512" w:type="dxa"/>
            <w:shd w:val="clear" w:color="auto" w:fill="auto"/>
            <w:noWrap/>
            <w:vAlign w:val="bottom"/>
            <w:hideMark/>
          </w:tcPr>
          <w:p w14:paraId="2DFC23F5"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79908</w:t>
            </w:r>
          </w:p>
        </w:tc>
        <w:tc>
          <w:tcPr>
            <w:tcW w:w="1218" w:type="dxa"/>
            <w:gridSpan w:val="2"/>
            <w:shd w:val="clear" w:color="000000" w:fill="E2EFDA"/>
            <w:noWrap/>
            <w:vAlign w:val="bottom"/>
            <w:hideMark/>
          </w:tcPr>
          <w:p w14:paraId="3CFC452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56</w:t>
            </w:r>
          </w:p>
        </w:tc>
        <w:tc>
          <w:tcPr>
            <w:tcW w:w="1218" w:type="dxa"/>
            <w:gridSpan w:val="2"/>
            <w:shd w:val="clear" w:color="000000" w:fill="E2EFDA"/>
            <w:noWrap/>
            <w:vAlign w:val="bottom"/>
            <w:hideMark/>
          </w:tcPr>
          <w:p w14:paraId="34F57FC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4934896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24</w:t>
            </w:r>
          </w:p>
        </w:tc>
        <w:tc>
          <w:tcPr>
            <w:tcW w:w="1215" w:type="dxa"/>
            <w:gridSpan w:val="2"/>
            <w:shd w:val="clear" w:color="000000" w:fill="E2EFDA"/>
            <w:noWrap/>
            <w:vAlign w:val="bottom"/>
            <w:hideMark/>
          </w:tcPr>
          <w:p w14:paraId="7F881B8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40</w:t>
            </w:r>
          </w:p>
        </w:tc>
        <w:tc>
          <w:tcPr>
            <w:tcW w:w="1215" w:type="dxa"/>
            <w:gridSpan w:val="2"/>
            <w:shd w:val="clear" w:color="000000" w:fill="E2EFDA"/>
            <w:noWrap/>
            <w:vAlign w:val="bottom"/>
            <w:hideMark/>
          </w:tcPr>
          <w:p w14:paraId="239494C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shd w:val="clear" w:color="000000" w:fill="E2EFDA"/>
            <w:noWrap/>
            <w:vAlign w:val="bottom"/>
            <w:hideMark/>
          </w:tcPr>
          <w:p w14:paraId="161BAF6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w:t>
            </w:r>
          </w:p>
        </w:tc>
      </w:tr>
      <w:tr w:rsidR="00C94450" w:rsidRPr="008D536F" w14:paraId="770B52FC" w14:textId="77777777" w:rsidTr="00B47E6E">
        <w:trPr>
          <w:trHeight w:val="310"/>
        </w:trPr>
        <w:tc>
          <w:tcPr>
            <w:tcW w:w="1276" w:type="dxa"/>
            <w:shd w:val="clear" w:color="auto" w:fill="auto"/>
            <w:noWrap/>
            <w:vAlign w:val="bottom"/>
            <w:hideMark/>
          </w:tcPr>
          <w:p w14:paraId="18DFD2C9"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18</w:t>
            </w:r>
          </w:p>
        </w:tc>
        <w:tc>
          <w:tcPr>
            <w:tcW w:w="1512" w:type="dxa"/>
            <w:shd w:val="clear" w:color="auto" w:fill="auto"/>
            <w:noWrap/>
            <w:vAlign w:val="bottom"/>
            <w:hideMark/>
          </w:tcPr>
          <w:p w14:paraId="5DA632BF"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3323</w:t>
            </w:r>
          </w:p>
        </w:tc>
        <w:tc>
          <w:tcPr>
            <w:tcW w:w="1218" w:type="dxa"/>
            <w:gridSpan w:val="2"/>
            <w:shd w:val="clear" w:color="000000" w:fill="E2EFDA"/>
            <w:noWrap/>
            <w:vAlign w:val="bottom"/>
            <w:hideMark/>
          </w:tcPr>
          <w:p w14:paraId="4BF5BF6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2DBC891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34E50E4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526287F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290739C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1540EE8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10CDC0A8" w14:textId="77777777" w:rsidTr="00B47E6E">
        <w:trPr>
          <w:trHeight w:val="310"/>
        </w:trPr>
        <w:tc>
          <w:tcPr>
            <w:tcW w:w="1276" w:type="dxa"/>
            <w:shd w:val="clear" w:color="auto" w:fill="auto"/>
            <w:noWrap/>
            <w:vAlign w:val="bottom"/>
            <w:hideMark/>
          </w:tcPr>
          <w:p w14:paraId="087B724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19</w:t>
            </w:r>
          </w:p>
        </w:tc>
        <w:tc>
          <w:tcPr>
            <w:tcW w:w="1512" w:type="dxa"/>
            <w:shd w:val="clear" w:color="auto" w:fill="auto"/>
            <w:noWrap/>
            <w:vAlign w:val="bottom"/>
            <w:hideMark/>
          </w:tcPr>
          <w:p w14:paraId="02DADFE3"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6104</w:t>
            </w:r>
          </w:p>
        </w:tc>
        <w:tc>
          <w:tcPr>
            <w:tcW w:w="1218" w:type="dxa"/>
            <w:gridSpan w:val="2"/>
            <w:shd w:val="clear" w:color="000000" w:fill="E2EFDA"/>
            <w:noWrap/>
            <w:vAlign w:val="bottom"/>
            <w:hideMark/>
          </w:tcPr>
          <w:p w14:paraId="21CBCAC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89</w:t>
            </w:r>
          </w:p>
        </w:tc>
        <w:tc>
          <w:tcPr>
            <w:tcW w:w="1218" w:type="dxa"/>
            <w:gridSpan w:val="2"/>
            <w:shd w:val="clear" w:color="000000" w:fill="E2EFDA"/>
            <w:noWrap/>
            <w:vAlign w:val="bottom"/>
            <w:hideMark/>
          </w:tcPr>
          <w:p w14:paraId="222E05F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62</w:t>
            </w:r>
          </w:p>
        </w:tc>
        <w:tc>
          <w:tcPr>
            <w:tcW w:w="1215" w:type="dxa"/>
            <w:shd w:val="clear" w:color="auto" w:fill="FB7575"/>
            <w:noWrap/>
            <w:vAlign w:val="bottom"/>
            <w:hideMark/>
          </w:tcPr>
          <w:p w14:paraId="5AA69F0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193</w:t>
            </w:r>
          </w:p>
        </w:tc>
        <w:tc>
          <w:tcPr>
            <w:tcW w:w="1215" w:type="dxa"/>
            <w:gridSpan w:val="2"/>
            <w:shd w:val="clear" w:color="auto" w:fill="FB7575"/>
            <w:noWrap/>
            <w:vAlign w:val="bottom"/>
            <w:hideMark/>
          </w:tcPr>
          <w:p w14:paraId="452FBD6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112</w:t>
            </w:r>
          </w:p>
        </w:tc>
        <w:tc>
          <w:tcPr>
            <w:tcW w:w="1215" w:type="dxa"/>
            <w:gridSpan w:val="2"/>
            <w:shd w:val="clear" w:color="auto" w:fill="FB7575"/>
            <w:noWrap/>
            <w:vAlign w:val="bottom"/>
            <w:hideMark/>
          </w:tcPr>
          <w:p w14:paraId="538163B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109</w:t>
            </w:r>
          </w:p>
        </w:tc>
        <w:tc>
          <w:tcPr>
            <w:tcW w:w="1217" w:type="dxa"/>
            <w:shd w:val="clear" w:color="000000" w:fill="F8CBAD"/>
            <w:noWrap/>
            <w:vAlign w:val="bottom"/>
            <w:hideMark/>
          </w:tcPr>
          <w:p w14:paraId="25DC55A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53</w:t>
            </w:r>
          </w:p>
        </w:tc>
      </w:tr>
      <w:tr w:rsidR="00C94450" w:rsidRPr="008D536F" w14:paraId="5ECFF385" w14:textId="77777777" w:rsidTr="00B47E6E">
        <w:trPr>
          <w:trHeight w:val="320"/>
        </w:trPr>
        <w:tc>
          <w:tcPr>
            <w:tcW w:w="1276" w:type="dxa"/>
            <w:shd w:val="clear" w:color="auto" w:fill="auto"/>
            <w:noWrap/>
            <w:vAlign w:val="bottom"/>
            <w:hideMark/>
          </w:tcPr>
          <w:p w14:paraId="4064A53A"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20</w:t>
            </w:r>
          </w:p>
        </w:tc>
        <w:tc>
          <w:tcPr>
            <w:tcW w:w="1512" w:type="dxa"/>
            <w:shd w:val="clear" w:color="auto" w:fill="auto"/>
            <w:noWrap/>
            <w:vAlign w:val="bottom"/>
            <w:hideMark/>
          </w:tcPr>
          <w:p w14:paraId="702384C0"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37243</w:t>
            </w:r>
          </w:p>
        </w:tc>
        <w:tc>
          <w:tcPr>
            <w:tcW w:w="1218" w:type="dxa"/>
            <w:gridSpan w:val="2"/>
            <w:shd w:val="clear" w:color="000000" w:fill="E2EFDA"/>
            <w:noWrap/>
            <w:vAlign w:val="bottom"/>
            <w:hideMark/>
          </w:tcPr>
          <w:p w14:paraId="1DA89C0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6877AAE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26</w:t>
            </w:r>
          </w:p>
        </w:tc>
        <w:tc>
          <w:tcPr>
            <w:tcW w:w="1215" w:type="dxa"/>
            <w:shd w:val="clear" w:color="000000" w:fill="E2EFDA"/>
            <w:noWrap/>
            <w:vAlign w:val="bottom"/>
            <w:hideMark/>
          </w:tcPr>
          <w:p w14:paraId="51E4A71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4BEA7C7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7DB59EA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3B95043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38E81C55" w14:textId="77777777" w:rsidTr="00B47E6E">
        <w:trPr>
          <w:trHeight w:val="310"/>
        </w:trPr>
        <w:tc>
          <w:tcPr>
            <w:tcW w:w="1276" w:type="dxa"/>
            <w:shd w:val="clear" w:color="auto" w:fill="auto"/>
            <w:noWrap/>
            <w:vAlign w:val="bottom"/>
            <w:hideMark/>
          </w:tcPr>
          <w:p w14:paraId="6ABE15F9"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21</w:t>
            </w:r>
          </w:p>
        </w:tc>
        <w:tc>
          <w:tcPr>
            <w:tcW w:w="1512" w:type="dxa"/>
            <w:shd w:val="clear" w:color="auto" w:fill="auto"/>
            <w:noWrap/>
            <w:vAlign w:val="bottom"/>
            <w:hideMark/>
          </w:tcPr>
          <w:p w14:paraId="195DD770"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6282</w:t>
            </w:r>
          </w:p>
        </w:tc>
        <w:tc>
          <w:tcPr>
            <w:tcW w:w="1218" w:type="dxa"/>
            <w:gridSpan w:val="2"/>
            <w:shd w:val="clear" w:color="000000" w:fill="E2EFDA"/>
            <w:noWrap/>
            <w:vAlign w:val="bottom"/>
            <w:hideMark/>
          </w:tcPr>
          <w:p w14:paraId="401E9F5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71D349D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51C454E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73FB25A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04E110F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49540F9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72FF28C5" w14:textId="77777777" w:rsidTr="00B47E6E">
        <w:trPr>
          <w:trHeight w:val="310"/>
        </w:trPr>
        <w:tc>
          <w:tcPr>
            <w:tcW w:w="1276" w:type="dxa"/>
            <w:shd w:val="clear" w:color="auto" w:fill="auto"/>
            <w:noWrap/>
            <w:vAlign w:val="bottom"/>
            <w:hideMark/>
          </w:tcPr>
          <w:p w14:paraId="3B93ACFD"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22</w:t>
            </w:r>
          </w:p>
        </w:tc>
        <w:tc>
          <w:tcPr>
            <w:tcW w:w="1512" w:type="dxa"/>
            <w:shd w:val="clear" w:color="auto" w:fill="auto"/>
            <w:noWrap/>
            <w:vAlign w:val="bottom"/>
            <w:hideMark/>
          </w:tcPr>
          <w:p w14:paraId="2B60440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3432</w:t>
            </w:r>
          </w:p>
        </w:tc>
        <w:tc>
          <w:tcPr>
            <w:tcW w:w="1218" w:type="dxa"/>
            <w:gridSpan w:val="2"/>
            <w:shd w:val="clear" w:color="000000" w:fill="E2EFDA"/>
            <w:noWrap/>
            <w:vAlign w:val="bottom"/>
            <w:hideMark/>
          </w:tcPr>
          <w:p w14:paraId="271E530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auto" w:fill="FB7575"/>
            <w:noWrap/>
            <w:vAlign w:val="bottom"/>
            <w:hideMark/>
          </w:tcPr>
          <w:p w14:paraId="5164EE6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166</w:t>
            </w:r>
          </w:p>
        </w:tc>
        <w:tc>
          <w:tcPr>
            <w:tcW w:w="1215" w:type="dxa"/>
            <w:shd w:val="clear" w:color="000000" w:fill="E2EFDA"/>
            <w:noWrap/>
            <w:vAlign w:val="bottom"/>
            <w:hideMark/>
          </w:tcPr>
          <w:p w14:paraId="281A55E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155E8E7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678CDF6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22640AC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15015E87" w14:textId="77777777" w:rsidTr="00B47E6E">
        <w:trPr>
          <w:trHeight w:val="310"/>
        </w:trPr>
        <w:tc>
          <w:tcPr>
            <w:tcW w:w="1276" w:type="dxa"/>
            <w:shd w:val="clear" w:color="auto" w:fill="auto"/>
            <w:noWrap/>
            <w:vAlign w:val="bottom"/>
            <w:hideMark/>
          </w:tcPr>
          <w:p w14:paraId="41CC06A7"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23</w:t>
            </w:r>
          </w:p>
        </w:tc>
        <w:tc>
          <w:tcPr>
            <w:tcW w:w="1512" w:type="dxa"/>
            <w:shd w:val="clear" w:color="auto" w:fill="auto"/>
            <w:noWrap/>
            <w:vAlign w:val="bottom"/>
            <w:hideMark/>
          </w:tcPr>
          <w:p w14:paraId="4B27FC8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4662</w:t>
            </w:r>
          </w:p>
        </w:tc>
        <w:tc>
          <w:tcPr>
            <w:tcW w:w="1218" w:type="dxa"/>
            <w:gridSpan w:val="2"/>
            <w:shd w:val="clear" w:color="000000" w:fill="E2EFDA"/>
            <w:noWrap/>
            <w:vAlign w:val="bottom"/>
            <w:hideMark/>
          </w:tcPr>
          <w:p w14:paraId="580F81E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65F8A52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33</w:t>
            </w:r>
          </w:p>
        </w:tc>
        <w:tc>
          <w:tcPr>
            <w:tcW w:w="1215" w:type="dxa"/>
            <w:shd w:val="clear" w:color="000000" w:fill="E2EFDA"/>
            <w:noWrap/>
            <w:vAlign w:val="bottom"/>
            <w:hideMark/>
          </w:tcPr>
          <w:p w14:paraId="0EE5E37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31</w:t>
            </w:r>
          </w:p>
        </w:tc>
        <w:tc>
          <w:tcPr>
            <w:tcW w:w="1215" w:type="dxa"/>
            <w:gridSpan w:val="2"/>
            <w:shd w:val="clear" w:color="000000" w:fill="E2EFDA"/>
            <w:noWrap/>
            <w:vAlign w:val="bottom"/>
            <w:hideMark/>
          </w:tcPr>
          <w:p w14:paraId="24548C4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30</w:t>
            </w:r>
          </w:p>
        </w:tc>
        <w:tc>
          <w:tcPr>
            <w:tcW w:w="1215" w:type="dxa"/>
            <w:gridSpan w:val="2"/>
            <w:shd w:val="clear" w:color="000000" w:fill="E2EFDA"/>
            <w:noWrap/>
            <w:vAlign w:val="bottom"/>
            <w:hideMark/>
          </w:tcPr>
          <w:p w14:paraId="5A9621C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w:t>
            </w:r>
          </w:p>
        </w:tc>
        <w:tc>
          <w:tcPr>
            <w:tcW w:w="1217" w:type="dxa"/>
            <w:shd w:val="clear" w:color="000000" w:fill="E2EFDA"/>
            <w:noWrap/>
            <w:vAlign w:val="bottom"/>
            <w:hideMark/>
          </w:tcPr>
          <w:p w14:paraId="4C9BEDD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25</w:t>
            </w:r>
          </w:p>
        </w:tc>
      </w:tr>
      <w:tr w:rsidR="00C94450" w:rsidRPr="008D536F" w14:paraId="280FD7B0" w14:textId="77777777" w:rsidTr="00B47E6E">
        <w:trPr>
          <w:trHeight w:val="310"/>
        </w:trPr>
        <w:tc>
          <w:tcPr>
            <w:tcW w:w="1276" w:type="dxa"/>
            <w:shd w:val="clear" w:color="auto" w:fill="auto"/>
            <w:noWrap/>
            <w:vAlign w:val="bottom"/>
            <w:hideMark/>
          </w:tcPr>
          <w:p w14:paraId="709424B3"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24</w:t>
            </w:r>
          </w:p>
        </w:tc>
        <w:tc>
          <w:tcPr>
            <w:tcW w:w="1512" w:type="dxa"/>
            <w:shd w:val="clear" w:color="auto" w:fill="auto"/>
            <w:noWrap/>
            <w:vAlign w:val="bottom"/>
            <w:hideMark/>
          </w:tcPr>
          <w:p w14:paraId="7E50E80D"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86446</w:t>
            </w:r>
          </w:p>
        </w:tc>
        <w:tc>
          <w:tcPr>
            <w:tcW w:w="1218" w:type="dxa"/>
            <w:gridSpan w:val="2"/>
            <w:shd w:val="clear" w:color="000000" w:fill="F8CBAD"/>
            <w:noWrap/>
            <w:vAlign w:val="bottom"/>
            <w:hideMark/>
          </w:tcPr>
          <w:p w14:paraId="00E332D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71</w:t>
            </w:r>
          </w:p>
        </w:tc>
        <w:tc>
          <w:tcPr>
            <w:tcW w:w="1218" w:type="dxa"/>
            <w:gridSpan w:val="2"/>
            <w:shd w:val="clear" w:color="000000" w:fill="E2EFDA"/>
            <w:noWrap/>
            <w:vAlign w:val="bottom"/>
            <w:hideMark/>
          </w:tcPr>
          <w:p w14:paraId="2721F5D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5CDFFDA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26</w:t>
            </w:r>
          </w:p>
        </w:tc>
        <w:tc>
          <w:tcPr>
            <w:tcW w:w="1215" w:type="dxa"/>
            <w:gridSpan w:val="2"/>
            <w:shd w:val="clear" w:color="000000" w:fill="E2EFDA"/>
            <w:noWrap/>
            <w:vAlign w:val="bottom"/>
            <w:hideMark/>
          </w:tcPr>
          <w:p w14:paraId="181229B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auto" w:fill="FB7575"/>
            <w:noWrap/>
            <w:vAlign w:val="bottom"/>
            <w:hideMark/>
          </w:tcPr>
          <w:p w14:paraId="0BD775B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143</w:t>
            </w:r>
          </w:p>
        </w:tc>
        <w:tc>
          <w:tcPr>
            <w:tcW w:w="1217" w:type="dxa"/>
            <w:shd w:val="clear" w:color="000000" w:fill="E2EFDA"/>
            <w:noWrap/>
            <w:vAlign w:val="bottom"/>
            <w:hideMark/>
          </w:tcPr>
          <w:p w14:paraId="63CC1A0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w:t>
            </w:r>
          </w:p>
        </w:tc>
      </w:tr>
      <w:tr w:rsidR="00C94450" w:rsidRPr="008D536F" w14:paraId="1A1A1C1A" w14:textId="77777777" w:rsidTr="00B47E6E">
        <w:trPr>
          <w:trHeight w:val="320"/>
        </w:trPr>
        <w:tc>
          <w:tcPr>
            <w:tcW w:w="1276" w:type="dxa"/>
            <w:shd w:val="clear" w:color="auto" w:fill="auto"/>
            <w:noWrap/>
            <w:vAlign w:val="bottom"/>
            <w:hideMark/>
          </w:tcPr>
          <w:p w14:paraId="02D23D8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25</w:t>
            </w:r>
          </w:p>
        </w:tc>
        <w:tc>
          <w:tcPr>
            <w:tcW w:w="1512" w:type="dxa"/>
            <w:shd w:val="clear" w:color="auto" w:fill="auto"/>
            <w:noWrap/>
            <w:vAlign w:val="bottom"/>
            <w:hideMark/>
          </w:tcPr>
          <w:p w14:paraId="5690100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24971</w:t>
            </w:r>
          </w:p>
        </w:tc>
        <w:tc>
          <w:tcPr>
            <w:tcW w:w="1218" w:type="dxa"/>
            <w:gridSpan w:val="2"/>
            <w:shd w:val="clear" w:color="000000" w:fill="FF0000"/>
            <w:noWrap/>
            <w:vAlign w:val="bottom"/>
            <w:hideMark/>
          </w:tcPr>
          <w:p w14:paraId="6FC4CE0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1816</w:t>
            </w:r>
          </w:p>
        </w:tc>
        <w:tc>
          <w:tcPr>
            <w:tcW w:w="1218" w:type="dxa"/>
            <w:gridSpan w:val="2"/>
            <w:shd w:val="clear" w:color="000000" w:fill="FF0000"/>
            <w:noWrap/>
            <w:vAlign w:val="bottom"/>
            <w:hideMark/>
          </w:tcPr>
          <w:p w14:paraId="6C2053A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869</w:t>
            </w:r>
          </w:p>
        </w:tc>
        <w:tc>
          <w:tcPr>
            <w:tcW w:w="1215" w:type="dxa"/>
            <w:shd w:val="clear" w:color="000000" w:fill="FF0000"/>
            <w:noWrap/>
            <w:vAlign w:val="bottom"/>
            <w:hideMark/>
          </w:tcPr>
          <w:p w14:paraId="2F35422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5300</w:t>
            </w:r>
          </w:p>
        </w:tc>
        <w:tc>
          <w:tcPr>
            <w:tcW w:w="1215" w:type="dxa"/>
            <w:gridSpan w:val="2"/>
            <w:shd w:val="clear" w:color="000000" w:fill="F8CBAD"/>
            <w:noWrap/>
            <w:vAlign w:val="bottom"/>
            <w:hideMark/>
          </w:tcPr>
          <w:p w14:paraId="29376C9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67</w:t>
            </w:r>
          </w:p>
        </w:tc>
        <w:tc>
          <w:tcPr>
            <w:tcW w:w="1215" w:type="dxa"/>
            <w:gridSpan w:val="2"/>
            <w:shd w:val="clear" w:color="000000" w:fill="F8CBAD"/>
            <w:noWrap/>
            <w:vAlign w:val="bottom"/>
            <w:hideMark/>
          </w:tcPr>
          <w:p w14:paraId="4E4EC7C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97</w:t>
            </w:r>
          </w:p>
        </w:tc>
        <w:tc>
          <w:tcPr>
            <w:tcW w:w="1217" w:type="dxa"/>
            <w:shd w:val="clear" w:color="000000" w:fill="E2EFDA"/>
            <w:noWrap/>
            <w:vAlign w:val="bottom"/>
            <w:hideMark/>
          </w:tcPr>
          <w:p w14:paraId="3F5424F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6C5C6285" w14:textId="77777777" w:rsidTr="00B47E6E">
        <w:trPr>
          <w:trHeight w:val="310"/>
        </w:trPr>
        <w:tc>
          <w:tcPr>
            <w:tcW w:w="1276" w:type="dxa"/>
            <w:shd w:val="clear" w:color="auto" w:fill="auto"/>
            <w:noWrap/>
            <w:vAlign w:val="bottom"/>
            <w:hideMark/>
          </w:tcPr>
          <w:p w14:paraId="76B4D02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26</w:t>
            </w:r>
          </w:p>
        </w:tc>
        <w:tc>
          <w:tcPr>
            <w:tcW w:w="1512" w:type="dxa"/>
            <w:shd w:val="clear" w:color="auto" w:fill="auto"/>
            <w:noWrap/>
            <w:vAlign w:val="bottom"/>
            <w:hideMark/>
          </w:tcPr>
          <w:p w14:paraId="11A29003"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12649</w:t>
            </w:r>
          </w:p>
        </w:tc>
        <w:tc>
          <w:tcPr>
            <w:tcW w:w="1218" w:type="dxa"/>
            <w:gridSpan w:val="2"/>
            <w:shd w:val="clear" w:color="000000" w:fill="E2EFDA"/>
            <w:noWrap/>
            <w:vAlign w:val="bottom"/>
            <w:hideMark/>
          </w:tcPr>
          <w:p w14:paraId="247B71C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23</w:t>
            </w:r>
          </w:p>
        </w:tc>
        <w:tc>
          <w:tcPr>
            <w:tcW w:w="1218" w:type="dxa"/>
            <w:gridSpan w:val="2"/>
            <w:shd w:val="clear" w:color="000000" w:fill="E2EFDA"/>
            <w:noWrap/>
            <w:vAlign w:val="bottom"/>
            <w:hideMark/>
          </w:tcPr>
          <w:p w14:paraId="2EC872A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5AE238B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33A6C77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203E9A7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1CB87B3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w:t>
            </w:r>
          </w:p>
        </w:tc>
      </w:tr>
      <w:tr w:rsidR="00C94450" w:rsidRPr="008D536F" w14:paraId="11A6DD1F" w14:textId="77777777" w:rsidTr="00B47E6E">
        <w:trPr>
          <w:trHeight w:val="310"/>
        </w:trPr>
        <w:tc>
          <w:tcPr>
            <w:tcW w:w="1276" w:type="dxa"/>
            <w:shd w:val="clear" w:color="auto" w:fill="auto"/>
            <w:noWrap/>
            <w:vAlign w:val="bottom"/>
            <w:hideMark/>
          </w:tcPr>
          <w:p w14:paraId="2F3C6B39"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27</w:t>
            </w:r>
          </w:p>
        </w:tc>
        <w:tc>
          <w:tcPr>
            <w:tcW w:w="1512" w:type="dxa"/>
            <w:shd w:val="clear" w:color="auto" w:fill="auto"/>
            <w:noWrap/>
            <w:vAlign w:val="bottom"/>
            <w:hideMark/>
          </w:tcPr>
          <w:p w14:paraId="3BEA3A8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7429</w:t>
            </w:r>
          </w:p>
        </w:tc>
        <w:tc>
          <w:tcPr>
            <w:tcW w:w="1218" w:type="dxa"/>
            <w:gridSpan w:val="2"/>
            <w:shd w:val="clear" w:color="000000" w:fill="E2EFDA"/>
            <w:noWrap/>
            <w:vAlign w:val="bottom"/>
            <w:hideMark/>
          </w:tcPr>
          <w:p w14:paraId="23D5330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45144EE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w:t>
            </w:r>
          </w:p>
        </w:tc>
        <w:tc>
          <w:tcPr>
            <w:tcW w:w="1215" w:type="dxa"/>
            <w:shd w:val="clear" w:color="000000" w:fill="E2EFDA"/>
            <w:noWrap/>
            <w:vAlign w:val="bottom"/>
            <w:hideMark/>
          </w:tcPr>
          <w:p w14:paraId="3724550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07DDD3B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auto" w:fill="F7CAAC" w:themeFill="accent2" w:themeFillTint="66"/>
            <w:noWrap/>
            <w:vAlign w:val="bottom"/>
            <w:hideMark/>
          </w:tcPr>
          <w:p w14:paraId="640FF0D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&lt;100</w:t>
            </w:r>
          </w:p>
        </w:tc>
        <w:tc>
          <w:tcPr>
            <w:tcW w:w="1217" w:type="dxa"/>
            <w:shd w:val="clear" w:color="000000" w:fill="E2EFDA"/>
            <w:noWrap/>
            <w:vAlign w:val="bottom"/>
            <w:hideMark/>
          </w:tcPr>
          <w:p w14:paraId="52974E6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29A80706" w14:textId="77777777" w:rsidTr="00B47E6E">
        <w:trPr>
          <w:trHeight w:val="310"/>
        </w:trPr>
        <w:tc>
          <w:tcPr>
            <w:tcW w:w="1276" w:type="dxa"/>
            <w:shd w:val="clear" w:color="auto" w:fill="auto"/>
            <w:noWrap/>
            <w:vAlign w:val="bottom"/>
            <w:hideMark/>
          </w:tcPr>
          <w:p w14:paraId="497DA7BB"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28</w:t>
            </w:r>
          </w:p>
        </w:tc>
        <w:tc>
          <w:tcPr>
            <w:tcW w:w="1512" w:type="dxa"/>
            <w:shd w:val="clear" w:color="auto" w:fill="auto"/>
            <w:noWrap/>
            <w:vAlign w:val="bottom"/>
            <w:hideMark/>
          </w:tcPr>
          <w:p w14:paraId="749896FC"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3163</w:t>
            </w:r>
          </w:p>
        </w:tc>
        <w:tc>
          <w:tcPr>
            <w:tcW w:w="1218" w:type="dxa"/>
            <w:gridSpan w:val="2"/>
            <w:shd w:val="clear" w:color="000000" w:fill="E2EFDA"/>
            <w:noWrap/>
            <w:vAlign w:val="bottom"/>
            <w:hideMark/>
          </w:tcPr>
          <w:p w14:paraId="1CE52A8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1E9D1C9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0C5E926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2322CF6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097AC04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shd w:val="clear" w:color="000000" w:fill="E2EFDA"/>
            <w:noWrap/>
            <w:vAlign w:val="bottom"/>
            <w:hideMark/>
          </w:tcPr>
          <w:p w14:paraId="452EA62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2A2D5003" w14:textId="77777777" w:rsidTr="00B47E6E">
        <w:trPr>
          <w:trHeight w:val="310"/>
        </w:trPr>
        <w:tc>
          <w:tcPr>
            <w:tcW w:w="1276" w:type="dxa"/>
            <w:shd w:val="clear" w:color="auto" w:fill="auto"/>
            <w:noWrap/>
            <w:vAlign w:val="bottom"/>
            <w:hideMark/>
          </w:tcPr>
          <w:p w14:paraId="2E222C2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29</w:t>
            </w:r>
          </w:p>
        </w:tc>
        <w:tc>
          <w:tcPr>
            <w:tcW w:w="1512" w:type="dxa"/>
            <w:shd w:val="clear" w:color="auto" w:fill="auto"/>
            <w:noWrap/>
            <w:vAlign w:val="bottom"/>
            <w:hideMark/>
          </w:tcPr>
          <w:p w14:paraId="700485C5"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25127</w:t>
            </w:r>
          </w:p>
        </w:tc>
        <w:tc>
          <w:tcPr>
            <w:tcW w:w="1218" w:type="dxa"/>
            <w:gridSpan w:val="2"/>
            <w:shd w:val="clear" w:color="000000" w:fill="E2EFDA"/>
            <w:noWrap/>
            <w:vAlign w:val="bottom"/>
            <w:hideMark/>
          </w:tcPr>
          <w:p w14:paraId="788CB9D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49C2873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46CAD4B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6E4EB0F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5BE6E63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162</w:t>
            </w:r>
          </w:p>
        </w:tc>
        <w:tc>
          <w:tcPr>
            <w:tcW w:w="1217" w:type="dxa"/>
            <w:shd w:val="clear" w:color="000000" w:fill="E2EFDA"/>
            <w:noWrap/>
            <w:vAlign w:val="bottom"/>
            <w:hideMark/>
          </w:tcPr>
          <w:p w14:paraId="4419BB2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1172B4BD" w14:textId="77777777" w:rsidTr="00B47E6E">
        <w:trPr>
          <w:trHeight w:val="320"/>
        </w:trPr>
        <w:tc>
          <w:tcPr>
            <w:tcW w:w="1276" w:type="dxa"/>
            <w:shd w:val="clear" w:color="auto" w:fill="auto"/>
            <w:noWrap/>
            <w:vAlign w:val="bottom"/>
            <w:hideMark/>
          </w:tcPr>
          <w:p w14:paraId="2763473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30</w:t>
            </w:r>
          </w:p>
        </w:tc>
        <w:tc>
          <w:tcPr>
            <w:tcW w:w="1512" w:type="dxa"/>
            <w:shd w:val="clear" w:color="auto" w:fill="auto"/>
            <w:noWrap/>
            <w:vAlign w:val="bottom"/>
            <w:hideMark/>
          </w:tcPr>
          <w:p w14:paraId="26AF4DA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18081</w:t>
            </w:r>
          </w:p>
        </w:tc>
        <w:tc>
          <w:tcPr>
            <w:tcW w:w="1218" w:type="dxa"/>
            <w:gridSpan w:val="2"/>
            <w:shd w:val="clear" w:color="000000" w:fill="E2EFDA"/>
            <w:noWrap/>
            <w:vAlign w:val="bottom"/>
            <w:hideMark/>
          </w:tcPr>
          <w:p w14:paraId="2E42457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3F6F217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2562F5F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6083FA7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45</w:t>
            </w:r>
          </w:p>
        </w:tc>
        <w:tc>
          <w:tcPr>
            <w:tcW w:w="1215" w:type="dxa"/>
            <w:gridSpan w:val="2"/>
            <w:shd w:val="clear" w:color="000000" w:fill="E2EFDA"/>
            <w:noWrap/>
            <w:vAlign w:val="bottom"/>
            <w:hideMark/>
          </w:tcPr>
          <w:p w14:paraId="422CCEB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4C025B3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4BAD85CC" w14:textId="77777777" w:rsidTr="00B47E6E">
        <w:trPr>
          <w:trHeight w:val="310"/>
        </w:trPr>
        <w:tc>
          <w:tcPr>
            <w:tcW w:w="1276" w:type="dxa"/>
            <w:shd w:val="clear" w:color="auto" w:fill="auto"/>
            <w:noWrap/>
            <w:vAlign w:val="bottom"/>
            <w:hideMark/>
          </w:tcPr>
          <w:p w14:paraId="788C630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31</w:t>
            </w:r>
          </w:p>
        </w:tc>
        <w:tc>
          <w:tcPr>
            <w:tcW w:w="1512" w:type="dxa"/>
            <w:shd w:val="clear" w:color="auto" w:fill="auto"/>
            <w:noWrap/>
            <w:vAlign w:val="bottom"/>
            <w:hideMark/>
          </w:tcPr>
          <w:p w14:paraId="3CBF7EAC"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16123</w:t>
            </w:r>
          </w:p>
        </w:tc>
        <w:tc>
          <w:tcPr>
            <w:tcW w:w="1218" w:type="dxa"/>
            <w:gridSpan w:val="2"/>
            <w:shd w:val="clear" w:color="000000" w:fill="E2EFDA"/>
            <w:noWrap/>
            <w:vAlign w:val="bottom"/>
            <w:hideMark/>
          </w:tcPr>
          <w:p w14:paraId="196B6DD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4960C2E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20</w:t>
            </w:r>
          </w:p>
        </w:tc>
        <w:tc>
          <w:tcPr>
            <w:tcW w:w="1215" w:type="dxa"/>
            <w:shd w:val="clear" w:color="000000" w:fill="E2EFDA"/>
            <w:noWrap/>
            <w:vAlign w:val="bottom"/>
            <w:hideMark/>
          </w:tcPr>
          <w:p w14:paraId="2021881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416F678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69E25E5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2C4AC67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45576A75" w14:textId="77777777" w:rsidTr="00B47E6E">
        <w:trPr>
          <w:trHeight w:val="310"/>
        </w:trPr>
        <w:tc>
          <w:tcPr>
            <w:tcW w:w="1276" w:type="dxa"/>
            <w:shd w:val="clear" w:color="auto" w:fill="auto"/>
            <w:noWrap/>
            <w:vAlign w:val="bottom"/>
            <w:hideMark/>
          </w:tcPr>
          <w:p w14:paraId="5AF2BB8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32</w:t>
            </w:r>
          </w:p>
        </w:tc>
        <w:tc>
          <w:tcPr>
            <w:tcW w:w="1512" w:type="dxa"/>
            <w:shd w:val="clear" w:color="auto" w:fill="auto"/>
            <w:noWrap/>
            <w:vAlign w:val="bottom"/>
            <w:hideMark/>
          </w:tcPr>
          <w:p w14:paraId="2D10EA6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12661</w:t>
            </w:r>
          </w:p>
        </w:tc>
        <w:tc>
          <w:tcPr>
            <w:tcW w:w="1218" w:type="dxa"/>
            <w:gridSpan w:val="2"/>
            <w:shd w:val="clear" w:color="000000" w:fill="E2EFDA"/>
            <w:noWrap/>
            <w:vAlign w:val="bottom"/>
            <w:hideMark/>
          </w:tcPr>
          <w:p w14:paraId="7CFD72B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2227D07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6C765A2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136D3E9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auto" w:fill="D9E2F3" w:themeFill="accent1" w:themeFillTint="33"/>
            <w:noWrap/>
            <w:vAlign w:val="bottom"/>
            <w:hideMark/>
          </w:tcPr>
          <w:p w14:paraId="610812E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000000" w:fill="E2EFDA"/>
            <w:noWrap/>
            <w:vAlign w:val="bottom"/>
            <w:hideMark/>
          </w:tcPr>
          <w:p w14:paraId="0DCB250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2046E20B" w14:textId="77777777" w:rsidTr="00B47E6E">
        <w:trPr>
          <w:trHeight w:val="310"/>
        </w:trPr>
        <w:tc>
          <w:tcPr>
            <w:tcW w:w="1276" w:type="dxa"/>
            <w:shd w:val="clear" w:color="auto" w:fill="auto"/>
            <w:noWrap/>
            <w:vAlign w:val="bottom"/>
            <w:hideMark/>
          </w:tcPr>
          <w:p w14:paraId="459BF53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33</w:t>
            </w:r>
          </w:p>
        </w:tc>
        <w:tc>
          <w:tcPr>
            <w:tcW w:w="1512" w:type="dxa"/>
            <w:shd w:val="clear" w:color="auto" w:fill="auto"/>
            <w:noWrap/>
            <w:vAlign w:val="bottom"/>
            <w:hideMark/>
          </w:tcPr>
          <w:p w14:paraId="0B1A988C"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2138</w:t>
            </w:r>
          </w:p>
        </w:tc>
        <w:tc>
          <w:tcPr>
            <w:tcW w:w="1218" w:type="dxa"/>
            <w:gridSpan w:val="2"/>
            <w:shd w:val="clear" w:color="000000" w:fill="E2EFDA"/>
            <w:noWrap/>
            <w:vAlign w:val="bottom"/>
            <w:hideMark/>
          </w:tcPr>
          <w:p w14:paraId="165ADF5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29</w:t>
            </w:r>
          </w:p>
        </w:tc>
        <w:tc>
          <w:tcPr>
            <w:tcW w:w="1218" w:type="dxa"/>
            <w:gridSpan w:val="2"/>
            <w:shd w:val="clear" w:color="000000" w:fill="E2EFDA"/>
            <w:noWrap/>
            <w:vAlign w:val="bottom"/>
            <w:hideMark/>
          </w:tcPr>
          <w:p w14:paraId="3737EEF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34</w:t>
            </w:r>
          </w:p>
        </w:tc>
        <w:tc>
          <w:tcPr>
            <w:tcW w:w="1215" w:type="dxa"/>
            <w:shd w:val="clear" w:color="000000" w:fill="E2EFDA"/>
            <w:noWrap/>
            <w:vAlign w:val="bottom"/>
            <w:hideMark/>
          </w:tcPr>
          <w:p w14:paraId="77D66C9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auto" w:fill="D9E2F3" w:themeFill="accent1" w:themeFillTint="33"/>
            <w:noWrap/>
            <w:vAlign w:val="bottom"/>
            <w:hideMark/>
          </w:tcPr>
          <w:p w14:paraId="780FC86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MV</w:t>
            </w:r>
          </w:p>
        </w:tc>
        <w:tc>
          <w:tcPr>
            <w:tcW w:w="1215" w:type="dxa"/>
            <w:gridSpan w:val="2"/>
            <w:shd w:val="clear" w:color="auto" w:fill="D9E2F3" w:themeFill="accent1" w:themeFillTint="33"/>
            <w:noWrap/>
            <w:vAlign w:val="bottom"/>
            <w:hideMark/>
          </w:tcPr>
          <w:p w14:paraId="1088B7A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w:t>
            </w:r>
          </w:p>
        </w:tc>
        <w:tc>
          <w:tcPr>
            <w:tcW w:w="1217" w:type="dxa"/>
            <w:shd w:val="clear" w:color="000000" w:fill="E2EFDA"/>
            <w:noWrap/>
            <w:vAlign w:val="bottom"/>
            <w:hideMark/>
          </w:tcPr>
          <w:p w14:paraId="67FAEC4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41E2F12C" w14:textId="77777777" w:rsidTr="00B47E6E">
        <w:trPr>
          <w:trHeight w:val="310"/>
        </w:trPr>
        <w:tc>
          <w:tcPr>
            <w:tcW w:w="1276" w:type="dxa"/>
            <w:shd w:val="clear" w:color="auto" w:fill="auto"/>
            <w:noWrap/>
            <w:vAlign w:val="bottom"/>
            <w:hideMark/>
          </w:tcPr>
          <w:p w14:paraId="5A5A84B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34</w:t>
            </w:r>
          </w:p>
        </w:tc>
        <w:tc>
          <w:tcPr>
            <w:tcW w:w="1512" w:type="dxa"/>
            <w:shd w:val="clear" w:color="auto" w:fill="auto"/>
            <w:noWrap/>
            <w:vAlign w:val="bottom"/>
            <w:hideMark/>
          </w:tcPr>
          <w:p w14:paraId="5DA1DCE2"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64216</w:t>
            </w:r>
          </w:p>
        </w:tc>
        <w:tc>
          <w:tcPr>
            <w:tcW w:w="1218" w:type="dxa"/>
            <w:gridSpan w:val="2"/>
            <w:shd w:val="clear" w:color="000000" w:fill="E2EFDA"/>
            <w:noWrap/>
            <w:vAlign w:val="bottom"/>
            <w:hideMark/>
          </w:tcPr>
          <w:p w14:paraId="25A3AEB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41</w:t>
            </w:r>
          </w:p>
        </w:tc>
        <w:tc>
          <w:tcPr>
            <w:tcW w:w="1218" w:type="dxa"/>
            <w:gridSpan w:val="2"/>
            <w:shd w:val="clear" w:color="000000" w:fill="F8CBAD"/>
            <w:noWrap/>
            <w:vAlign w:val="bottom"/>
            <w:hideMark/>
          </w:tcPr>
          <w:p w14:paraId="1373139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68</w:t>
            </w:r>
          </w:p>
        </w:tc>
        <w:tc>
          <w:tcPr>
            <w:tcW w:w="1215" w:type="dxa"/>
            <w:shd w:val="clear" w:color="auto" w:fill="FB7575"/>
            <w:noWrap/>
            <w:vAlign w:val="bottom"/>
            <w:hideMark/>
          </w:tcPr>
          <w:p w14:paraId="40C3C25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105</w:t>
            </w:r>
          </w:p>
        </w:tc>
        <w:tc>
          <w:tcPr>
            <w:tcW w:w="1215" w:type="dxa"/>
            <w:gridSpan w:val="2"/>
            <w:shd w:val="clear" w:color="000000" w:fill="FF0000"/>
            <w:noWrap/>
            <w:vAlign w:val="bottom"/>
            <w:hideMark/>
          </w:tcPr>
          <w:p w14:paraId="3103D48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74038</w:t>
            </w:r>
          </w:p>
        </w:tc>
        <w:tc>
          <w:tcPr>
            <w:tcW w:w="1215" w:type="dxa"/>
            <w:gridSpan w:val="2"/>
            <w:shd w:val="clear" w:color="auto" w:fill="D9E2F3" w:themeFill="accent1" w:themeFillTint="33"/>
            <w:noWrap/>
            <w:vAlign w:val="bottom"/>
            <w:hideMark/>
          </w:tcPr>
          <w:p w14:paraId="7AFC429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000000" w:fill="FF0000"/>
            <w:noWrap/>
            <w:vAlign w:val="bottom"/>
            <w:hideMark/>
          </w:tcPr>
          <w:p w14:paraId="3A9359A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755</w:t>
            </w:r>
          </w:p>
        </w:tc>
      </w:tr>
      <w:tr w:rsidR="00C94450" w:rsidRPr="008D536F" w14:paraId="62E23394" w14:textId="77777777" w:rsidTr="00B47E6E">
        <w:trPr>
          <w:trHeight w:val="320"/>
        </w:trPr>
        <w:tc>
          <w:tcPr>
            <w:tcW w:w="1276" w:type="dxa"/>
            <w:shd w:val="clear" w:color="auto" w:fill="auto"/>
            <w:noWrap/>
            <w:vAlign w:val="bottom"/>
            <w:hideMark/>
          </w:tcPr>
          <w:p w14:paraId="3A4B03D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35</w:t>
            </w:r>
          </w:p>
        </w:tc>
        <w:tc>
          <w:tcPr>
            <w:tcW w:w="1512" w:type="dxa"/>
            <w:shd w:val="clear" w:color="auto" w:fill="auto"/>
            <w:noWrap/>
            <w:vAlign w:val="bottom"/>
            <w:hideMark/>
          </w:tcPr>
          <w:p w14:paraId="6ADF4DA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22809</w:t>
            </w:r>
          </w:p>
        </w:tc>
        <w:tc>
          <w:tcPr>
            <w:tcW w:w="1218" w:type="dxa"/>
            <w:gridSpan w:val="2"/>
            <w:shd w:val="clear" w:color="000000" w:fill="E2EFDA"/>
            <w:noWrap/>
            <w:vAlign w:val="bottom"/>
            <w:hideMark/>
          </w:tcPr>
          <w:p w14:paraId="13B31E3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599B0B4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2C0D9BA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211A551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38</w:t>
            </w:r>
          </w:p>
        </w:tc>
        <w:tc>
          <w:tcPr>
            <w:tcW w:w="1215" w:type="dxa"/>
            <w:gridSpan w:val="2"/>
            <w:shd w:val="clear" w:color="auto" w:fill="D9E2F3" w:themeFill="accent1" w:themeFillTint="33"/>
            <w:noWrap/>
            <w:vAlign w:val="bottom"/>
            <w:hideMark/>
          </w:tcPr>
          <w:p w14:paraId="0A3EA53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w:t>
            </w:r>
          </w:p>
        </w:tc>
        <w:tc>
          <w:tcPr>
            <w:tcW w:w="1217" w:type="dxa"/>
            <w:shd w:val="clear" w:color="000000" w:fill="E2EFDA"/>
            <w:noWrap/>
            <w:vAlign w:val="bottom"/>
            <w:hideMark/>
          </w:tcPr>
          <w:p w14:paraId="2054739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2A06AAE3" w14:textId="77777777" w:rsidTr="00B47E6E">
        <w:trPr>
          <w:trHeight w:val="310"/>
        </w:trPr>
        <w:tc>
          <w:tcPr>
            <w:tcW w:w="1276" w:type="dxa"/>
            <w:shd w:val="clear" w:color="auto" w:fill="auto"/>
            <w:noWrap/>
            <w:vAlign w:val="bottom"/>
            <w:hideMark/>
          </w:tcPr>
          <w:p w14:paraId="1AE18D8F"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36</w:t>
            </w:r>
          </w:p>
        </w:tc>
        <w:tc>
          <w:tcPr>
            <w:tcW w:w="1512" w:type="dxa"/>
            <w:shd w:val="clear" w:color="auto" w:fill="auto"/>
            <w:noWrap/>
            <w:vAlign w:val="bottom"/>
            <w:hideMark/>
          </w:tcPr>
          <w:p w14:paraId="5A0063CA"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20846</w:t>
            </w:r>
          </w:p>
        </w:tc>
        <w:tc>
          <w:tcPr>
            <w:tcW w:w="1218" w:type="dxa"/>
            <w:gridSpan w:val="2"/>
            <w:shd w:val="clear" w:color="000000" w:fill="E2EFDA"/>
            <w:noWrap/>
            <w:vAlign w:val="bottom"/>
            <w:hideMark/>
          </w:tcPr>
          <w:p w14:paraId="5C01291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32</w:t>
            </w:r>
          </w:p>
        </w:tc>
        <w:tc>
          <w:tcPr>
            <w:tcW w:w="1218" w:type="dxa"/>
            <w:gridSpan w:val="2"/>
            <w:shd w:val="clear" w:color="000000" w:fill="E2EFDA"/>
            <w:noWrap/>
            <w:vAlign w:val="bottom"/>
            <w:hideMark/>
          </w:tcPr>
          <w:p w14:paraId="3392B9C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1EEE511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37A925D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auto" w:fill="D9E2F3" w:themeFill="accent1" w:themeFillTint="33"/>
            <w:noWrap/>
            <w:vAlign w:val="bottom"/>
            <w:hideMark/>
          </w:tcPr>
          <w:p w14:paraId="6F1C633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000000" w:fill="E2EFDA"/>
            <w:noWrap/>
            <w:vAlign w:val="bottom"/>
            <w:hideMark/>
          </w:tcPr>
          <w:p w14:paraId="2F17403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1A05D6DC" w14:textId="77777777" w:rsidTr="00B47E6E">
        <w:trPr>
          <w:trHeight w:val="310"/>
        </w:trPr>
        <w:tc>
          <w:tcPr>
            <w:tcW w:w="1276" w:type="dxa"/>
            <w:shd w:val="clear" w:color="auto" w:fill="auto"/>
            <w:noWrap/>
            <w:vAlign w:val="bottom"/>
            <w:hideMark/>
          </w:tcPr>
          <w:p w14:paraId="5CD68F72"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37</w:t>
            </w:r>
          </w:p>
        </w:tc>
        <w:tc>
          <w:tcPr>
            <w:tcW w:w="1512" w:type="dxa"/>
            <w:shd w:val="clear" w:color="auto" w:fill="auto"/>
            <w:noWrap/>
            <w:vAlign w:val="bottom"/>
            <w:hideMark/>
          </w:tcPr>
          <w:p w14:paraId="2E49DF1C"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11414</w:t>
            </w:r>
          </w:p>
        </w:tc>
        <w:tc>
          <w:tcPr>
            <w:tcW w:w="1218" w:type="dxa"/>
            <w:gridSpan w:val="2"/>
            <w:shd w:val="clear" w:color="000000" w:fill="E2EFDA"/>
            <w:noWrap/>
            <w:vAlign w:val="bottom"/>
            <w:hideMark/>
          </w:tcPr>
          <w:p w14:paraId="6300EEB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35D2CF8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24</w:t>
            </w:r>
          </w:p>
        </w:tc>
        <w:tc>
          <w:tcPr>
            <w:tcW w:w="1215" w:type="dxa"/>
            <w:shd w:val="clear" w:color="000000" w:fill="E2EFDA"/>
            <w:noWrap/>
            <w:vAlign w:val="bottom"/>
            <w:hideMark/>
          </w:tcPr>
          <w:p w14:paraId="736F465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w:t>
            </w:r>
          </w:p>
        </w:tc>
        <w:tc>
          <w:tcPr>
            <w:tcW w:w="1215" w:type="dxa"/>
            <w:gridSpan w:val="2"/>
            <w:shd w:val="clear" w:color="000000" w:fill="E2EFDA"/>
            <w:noWrap/>
            <w:vAlign w:val="bottom"/>
            <w:hideMark/>
          </w:tcPr>
          <w:p w14:paraId="0EEAD74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auto" w:fill="D9E2F3" w:themeFill="accent1" w:themeFillTint="33"/>
            <w:noWrap/>
            <w:vAlign w:val="bottom"/>
            <w:hideMark/>
          </w:tcPr>
          <w:p w14:paraId="62512D2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000000" w:fill="E2EFDA"/>
            <w:noWrap/>
            <w:vAlign w:val="bottom"/>
            <w:hideMark/>
          </w:tcPr>
          <w:p w14:paraId="5F3F49F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27</w:t>
            </w:r>
          </w:p>
        </w:tc>
      </w:tr>
      <w:tr w:rsidR="00C94450" w:rsidRPr="008D536F" w14:paraId="20A887F5" w14:textId="77777777" w:rsidTr="00B47E6E">
        <w:trPr>
          <w:trHeight w:val="310"/>
        </w:trPr>
        <w:tc>
          <w:tcPr>
            <w:tcW w:w="1276" w:type="dxa"/>
            <w:shd w:val="clear" w:color="auto" w:fill="auto"/>
            <w:noWrap/>
            <w:vAlign w:val="bottom"/>
            <w:hideMark/>
          </w:tcPr>
          <w:p w14:paraId="6D1083FF"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38</w:t>
            </w:r>
          </w:p>
        </w:tc>
        <w:tc>
          <w:tcPr>
            <w:tcW w:w="1512" w:type="dxa"/>
            <w:shd w:val="clear" w:color="auto" w:fill="auto"/>
            <w:noWrap/>
            <w:vAlign w:val="bottom"/>
            <w:hideMark/>
          </w:tcPr>
          <w:p w14:paraId="2DA4B1D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1952</w:t>
            </w:r>
          </w:p>
        </w:tc>
        <w:tc>
          <w:tcPr>
            <w:tcW w:w="1218" w:type="dxa"/>
            <w:gridSpan w:val="2"/>
            <w:shd w:val="clear" w:color="000000" w:fill="F8CBAD"/>
            <w:noWrap/>
            <w:vAlign w:val="bottom"/>
            <w:hideMark/>
          </w:tcPr>
          <w:p w14:paraId="2246733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66</w:t>
            </w:r>
          </w:p>
        </w:tc>
        <w:tc>
          <w:tcPr>
            <w:tcW w:w="1218" w:type="dxa"/>
            <w:gridSpan w:val="2"/>
            <w:shd w:val="clear" w:color="000000" w:fill="E2EFDA"/>
            <w:noWrap/>
            <w:vAlign w:val="bottom"/>
            <w:hideMark/>
          </w:tcPr>
          <w:p w14:paraId="03BF127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auto" w:fill="FB7575"/>
            <w:noWrap/>
            <w:vAlign w:val="bottom"/>
            <w:hideMark/>
          </w:tcPr>
          <w:p w14:paraId="543376D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221</w:t>
            </w:r>
          </w:p>
        </w:tc>
        <w:tc>
          <w:tcPr>
            <w:tcW w:w="1215" w:type="dxa"/>
            <w:gridSpan w:val="2"/>
            <w:shd w:val="clear" w:color="000000" w:fill="E2EFDA"/>
            <w:noWrap/>
            <w:vAlign w:val="bottom"/>
            <w:hideMark/>
          </w:tcPr>
          <w:p w14:paraId="5563886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auto" w:fill="D9E2F3" w:themeFill="accent1" w:themeFillTint="33"/>
            <w:noWrap/>
            <w:vAlign w:val="bottom"/>
            <w:hideMark/>
          </w:tcPr>
          <w:p w14:paraId="6675816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000000" w:fill="E2EFDA"/>
            <w:noWrap/>
            <w:vAlign w:val="bottom"/>
            <w:hideMark/>
          </w:tcPr>
          <w:p w14:paraId="44F25B6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4C4CB732" w14:textId="77777777" w:rsidTr="00B47E6E">
        <w:trPr>
          <w:trHeight w:val="310"/>
        </w:trPr>
        <w:tc>
          <w:tcPr>
            <w:tcW w:w="1276" w:type="dxa"/>
            <w:shd w:val="clear" w:color="auto" w:fill="auto"/>
            <w:noWrap/>
            <w:vAlign w:val="bottom"/>
            <w:hideMark/>
          </w:tcPr>
          <w:p w14:paraId="7C74952C"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lastRenderedPageBreak/>
              <w:t>39</w:t>
            </w:r>
          </w:p>
        </w:tc>
        <w:tc>
          <w:tcPr>
            <w:tcW w:w="1512" w:type="dxa"/>
            <w:shd w:val="clear" w:color="auto" w:fill="auto"/>
            <w:noWrap/>
            <w:vAlign w:val="bottom"/>
            <w:hideMark/>
          </w:tcPr>
          <w:p w14:paraId="1F8BAAA7"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1147</w:t>
            </w:r>
          </w:p>
        </w:tc>
        <w:tc>
          <w:tcPr>
            <w:tcW w:w="1218" w:type="dxa"/>
            <w:gridSpan w:val="2"/>
            <w:shd w:val="clear" w:color="000000" w:fill="E2EFDA"/>
            <w:noWrap/>
            <w:vAlign w:val="bottom"/>
            <w:hideMark/>
          </w:tcPr>
          <w:p w14:paraId="4C1E914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4BB804A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34</w:t>
            </w:r>
          </w:p>
        </w:tc>
        <w:tc>
          <w:tcPr>
            <w:tcW w:w="1215" w:type="dxa"/>
            <w:shd w:val="clear" w:color="000000" w:fill="E2EFDA"/>
            <w:noWrap/>
            <w:vAlign w:val="bottom"/>
            <w:hideMark/>
          </w:tcPr>
          <w:p w14:paraId="6D96FC1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auto" w:fill="D9E2F3" w:themeFill="accent1" w:themeFillTint="33"/>
            <w:noWrap/>
            <w:vAlign w:val="bottom"/>
            <w:hideMark/>
          </w:tcPr>
          <w:p w14:paraId="5451E98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auto" w:fill="D9E2F3" w:themeFill="accent1" w:themeFillTint="33"/>
            <w:noWrap/>
            <w:vAlign w:val="bottom"/>
            <w:hideMark/>
          </w:tcPr>
          <w:p w14:paraId="6577CA1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000000" w:fill="E2EFDA"/>
            <w:noWrap/>
            <w:vAlign w:val="bottom"/>
            <w:hideMark/>
          </w:tcPr>
          <w:p w14:paraId="3F91829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0DA6DFC2" w14:textId="77777777" w:rsidTr="00B47E6E">
        <w:trPr>
          <w:trHeight w:val="320"/>
        </w:trPr>
        <w:tc>
          <w:tcPr>
            <w:tcW w:w="1276" w:type="dxa"/>
            <w:shd w:val="clear" w:color="auto" w:fill="auto"/>
            <w:noWrap/>
            <w:vAlign w:val="bottom"/>
            <w:hideMark/>
          </w:tcPr>
          <w:p w14:paraId="361CE42A"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40</w:t>
            </w:r>
          </w:p>
        </w:tc>
        <w:tc>
          <w:tcPr>
            <w:tcW w:w="1512" w:type="dxa"/>
            <w:shd w:val="clear" w:color="auto" w:fill="auto"/>
            <w:noWrap/>
            <w:vAlign w:val="bottom"/>
            <w:hideMark/>
          </w:tcPr>
          <w:p w14:paraId="0D69E16C"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92677</w:t>
            </w:r>
          </w:p>
        </w:tc>
        <w:tc>
          <w:tcPr>
            <w:tcW w:w="1218" w:type="dxa"/>
            <w:gridSpan w:val="2"/>
            <w:shd w:val="clear" w:color="000000" w:fill="E2EFDA"/>
            <w:noWrap/>
            <w:vAlign w:val="bottom"/>
            <w:hideMark/>
          </w:tcPr>
          <w:p w14:paraId="31F9AE9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52ACE10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auto" w:fill="D9E2F3" w:themeFill="accent1" w:themeFillTint="33"/>
            <w:noWrap/>
            <w:vAlign w:val="bottom"/>
            <w:hideMark/>
          </w:tcPr>
          <w:p w14:paraId="4D42A10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auto" w:fill="D9E2F3" w:themeFill="accent1" w:themeFillTint="33"/>
            <w:noWrap/>
            <w:vAlign w:val="bottom"/>
            <w:hideMark/>
          </w:tcPr>
          <w:p w14:paraId="1027E28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000000" w:fill="E2EFDA"/>
            <w:noWrap/>
            <w:vAlign w:val="bottom"/>
            <w:hideMark/>
          </w:tcPr>
          <w:p w14:paraId="652956B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w:t>
            </w:r>
          </w:p>
        </w:tc>
        <w:tc>
          <w:tcPr>
            <w:tcW w:w="1217" w:type="dxa"/>
            <w:shd w:val="clear" w:color="000000" w:fill="E2EFDA"/>
            <w:noWrap/>
            <w:vAlign w:val="bottom"/>
            <w:hideMark/>
          </w:tcPr>
          <w:p w14:paraId="7DF07AE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7DB3DA99" w14:textId="77777777" w:rsidTr="00B47E6E">
        <w:trPr>
          <w:trHeight w:val="310"/>
        </w:trPr>
        <w:tc>
          <w:tcPr>
            <w:tcW w:w="1276" w:type="dxa"/>
            <w:shd w:val="clear" w:color="auto" w:fill="auto"/>
            <w:noWrap/>
            <w:vAlign w:val="bottom"/>
            <w:hideMark/>
          </w:tcPr>
          <w:p w14:paraId="55E2DD0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41</w:t>
            </w:r>
          </w:p>
        </w:tc>
        <w:tc>
          <w:tcPr>
            <w:tcW w:w="1512" w:type="dxa"/>
            <w:shd w:val="clear" w:color="auto" w:fill="auto"/>
            <w:noWrap/>
            <w:vAlign w:val="bottom"/>
            <w:hideMark/>
          </w:tcPr>
          <w:p w14:paraId="7B4667A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7383</w:t>
            </w:r>
          </w:p>
        </w:tc>
        <w:tc>
          <w:tcPr>
            <w:tcW w:w="1218" w:type="dxa"/>
            <w:gridSpan w:val="2"/>
            <w:shd w:val="clear" w:color="000000" w:fill="E2EFDA"/>
            <w:noWrap/>
            <w:vAlign w:val="bottom"/>
            <w:hideMark/>
          </w:tcPr>
          <w:p w14:paraId="5703532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3599BEC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auto" w:fill="D9E2F3" w:themeFill="accent1" w:themeFillTint="33"/>
            <w:noWrap/>
            <w:vAlign w:val="bottom"/>
            <w:hideMark/>
          </w:tcPr>
          <w:p w14:paraId="6638E0A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auto" w:fill="FB7575"/>
            <w:noWrap/>
            <w:vAlign w:val="bottom"/>
            <w:hideMark/>
          </w:tcPr>
          <w:p w14:paraId="2F0FA3B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132</w:t>
            </w:r>
          </w:p>
        </w:tc>
        <w:tc>
          <w:tcPr>
            <w:tcW w:w="1215" w:type="dxa"/>
            <w:gridSpan w:val="2"/>
            <w:shd w:val="clear" w:color="000000" w:fill="E2EFDA"/>
            <w:noWrap/>
            <w:vAlign w:val="bottom"/>
            <w:hideMark/>
          </w:tcPr>
          <w:p w14:paraId="060861A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22</w:t>
            </w:r>
          </w:p>
        </w:tc>
        <w:tc>
          <w:tcPr>
            <w:tcW w:w="1217" w:type="dxa"/>
            <w:shd w:val="clear" w:color="000000" w:fill="E2EFDA"/>
            <w:noWrap/>
            <w:vAlign w:val="bottom"/>
            <w:hideMark/>
          </w:tcPr>
          <w:p w14:paraId="0A97D43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7DCF988F" w14:textId="77777777" w:rsidTr="00B47E6E">
        <w:trPr>
          <w:trHeight w:val="310"/>
        </w:trPr>
        <w:tc>
          <w:tcPr>
            <w:tcW w:w="1276" w:type="dxa"/>
            <w:shd w:val="clear" w:color="auto" w:fill="auto"/>
            <w:noWrap/>
            <w:vAlign w:val="bottom"/>
            <w:hideMark/>
          </w:tcPr>
          <w:p w14:paraId="77D6236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42</w:t>
            </w:r>
          </w:p>
        </w:tc>
        <w:tc>
          <w:tcPr>
            <w:tcW w:w="1512" w:type="dxa"/>
            <w:shd w:val="clear" w:color="auto" w:fill="auto"/>
            <w:noWrap/>
            <w:vAlign w:val="bottom"/>
            <w:hideMark/>
          </w:tcPr>
          <w:p w14:paraId="6D182D8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7027</w:t>
            </w:r>
          </w:p>
        </w:tc>
        <w:tc>
          <w:tcPr>
            <w:tcW w:w="1218" w:type="dxa"/>
            <w:gridSpan w:val="2"/>
            <w:shd w:val="clear" w:color="000000" w:fill="E2EFDA"/>
            <w:noWrap/>
            <w:vAlign w:val="bottom"/>
            <w:hideMark/>
          </w:tcPr>
          <w:p w14:paraId="5398A16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000000" w:fill="E2EFDA"/>
            <w:noWrap/>
            <w:vAlign w:val="bottom"/>
            <w:hideMark/>
          </w:tcPr>
          <w:p w14:paraId="2174361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34</w:t>
            </w:r>
          </w:p>
        </w:tc>
        <w:tc>
          <w:tcPr>
            <w:tcW w:w="1215" w:type="dxa"/>
            <w:shd w:val="clear" w:color="000000" w:fill="FF0000"/>
            <w:noWrap/>
            <w:vAlign w:val="bottom"/>
            <w:hideMark/>
          </w:tcPr>
          <w:p w14:paraId="024C1C7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1108</w:t>
            </w:r>
          </w:p>
        </w:tc>
        <w:tc>
          <w:tcPr>
            <w:tcW w:w="1215" w:type="dxa"/>
            <w:gridSpan w:val="2"/>
            <w:shd w:val="clear" w:color="auto" w:fill="D9E2F3" w:themeFill="accent1" w:themeFillTint="33"/>
            <w:noWrap/>
            <w:vAlign w:val="bottom"/>
            <w:hideMark/>
          </w:tcPr>
          <w:p w14:paraId="3CED1B0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000000" w:fill="E2EFDA"/>
            <w:noWrap/>
            <w:vAlign w:val="bottom"/>
            <w:hideMark/>
          </w:tcPr>
          <w:p w14:paraId="6F33E4C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w:t>
            </w:r>
          </w:p>
        </w:tc>
        <w:tc>
          <w:tcPr>
            <w:tcW w:w="1217" w:type="dxa"/>
            <w:shd w:val="clear" w:color="000000" w:fill="E2EFDA"/>
            <w:noWrap/>
            <w:vAlign w:val="bottom"/>
            <w:hideMark/>
          </w:tcPr>
          <w:p w14:paraId="34DC2DA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w:t>
            </w:r>
          </w:p>
        </w:tc>
      </w:tr>
      <w:tr w:rsidR="00C94450" w:rsidRPr="008D536F" w14:paraId="00EB0590" w14:textId="77777777" w:rsidTr="00B47E6E">
        <w:trPr>
          <w:trHeight w:val="310"/>
        </w:trPr>
        <w:tc>
          <w:tcPr>
            <w:tcW w:w="1276" w:type="dxa"/>
            <w:shd w:val="clear" w:color="auto" w:fill="auto"/>
            <w:noWrap/>
            <w:vAlign w:val="bottom"/>
            <w:hideMark/>
          </w:tcPr>
          <w:p w14:paraId="201C97B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43</w:t>
            </w:r>
          </w:p>
        </w:tc>
        <w:tc>
          <w:tcPr>
            <w:tcW w:w="1512" w:type="dxa"/>
            <w:shd w:val="clear" w:color="auto" w:fill="auto"/>
            <w:noWrap/>
            <w:vAlign w:val="bottom"/>
            <w:hideMark/>
          </w:tcPr>
          <w:p w14:paraId="03F430F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39339</w:t>
            </w:r>
          </w:p>
        </w:tc>
        <w:tc>
          <w:tcPr>
            <w:tcW w:w="1218" w:type="dxa"/>
            <w:gridSpan w:val="2"/>
            <w:shd w:val="clear" w:color="000000" w:fill="E2EFDA"/>
            <w:noWrap/>
            <w:vAlign w:val="bottom"/>
            <w:hideMark/>
          </w:tcPr>
          <w:p w14:paraId="4A06B75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50</w:t>
            </w:r>
          </w:p>
        </w:tc>
        <w:tc>
          <w:tcPr>
            <w:tcW w:w="1218" w:type="dxa"/>
            <w:gridSpan w:val="2"/>
            <w:shd w:val="clear" w:color="000000" w:fill="E2EFDA"/>
            <w:noWrap/>
            <w:vAlign w:val="bottom"/>
            <w:hideMark/>
          </w:tcPr>
          <w:p w14:paraId="7EB44F0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auto" w:fill="D9E2F3" w:themeFill="accent1" w:themeFillTint="33"/>
            <w:noWrap/>
            <w:vAlign w:val="bottom"/>
            <w:hideMark/>
          </w:tcPr>
          <w:p w14:paraId="6647E7B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000000" w:fill="E2EFDA"/>
            <w:noWrap/>
            <w:vAlign w:val="bottom"/>
            <w:hideMark/>
          </w:tcPr>
          <w:p w14:paraId="6F91A8E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42099A0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w:t>
            </w:r>
          </w:p>
        </w:tc>
        <w:tc>
          <w:tcPr>
            <w:tcW w:w="1217" w:type="dxa"/>
            <w:shd w:val="clear" w:color="000000" w:fill="E2EFDA"/>
            <w:noWrap/>
            <w:vAlign w:val="bottom"/>
            <w:hideMark/>
          </w:tcPr>
          <w:p w14:paraId="0567F9E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6CB79EAD" w14:textId="77777777" w:rsidTr="00B47E6E">
        <w:trPr>
          <w:trHeight w:val="310"/>
        </w:trPr>
        <w:tc>
          <w:tcPr>
            <w:tcW w:w="1276" w:type="dxa"/>
            <w:shd w:val="clear" w:color="auto" w:fill="auto"/>
            <w:noWrap/>
            <w:vAlign w:val="bottom"/>
            <w:hideMark/>
          </w:tcPr>
          <w:p w14:paraId="53411557"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44</w:t>
            </w:r>
          </w:p>
        </w:tc>
        <w:tc>
          <w:tcPr>
            <w:tcW w:w="1512" w:type="dxa"/>
            <w:shd w:val="clear" w:color="auto" w:fill="auto"/>
            <w:noWrap/>
            <w:vAlign w:val="bottom"/>
            <w:hideMark/>
          </w:tcPr>
          <w:p w14:paraId="02DC9502"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18426</w:t>
            </w:r>
          </w:p>
        </w:tc>
        <w:tc>
          <w:tcPr>
            <w:tcW w:w="1218" w:type="dxa"/>
            <w:gridSpan w:val="2"/>
            <w:shd w:val="clear" w:color="000000" w:fill="E2EFDA"/>
            <w:noWrap/>
            <w:vAlign w:val="bottom"/>
            <w:hideMark/>
          </w:tcPr>
          <w:p w14:paraId="634D29F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22</w:t>
            </w:r>
          </w:p>
        </w:tc>
        <w:tc>
          <w:tcPr>
            <w:tcW w:w="1218" w:type="dxa"/>
            <w:gridSpan w:val="2"/>
            <w:shd w:val="clear" w:color="000000" w:fill="E2EFDA"/>
            <w:noWrap/>
            <w:vAlign w:val="bottom"/>
            <w:hideMark/>
          </w:tcPr>
          <w:p w14:paraId="224FEA7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auto" w:fill="D9E2F3" w:themeFill="accent1" w:themeFillTint="33"/>
            <w:noWrap/>
            <w:vAlign w:val="bottom"/>
            <w:hideMark/>
          </w:tcPr>
          <w:p w14:paraId="6EE17EE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000000" w:fill="E2EFDA"/>
            <w:noWrap/>
            <w:vAlign w:val="bottom"/>
            <w:hideMark/>
          </w:tcPr>
          <w:p w14:paraId="5BCEA1A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211BC0C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40BEA47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0D2925A2" w14:textId="77777777" w:rsidTr="00B47E6E">
        <w:trPr>
          <w:trHeight w:val="320"/>
        </w:trPr>
        <w:tc>
          <w:tcPr>
            <w:tcW w:w="1276" w:type="dxa"/>
            <w:shd w:val="clear" w:color="auto" w:fill="auto"/>
            <w:noWrap/>
            <w:vAlign w:val="bottom"/>
            <w:hideMark/>
          </w:tcPr>
          <w:p w14:paraId="5B4F36F3"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45</w:t>
            </w:r>
          </w:p>
        </w:tc>
        <w:tc>
          <w:tcPr>
            <w:tcW w:w="1512" w:type="dxa"/>
            <w:shd w:val="clear" w:color="auto" w:fill="auto"/>
            <w:noWrap/>
            <w:vAlign w:val="bottom"/>
            <w:hideMark/>
          </w:tcPr>
          <w:p w14:paraId="08FBFBE5"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9981</w:t>
            </w:r>
          </w:p>
        </w:tc>
        <w:tc>
          <w:tcPr>
            <w:tcW w:w="1218" w:type="dxa"/>
            <w:gridSpan w:val="2"/>
            <w:shd w:val="clear" w:color="000000" w:fill="E2EFDA"/>
            <w:noWrap/>
            <w:vAlign w:val="bottom"/>
            <w:hideMark/>
          </w:tcPr>
          <w:p w14:paraId="45FB3E1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528986D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0105DBF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58D3622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auto" w:fill="D9E2F3" w:themeFill="accent1" w:themeFillTint="33"/>
            <w:noWrap/>
            <w:vAlign w:val="bottom"/>
            <w:hideMark/>
          </w:tcPr>
          <w:p w14:paraId="40683A9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000000" w:fill="E2EFDA"/>
            <w:noWrap/>
            <w:vAlign w:val="bottom"/>
            <w:hideMark/>
          </w:tcPr>
          <w:p w14:paraId="799CBDC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071FE6DF" w14:textId="77777777" w:rsidTr="00B47E6E">
        <w:trPr>
          <w:trHeight w:val="310"/>
        </w:trPr>
        <w:tc>
          <w:tcPr>
            <w:tcW w:w="1276" w:type="dxa"/>
            <w:shd w:val="clear" w:color="auto" w:fill="auto"/>
            <w:noWrap/>
            <w:vAlign w:val="bottom"/>
            <w:hideMark/>
          </w:tcPr>
          <w:p w14:paraId="7E955D1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46</w:t>
            </w:r>
          </w:p>
        </w:tc>
        <w:tc>
          <w:tcPr>
            <w:tcW w:w="1512" w:type="dxa"/>
            <w:shd w:val="clear" w:color="auto" w:fill="auto"/>
            <w:noWrap/>
            <w:vAlign w:val="bottom"/>
            <w:hideMark/>
          </w:tcPr>
          <w:p w14:paraId="43211FC2"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2061</w:t>
            </w:r>
          </w:p>
        </w:tc>
        <w:tc>
          <w:tcPr>
            <w:tcW w:w="1218" w:type="dxa"/>
            <w:gridSpan w:val="2"/>
            <w:shd w:val="clear" w:color="000000" w:fill="E2EFDA"/>
            <w:noWrap/>
            <w:vAlign w:val="bottom"/>
            <w:hideMark/>
          </w:tcPr>
          <w:p w14:paraId="68CC3E9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auto" w:fill="D9E2F3" w:themeFill="accent1" w:themeFillTint="33"/>
            <w:noWrap/>
            <w:vAlign w:val="bottom"/>
            <w:hideMark/>
          </w:tcPr>
          <w:p w14:paraId="7E8A6DB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shd w:val="clear" w:color="000000" w:fill="E2EFDA"/>
            <w:noWrap/>
            <w:vAlign w:val="bottom"/>
            <w:hideMark/>
          </w:tcPr>
          <w:p w14:paraId="1F9FE22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53B4599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48DF05F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2EF4F9C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22C48CE3" w14:textId="77777777" w:rsidTr="00B47E6E">
        <w:trPr>
          <w:trHeight w:val="310"/>
        </w:trPr>
        <w:tc>
          <w:tcPr>
            <w:tcW w:w="1276" w:type="dxa"/>
            <w:shd w:val="clear" w:color="auto" w:fill="auto"/>
            <w:noWrap/>
            <w:vAlign w:val="bottom"/>
            <w:hideMark/>
          </w:tcPr>
          <w:p w14:paraId="6DE8B1BB"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47</w:t>
            </w:r>
          </w:p>
        </w:tc>
        <w:tc>
          <w:tcPr>
            <w:tcW w:w="1512" w:type="dxa"/>
            <w:shd w:val="clear" w:color="auto" w:fill="auto"/>
            <w:noWrap/>
            <w:vAlign w:val="bottom"/>
            <w:hideMark/>
          </w:tcPr>
          <w:p w14:paraId="12F7400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9190</w:t>
            </w:r>
          </w:p>
        </w:tc>
        <w:tc>
          <w:tcPr>
            <w:tcW w:w="1218" w:type="dxa"/>
            <w:gridSpan w:val="2"/>
            <w:shd w:val="clear" w:color="000000" w:fill="E2EFDA"/>
            <w:noWrap/>
            <w:vAlign w:val="bottom"/>
            <w:hideMark/>
          </w:tcPr>
          <w:p w14:paraId="3260385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auto" w:fill="D9E2F3" w:themeFill="accent1" w:themeFillTint="33"/>
            <w:noWrap/>
            <w:vAlign w:val="bottom"/>
            <w:hideMark/>
          </w:tcPr>
          <w:p w14:paraId="305F303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w:t>
            </w:r>
          </w:p>
        </w:tc>
        <w:tc>
          <w:tcPr>
            <w:tcW w:w="1215" w:type="dxa"/>
            <w:shd w:val="clear" w:color="000000" w:fill="E2EFDA"/>
            <w:noWrap/>
            <w:vAlign w:val="bottom"/>
            <w:hideMark/>
          </w:tcPr>
          <w:p w14:paraId="4ECA4F9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425BBC2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544EFB4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750A2F4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37DE19F5" w14:textId="77777777" w:rsidTr="00B47E6E">
        <w:trPr>
          <w:trHeight w:val="310"/>
        </w:trPr>
        <w:tc>
          <w:tcPr>
            <w:tcW w:w="1276" w:type="dxa"/>
            <w:shd w:val="clear" w:color="auto" w:fill="auto"/>
            <w:noWrap/>
            <w:vAlign w:val="bottom"/>
            <w:hideMark/>
          </w:tcPr>
          <w:p w14:paraId="695DAF10"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48</w:t>
            </w:r>
          </w:p>
        </w:tc>
        <w:tc>
          <w:tcPr>
            <w:tcW w:w="1512" w:type="dxa"/>
            <w:shd w:val="clear" w:color="auto" w:fill="auto"/>
            <w:noWrap/>
            <w:vAlign w:val="bottom"/>
            <w:hideMark/>
          </w:tcPr>
          <w:p w14:paraId="4A11E76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57190</w:t>
            </w:r>
          </w:p>
        </w:tc>
        <w:tc>
          <w:tcPr>
            <w:tcW w:w="1218" w:type="dxa"/>
            <w:gridSpan w:val="2"/>
            <w:shd w:val="clear" w:color="000000" w:fill="E2EFDA"/>
            <w:noWrap/>
            <w:vAlign w:val="bottom"/>
            <w:hideMark/>
          </w:tcPr>
          <w:p w14:paraId="2BE75E8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auto" w:fill="D9E2F3" w:themeFill="accent1" w:themeFillTint="33"/>
            <w:noWrap/>
            <w:vAlign w:val="bottom"/>
            <w:hideMark/>
          </w:tcPr>
          <w:p w14:paraId="6621D0B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shd w:val="clear" w:color="auto" w:fill="D9E2F3" w:themeFill="accent1" w:themeFillTint="33"/>
            <w:noWrap/>
            <w:vAlign w:val="bottom"/>
            <w:hideMark/>
          </w:tcPr>
          <w:p w14:paraId="3A50990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000000" w:fill="E2EFDA"/>
            <w:noWrap/>
            <w:vAlign w:val="bottom"/>
            <w:hideMark/>
          </w:tcPr>
          <w:p w14:paraId="410B834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71B702B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14EF3557" w14:textId="01711E50"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r w:rsidR="004C3693" w:rsidRPr="008D536F">
              <w:rPr>
                <w:rFonts w:ascii="Times New Roman" w:eastAsia="Times New Roman" w:hAnsi="Times New Roman"/>
                <w:lang w:eastAsia="en-GB"/>
              </w:rPr>
              <w:t>*</w:t>
            </w:r>
          </w:p>
        </w:tc>
      </w:tr>
      <w:tr w:rsidR="00C94450" w:rsidRPr="008D536F" w14:paraId="0E049E44" w14:textId="77777777" w:rsidTr="00B47E6E">
        <w:trPr>
          <w:trHeight w:val="310"/>
        </w:trPr>
        <w:tc>
          <w:tcPr>
            <w:tcW w:w="1276" w:type="dxa"/>
            <w:shd w:val="clear" w:color="auto" w:fill="auto"/>
            <w:noWrap/>
            <w:vAlign w:val="bottom"/>
            <w:hideMark/>
          </w:tcPr>
          <w:p w14:paraId="5E968D3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49</w:t>
            </w:r>
          </w:p>
        </w:tc>
        <w:tc>
          <w:tcPr>
            <w:tcW w:w="1512" w:type="dxa"/>
            <w:shd w:val="clear" w:color="auto" w:fill="auto"/>
            <w:noWrap/>
            <w:vAlign w:val="bottom"/>
            <w:hideMark/>
          </w:tcPr>
          <w:p w14:paraId="50B36BB0"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1834</w:t>
            </w:r>
          </w:p>
        </w:tc>
        <w:tc>
          <w:tcPr>
            <w:tcW w:w="1218" w:type="dxa"/>
            <w:gridSpan w:val="2"/>
            <w:shd w:val="clear" w:color="000000" w:fill="E2EFDA"/>
            <w:noWrap/>
            <w:vAlign w:val="bottom"/>
            <w:hideMark/>
          </w:tcPr>
          <w:p w14:paraId="0E37257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w:t>
            </w:r>
          </w:p>
        </w:tc>
        <w:tc>
          <w:tcPr>
            <w:tcW w:w="1218" w:type="dxa"/>
            <w:gridSpan w:val="2"/>
            <w:shd w:val="clear" w:color="auto" w:fill="D9E2F3" w:themeFill="accent1" w:themeFillTint="33"/>
            <w:noWrap/>
            <w:vAlign w:val="bottom"/>
            <w:hideMark/>
          </w:tcPr>
          <w:p w14:paraId="74A4261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w:t>
            </w:r>
          </w:p>
        </w:tc>
        <w:tc>
          <w:tcPr>
            <w:tcW w:w="1215" w:type="dxa"/>
            <w:shd w:val="clear" w:color="000000" w:fill="E2EFDA"/>
            <w:noWrap/>
            <w:vAlign w:val="bottom"/>
            <w:hideMark/>
          </w:tcPr>
          <w:p w14:paraId="5856D3A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160221E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6ADB874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02E1083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1C712E68" w14:textId="77777777" w:rsidTr="00B47E6E">
        <w:trPr>
          <w:trHeight w:val="320"/>
        </w:trPr>
        <w:tc>
          <w:tcPr>
            <w:tcW w:w="1276" w:type="dxa"/>
            <w:shd w:val="clear" w:color="auto" w:fill="auto"/>
            <w:noWrap/>
            <w:vAlign w:val="bottom"/>
            <w:hideMark/>
          </w:tcPr>
          <w:p w14:paraId="6238555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50</w:t>
            </w:r>
          </w:p>
        </w:tc>
        <w:tc>
          <w:tcPr>
            <w:tcW w:w="1512" w:type="dxa"/>
            <w:shd w:val="clear" w:color="auto" w:fill="auto"/>
            <w:noWrap/>
            <w:vAlign w:val="bottom"/>
            <w:hideMark/>
          </w:tcPr>
          <w:p w14:paraId="262EFC1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44757</w:t>
            </w:r>
          </w:p>
        </w:tc>
        <w:tc>
          <w:tcPr>
            <w:tcW w:w="1218" w:type="dxa"/>
            <w:gridSpan w:val="2"/>
            <w:shd w:val="clear" w:color="000000" w:fill="E2EFDA"/>
            <w:noWrap/>
            <w:vAlign w:val="bottom"/>
            <w:hideMark/>
          </w:tcPr>
          <w:p w14:paraId="738ADAF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8" w:type="dxa"/>
            <w:gridSpan w:val="2"/>
            <w:shd w:val="clear" w:color="auto" w:fill="D9E2F3" w:themeFill="accent1" w:themeFillTint="33"/>
            <w:noWrap/>
            <w:vAlign w:val="bottom"/>
            <w:hideMark/>
          </w:tcPr>
          <w:p w14:paraId="3100492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shd w:val="clear" w:color="000000" w:fill="E2EFDA"/>
            <w:noWrap/>
            <w:vAlign w:val="bottom"/>
            <w:hideMark/>
          </w:tcPr>
          <w:p w14:paraId="7302E87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519DA0E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auto" w:fill="D9E2F3" w:themeFill="accent1" w:themeFillTint="33"/>
            <w:noWrap/>
            <w:vAlign w:val="bottom"/>
            <w:hideMark/>
          </w:tcPr>
          <w:p w14:paraId="2733BA2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000000" w:fill="E2EFDA"/>
            <w:noWrap/>
            <w:vAlign w:val="bottom"/>
            <w:hideMark/>
          </w:tcPr>
          <w:p w14:paraId="067A49E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1D223A20" w14:textId="77777777" w:rsidTr="00B47E6E">
        <w:trPr>
          <w:trHeight w:val="310"/>
        </w:trPr>
        <w:tc>
          <w:tcPr>
            <w:tcW w:w="1276" w:type="dxa"/>
            <w:shd w:val="clear" w:color="auto" w:fill="auto"/>
            <w:noWrap/>
            <w:vAlign w:val="bottom"/>
            <w:hideMark/>
          </w:tcPr>
          <w:p w14:paraId="3D0E1450"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51</w:t>
            </w:r>
          </w:p>
        </w:tc>
        <w:tc>
          <w:tcPr>
            <w:tcW w:w="1512" w:type="dxa"/>
            <w:shd w:val="clear" w:color="auto" w:fill="auto"/>
            <w:noWrap/>
            <w:vAlign w:val="bottom"/>
            <w:hideMark/>
          </w:tcPr>
          <w:p w14:paraId="602E144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124717</w:t>
            </w:r>
          </w:p>
        </w:tc>
        <w:tc>
          <w:tcPr>
            <w:tcW w:w="1218" w:type="dxa"/>
            <w:gridSpan w:val="2"/>
            <w:shd w:val="clear" w:color="auto" w:fill="FB7575"/>
            <w:noWrap/>
            <w:vAlign w:val="bottom"/>
            <w:hideMark/>
          </w:tcPr>
          <w:p w14:paraId="62CDECF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195</w:t>
            </w:r>
          </w:p>
        </w:tc>
        <w:tc>
          <w:tcPr>
            <w:tcW w:w="1218" w:type="dxa"/>
            <w:gridSpan w:val="2"/>
            <w:shd w:val="clear" w:color="auto" w:fill="D9E2F3" w:themeFill="accent1" w:themeFillTint="33"/>
            <w:noWrap/>
            <w:vAlign w:val="bottom"/>
            <w:hideMark/>
          </w:tcPr>
          <w:p w14:paraId="1108D0D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shd w:val="clear" w:color="000000" w:fill="E2EFDA"/>
            <w:noWrap/>
            <w:vAlign w:val="bottom"/>
            <w:hideMark/>
          </w:tcPr>
          <w:p w14:paraId="1A41A84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35</w:t>
            </w:r>
          </w:p>
        </w:tc>
        <w:tc>
          <w:tcPr>
            <w:tcW w:w="1215" w:type="dxa"/>
            <w:gridSpan w:val="2"/>
            <w:shd w:val="clear" w:color="000000" w:fill="E2EFDA"/>
            <w:noWrap/>
            <w:vAlign w:val="bottom"/>
            <w:hideMark/>
          </w:tcPr>
          <w:p w14:paraId="63E12DD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33</w:t>
            </w:r>
          </w:p>
        </w:tc>
        <w:tc>
          <w:tcPr>
            <w:tcW w:w="1215" w:type="dxa"/>
            <w:gridSpan w:val="2"/>
            <w:shd w:val="clear" w:color="000000" w:fill="E2EFDA"/>
            <w:noWrap/>
            <w:vAlign w:val="bottom"/>
            <w:hideMark/>
          </w:tcPr>
          <w:p w14:paraId="50A7811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shd w:val="clear" w:color="000000" w:fill="E2EFDA"/>
            <w:noWrap/>
            <w:vAlign w:val="bottom"/>
            <w:hideMark/>
          </w:tcPr>
          <w:p w14:paraId="45104B3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20</w:t>
            </w:r>
          </w:p>
        </w:tc>
      </w:tr>
      <w:tr w:rsidR="00C94450" w:rsidRPr="008D536F" w14:paraId="0884C20B" w14:textId="77777777" w:rsidTr="00B47E6E">
        <w:trPr>
          <w:trHeight w:val="310"/>
        </w:trPr>
        <w:tc>
          <w:tcPr>
            <w:tcW w:w="1276" w:type="dxa"/>
            <w:shd w:val="clear" w:color="auto" w:fill="auto"/>
            <w:noWrap/>
            <w:vAlign w:val="bottom"/>
            <w:hideMark/>
          </w:tcPr>
          <w:p w14:paraId="451C997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52</w:t>
            </w:r>
          </w:p>
        </w:tc>
        <w:tc>
          <w:tcPr>
            <w:tcW w:w="1512" w:type="dxa"/>
            <w:shd w:val="clear" w:color="auto" w:fill="auto"/>
            <w:noWrap/>
            <w:vAlign w:val="bottom"/>
            <w:hideMark/>
          </w:tcPr>
          <w:p w14:paraId="753955A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40761</w:t>
            </w:r>
          </w:p>
        </w:tc>
        <w:tc>
          <w:tcPr>
            <w:tcW w:w="1218" w:type="dxa"/>
            <w:gridSpan w:val="2"/>
            <w:shd w:val="clear" w:color="000000" w:fill="F8CBAD"/>
            <w:noWrap/>
            <w:vAlign w:val="bottom"/>
            <w:hideMark/>
          </w:tcPr>
          <w:p w14:paraId="3397000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68</w:t>
            </w:r>
          </w:p>
        </w:tc>
        <w:tc>
          <w:tcPr>
            <w:tcW w:w="1218" w:type="dxa"/>
            <w:gridSpan w:val="2"/>
            <w:shd w:val="clear" w:color="auto" w:fill="D9E2F3" w:themeFill="accent1" w:themeFillTint="33"/>
            <w:noWrap/>
            <w:vAlign w:val="bottom"/>
            <w:hideMark/>
          </w:tcPr>
          <w:p w14:paraId="42E977E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shd w:val="clear" w:color="auto" w:fill="FB7575"/>
            <w:noWrap/>
            <w:vAlign w:val="bottom"/>
            <w:hideMark/>
          </w:tcPr>
          <w:p w14:paraId="11A9542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206</w:t>
            </w:r>
          </w:p>
        </w:tc>
        <w:tc>
          <w:tcPr>
            <w:tcW w:w="1215" w:type="dxa"/>
            <w:gridSpan w:val="2"/>
            <w:shd w:val="clear" w:color="auto" w:fill="FB7575"/>
            <w:noWrap/>
            <w:vAlign w:val="bottom"/>
            <w:hideMark/>
          </w:tcPr>
          <w:p w14:paraId="280D117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107</w:t>
            </w:r>
          </w:p>
        </w:tc>
        <w:tc>
          <w:tcPr>
            <w:tcW w:w="1215" w:type="dxa"/>
            <w:gridSpan w:val="2"/>
            <w:shd w:val="clear" w:color="auto" w:fill="D9E2F3" w:themeFill="accent1" w:themeFillTint="33"/>
            <w:noWrap/>
            <w:vAlign w:val="bottom"/>
            <w:hideMark/>
          </w:tcPr>
          <w:p w14:paraId="1864B54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7" w:type="dxa"/>
            <w:shd w:val="clear" w:color="auto" w:fill="D9E2F3" w:themeFill="accent1" w:themeFillTint="33"/>
            <w:noWrap/>
            <w:vAlign w:val="bottom"/>
            <w:hideMark/>
          </w:tcPr>
          <w:p w14:paraId="6A8B994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w:t>
            </w:r>
          </w:p>
        </w:tc>
      </w:tr>
      <w:tr w:rsidR="00C94450" w:rsidRPr="008D536F" w14:paraId="75F8B8FE" w14:textId="77777777" w:rsidTr="00B47E6E">
        <w:trPr>
          <w:trHeight w:val="310"/>
        </w:trPr>
        <w:tc>
          <w:tcPr>
            <w:tcW w:w="1276" w:type="dxa"/>
            <w:shd w:val="clear" w:color="auto" w:fill="auto"/>
            <w:noWrap/>
            <w:vAlign w:val="bottom"/>
            <w:hideMark/>
          </w:tcPr>
          <w:p w14:paraId="6814D3C5"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53</w:t>
            </w:r>
          </w:p>
        </w:tc>
        <w:tc>
          <w:tcPr>
            <w:tcW w:w="1512" w:type="dxa"/>
            <w:shd w:val="clear" w:color="auto" w:fill="auto"/>
            <w:noWrap/>
            <w:vAlign w:val="bottom"/>
            <w:hideMark/>
          </w:tcPr>
          <w:p w14:paraId="020D1A1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1009</w:t>
            </w:r>
          </w:p>
        </w:tc>
        <w:tc>
          <w:tcPr>
            <w:tcW w:w="1218" w:type="dxa"/>
            <w:gridSpan w:val="2"/>
            <w:shd w:val="clear" w:color="000000" w:fill="E2EFDA"/>
            <w:noWrap/>
            <w:vAlign w:val="bottom"/>
            <w:hideMark/>
          </w:tcPr>
          <w:p w14:paraId="4BAF937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auto" w:fill="D9E2F3" w:themeFill="accent1" w:themeFillTint="33"/>
            <w:noWrap/>
            <w:vAlign w:val="bottom"/>
            <w:hideMark/>
          </w:tcPr>
          <w:p w14:paraId="29B825C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shd w:val="clear" w:color="000000" w:fill="E2EFDA"/>
            <w:noWrap/>
            <w:vAlign w:val="bottom"/>
            <w:hideMark/>
          </w:tcPr>
          <w:p w14:paraId="188E17F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1E3A1BF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364EFC1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shd w:val="clear" w:color="000000" w:fill="E2EFDA"/>
            <w:noWrap/>
            <w:vAlign w:val="bottom"/>
            <w:hideMark/>
          </w:tcPr>
          <w:p w14:paraId="0F2ABF4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6B948023" w14:textId="77777777" w:rsidTr="00B47E6E">
        <w:trPr>
          <w:trHeight w:val="310"/>
        </w:trPr>
        <w:tc>
          <w:tcPr>
            <w:tcW w:w="1276" w:type="dxa"/>
            <w:shd w:val="clear" w:color="auto" w:fill="auto"/>
            <w:noWrap/>
            <w:vAlign w:val="bottom"/>
            <w:hideMark/>
          </w:tcPr>
          <w:p w14:paraId="61DDDCEF"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54</w:t>
            </w:r>
          </w:p>
        </w:tc>
        <w:tc>
          <w:tcPr>
            <w:tcW w:w="1512" w:type="dxa"/>
            <w:shd w:val="clear" w:color="auto" w:fill="auto"/>
            <w:noWrap/>
            <w:vAlign w:val="bottom"/>
            <w:hideMark/>
          </w:tcPr>
          <w:p w14:paraId="1771B5FC"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2827</w:t>
            </w:r>
          </w:p>
        </w:tc>
        <w:tc>
          <w:tcPr>
            <w:tcW w:w="1218" w:type="dxa"/>
            <w:gridSpan w:val="2"/>
            <w:shd w:val="clear" w:color="auto" w:fill="D9E2F3" w:themeFill="accent1" w:themeFillTint="33"/>
            <w:noWrap/>
            <w:vAlign w:val="bottom"/>
            <w:hideMark/>
          </w:tcPr>
          <w:p w14:paraId="005F5360"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8" w:type="dxa"/>
            <w:gridSpan w:val="2"/>
            <w:shd w:val="clear" w:color="000000" w:fill="E2EFDA"/>
            <w:noWrap/>
            <w:vAlign w:val="bottom"/>
            <w:hideMark/>
          </w:tcPr>
          <w:p w14:paraId="640E40A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11D2F1A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648E6C1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46D66E73"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shd w:val="clear" w:color="000000" w:fill="E2EFDA"/>
            <w:noWrap/>
            <w:vAlign w:val="bottom"/>
            <w:hideMark/>
          </w:tcPr>
          <w:p w14:paraId="2B580A6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w:t>
            </w:r>
          </w:p>
        </w:tc>
      </w:tr>
      <w:tr w:rsidR="00C94450" w:rsidRPr="008D536F" w14:paraId="66712577" w14:textId="77777777" w:rsidTr="00B47E6E">
        <w:trPr>
          <w:trHeight w:val="320"/>
        </w:trPr>
        <w:tc>
          <w:tcPr>
            <w:tcW w:w="1276" w:type="dxa"/>
            <w:shd w:val="clear" w:color="auto" w:fill="auto"/>
            <w:noWrap/>
            <w:vAlign w:val="bottom"/>
            <w:hideMark/>
          </w:tcPr>
          <w:p w14:paraId="3B04B3AE"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55</w:t>
            </w:r>
          </w:p>
        </w:tc>
        <w:tc>
          <w:tcPr>
            <w:tcW w:w="1512" w:type="dxa"/>
            <w:shd w:val="clear" w:color="auto" w:fill="auto"/>
            <w:noWrap/>
            <w:vAlign w:val="bottom"/>
            <w:hideMark/>
          </w:tcPr>
          <w:p w14:paraId="3E6DE28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6697</w:t>
            </w:r>
          </w:p>
        </w:tc>
        <w:tc>
          <w:tcPr>
            <w:tcW w:w="1218" w:type="dxa"/>
            <w:gridSpan w:val="2"/>
            <w:shd w:val="clear" w:color="auto" w:fill="D9E2F3" w:themeFill="accent1" w:themeFillTint="33"/>
            <w:noWrap/>
            <w:vAlign w:val="bottom"/>
            <w:hideMark/>
          </w:tcPr>
          <w:p w14:paraId="1897C6A9"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w:t>
            </w:r>
          </w:p>
        </w:tc>
        <w:tc>
          <w:tcPr>
            <w:tcW w:w="1218" w:type="dxa"/>
            <w:gridSpan w:val="2"/>
            <w:shd w:val="clear" w:color="auto" w:fill="D9E2F3" w:themeFill="accent1" w:themeFillTint="33"/>
            <w:noWrap/>
            <w:vAlign w:val="bottom"/>
            <w:hideMark/>
          </w:tcPr>
          <w:p w14:paraId="11ACF9AB"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shd w:val="clear" w:color="000000" w:fill="E2EFDA"/>
            <w:noWrap/>
            <w:vAlign w:val="bottom"/>
            <w:hideMark/>
          </w:tcPr>
          <w:p w14:paraId="33F2D86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46</w:t>
            </w:r>
          </w:p>
        </w:tc>
        <w:tc>
          <w:tcPr>
            <w:tcW w:w="1215" w:type="dxa"/>
            <w:gridSpan w:val="2"/>
            <w:shd w:val="clear" w:color="000000" w:fill="E2EFDA"/>
            <w:noWrap/>
            <w:vAlign w:val="bottom"/>
            <w:hideMark/>
          </w:tcPr>
          <w:p w14:paraId="0664EBF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39</w:t>
            </w:r>
          </w:p>
        </w:tc>
        <w:tc>
          <w:tcPr>
            <w:tcW w:w="1215" w:type="dxa"/>
            <w:gridSpan w:val="2"/>
            <w:shd w:val="clear" w:color="000000" w:fill="E2EFDA"/>
            <w:noWrap/>
            <w:vAlign w:val="bottom"/>
            <w:hideMark/>
          </w:tcPr>
          <w:p w14:paraId="68BD48E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shd w:val="clear" w:color="000000" w:fill="E2EFDA"/>
            <w:noWrap/>
            <w:vAlign w:val="bottom"/>
            <w:hideMark/>
          </w:tcPr>
          <w:p w14:paraId="40A3C95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7EDCF3CC" w14:textId="77777777" w:rsidTr="00B47E6E">
        <w:trPr>
          <w:trHeight w:val="310"/>
        </w:trPr>
        <w:tc>
          <w:tcPr>
            <w:tcW w:w="1276" w:type="dxa"/>
            <w:shd w:val="clear" w:color="auto" w:fill="auto"/>
            <w:noWrap/>
            <w:vAlign w:val="bottom"/>
            <w:hideMark/>
          </w:tcPr>
          <w:p w14:paraId="1DB72BE9"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56</w:t>
            </w:r>
          </w:p>
        </w:tc>
        <w:tc>
          <w:tcPr>
            <w:tcW w:w="1512" w:type="dxa"/>
            <w:shd w:val="clear" w:color="auto" w:fill="auto"/>
            <w:noWrap/>
            <w:vAlign w:val="bottom"/>
            <w:hideMark/>
          </w:tcPr>
          <w:p w14:paraId="171C4FC8"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1923</w:t>
            </w:r>
          </w:p>
        </w:tc>
        <w:tc>
          <w:tcPr>
            <w:tcW w:w="1218" w:type="dxa"/>
            <w:gridSpan w:val="2"/>
            <w:shd w:val="clear" w:color="auto" w:fill="D9E2F3" w:themeFill="accent1" w:themeFillTint="33"/>
            <w:noWrap/>
            <w:vAlign w:val="bottom"/>
            <w:hideMark/>
          </w:tcPr>
          <w:p w14:paraId="342D5FB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8" w:type="dxa"/>
            <w:gridSpan w:val="2"/>
            <w:shd w:val="clear" w:color="000000" w:fill="E2EFDA"/>
            <w:noWrap/>
            <w:vAlign w:val="bottom"/>
            <w:hideMark/>
          </w:tcPr>
          <w:p w14:paraId="4BBE6BF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000000" w:fill="E2EFDA"/>
            <w:noWrap/>
            <w:vAlign w:val="bottom"/>
            <w:hideMark/>
          </w:tcPr>
          <w:p w14:paraId="6341A7B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w:t>
            </w:r>
          </w:p>
        </w:tc>
        <w:tc>
          <w:tcPr>
            <w:tcW w:w="1215" w:type="dxa"/>
            <w:gridSpan w:val="2"/>
            <w:shd w:val="clear" w:color="000000" w:fill="E2EFDA"/>
            <w:noWrap/>
            <w:vAlign w:val="bottom"/>
            <w:hideMark/>
          </w:tcPr>
          <w:p w14:paraId="68CB28E2"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27</w:t>
            </w:r>
          </w:p>
        </w:tc>
        <w:tc>
          <w:tcPr>
            <w:tcW w:w="1215" w:type="dxa"/>
            <w:gridSpan w:val="2"/>
            <w:shd w:val="clear" w:color="000000" w:fill="E2EFDA"/>
            <w:noWrap/>
            <w:vAlign w:val="bottom"/>
            <w:hideMark/>
          </w:tcPr>
          <w:p w14:paraId="54EC626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44</w:t>
            </w:r>
          </w:p>
        </w:tc>
        <w:tc>
          <w:tcPr>
            <w:tcW w:w="1217" w:type="dxa"/>
            <w:shd w:val="clear" w:color="000000" w:fill="E2EFDA"/>
            <w:noWrap/>
            <w:vAlign w:val="bottom"/>
            <w:hideMark/>
          </w:tcPr>
          <w:p w14:paraId="0B8816B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26</w:t>
            </w:r>
          </w:p>
        </w:tc>
      </w:tr>
      <w:tr w:rsidR="00C94450" w:rsidRPr="008D536F" w14:paraId="278E0530" w14:textId="77777777" w:rsidTr="00B47E6E">
        <w:trPr>
          <w:trHeight w:val="310"/>
        </w:trPr>
        <w:tc>
          <w:tcPr>
            <w:tcW w:w="1276" w:type="dxa"/>
            <w:shd w:val="clear" w:color="auto" w:fill="auto"/>
            <w:noWrap/>
            <w:vAlign w:val="bottom"/>
            <w:hideMark/>
          </w:tcPr>
          <w:p w14:paraId="7D81E094"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57</w:t>
            </w:r>
          </w:p>
        </w:tc>
        <w:tc>
          <w:tcPr>
            <w:tcW w:w="1512" w:type="dxa"/>
            <w:shd w:val="clear" w:color="auto" w:fill="auto"/>
            <w:noWrap/>
            <w:vAlign w:val="bottom"/>
            <w:hideMark/>
          </w:tcPr>
          <w:p w14:paraId="7A917730"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54005</w:t>
            </w:r>
          </w:p>
        </w:tc>
        <w:tc>
          <w:tcPr>
            <w:tcW w:w="1218" w:type="dxa"/>
            <w:gridSpan w:val="2"/>
            <w:shd w:val="clear" w:color="auto" w:fill="D9E2F3" w:themeFill="accent1" w:themeFillTint="33"/>
            <w:noWrap/>
            <w:vAlign w:val="bottom"/>
            <w:hideMark/>
          </w:tcPr>
          <w:p w14:paraId="39965C2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w:t>
            </w:r>
          </w:p>
        </w:tc>
        <w:tc>
          <w:tcPr>
            <w:tcW w:w="1218" w:type="dxa"/>
            <w:gridSpan w:val="2"/>
            <w:shd w:val="clear" w:color="000000" w:fill="E2EFDA"/>
            <w:noWrap/>
            <w:vAlign w:val="bottom"/>
            <w:hideMark/>
          </w:tcPr>
          <w:p w14:paraId="585A3DC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shd w:val="clear" w:color="000000" w:fill="E2EFDA"/>
            <w:noWrap/>
            <w:vAlign w:val="bottom"/>
            <w:hideMark/>
          </w:tcPr>
          <w:p w14:paraId="1900CD9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w:t>
            </w:r>
          </w:p>
        </w:tc>
        <w:tc>
          <w:tcPr>
            <w:tcW w:w="1215" w:type="dxa"/>
            <w:gridSpan w:val="2"/>
            <w:shd w:val="clear" w:color="000000" w:fill="E2EFDA"/>
            <w:noWrap/>
            <w:vAlign w:val="bottom"/>
            <w:hideMark/>
          </w:tcPr>
          <w:p w14:paraId="4EDAF81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5" w:type="dxa"/>
            <w:gridSpan w:val="2"/>
            <w:shd w:val="clear" w:color="000000" w:fill="E2EFDA"/>
            <w:noWrap/>
            <w:vAlign w:val="bottom"/>
            <w:hideMark/>
          </w:tcPr>
          <w:p w14:paraId="416C379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shd w:val="clear" w:color="000000" w:fill="E2EFDA"/>
            <w:noWrap/>
            <w:vAlign w:val="bottom"/>
            <w:hideMark/>
          </w:tcPr>
          <w:p w14:paraId="6F9E50C8"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r>
      <w:tr w:rsidR="00C94450" w:rsidRPr="008D536F" w14:paraId="2D23409A" w14:textId="77777777" w:rsidTr="00B47E6E">
        <w:trPr>
          <w:trHeight w:val="310"/>
        </w:trPr>
        <w:tc>
          <w:tcPr>
            <w:tcW w:w="1276" w:type="dxa"/>
            <w:shd w:val="clear" w:color="auto" w:fill="auto"/>
            <w:noWrap/>
            <w:vAlign w:val="bottom"/>
            <w:hideMark/>
          </w:tcPr>
          <w:p w14:paraId="0E69D815"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58</w:t>
            </w:r>
          </w:p>
        </w:tc>
        <w:tc>
          <w:tcPr>
            <w:tcW w:w="1512" w:type="dxa"/>
            <w:shd w:val="clear" w:color="auto" w:fill="auto"/>
            <w:noWrap/>
            <w:vAlign w:val="bottom"/>
            <w:hideMark/>
          </w:tcPr>
          <w:p w14:paraId="0D9368B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56219</w:t>
            </w:r>
          </w:p>
        </w:tc>
        <w:tc>
          <w:tcPr>
            <w:tcW w:w="1218" w:type="dxa"/>
            <w:gridSpan w:val="2"/>
            <w:shd w:val="clear" w:color="auto" w:fill="D9E2F3" w:themeFill="accent1" w:themeFillTint="33"/>
            <w:noWrap/>
            <w:vAlign w:val="bottom"/>
            <w:hideMark/>
          </w:tcPr>
          <w:p w14:paraId="6B24C1B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8" w:type="dxa"/>
            <w:gridSpan w:val="2"/>
            <w:shd w:val="clear" w:color="000000" w:fill="E2EFDA"/>
            <w:noWrap/>
            <w:vAlign w:val="bottom"/>
            <w:hideMark/>
          </w:tcPr>
          <w:p w14:paraId="7C2975A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48</w:t>
            </w:r>
          </w:p>
        </w:tc>
        <w:tc>
          <w:tcPr>
            <w:tcW w:w="1215" w:type="dxa"/>
            <w:shd w:val="clear" w:color="auto" w:fill="D9E2F3" w:themeFill="accent1" w:themeFillTint="33"/>
            <w:noWrap/>
            <w:vAlign w:val="bottom"/>
            <w:hideMark/>
          </w:tcPr>
          <w:p w14:paraId="5D9298F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000000" w:fill="E2EFDA"/>
            <w:noWrap/>
            <w:vAlign w:val="bottom"/>
            <w:hideMark/>
          </w:tcPr>
          <w:p w14:paraId="5C04640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2F7F1267"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32</w:t>
            </w:r>
          </w:p>
        </w:tc>
        <w:tc>
          <w:tcPr>
            <w:tcW w:w="1217" w:type="dxa"/>
            <w:shd w:val="clear" w:color="000000" w:fill="F8CBAD"/>
            <w:noWrap/>
            <w:vAlign w:val="bottom"/>
            <w:hideMark/>
          </w:tcPr>
          <w:p w14:paraId="38F1BE6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63</w:t>
            </w:r>
          </w:p>
        </w:tc>
      </w:tr>
      <w:tr w:rsidR="00C94450" w:rsidRPr="008D536F" w14:paraId="484B0CDA" w14:textId="77777777" w:rsidTr="00B47E6E">
        <w:trPr>
          <w:trHeight w:val="310"/>
        </w:trPr>
        <w:tc>
          <w:tcPr>
            <w:tcW w:w="1276" w:type="dxa"/>
            <w:shd w:val="clear" w:color="auto" w:fill="auto"/>
            <w:noWrap/>
            <w:vAlign w:val="bottom"/>
            <w:hideMark/>
          </w:tcPr>
          <w:p w14:paraId="3C722817"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59</w:t>
            </w:r>
          </w:p>
        </w:tc>
        <w:tc>
          <w:tcPr>
            <w:tcW w:w="1512" w:type="dxa"/>
            <w:shd w:val="clear" w:color="auto" w:fill="auto"/>
            <w:noWrap/>
            <w:vAlign w:val="bottom"/>
            <w:hideMark/>
          </w:tcPr>
          <w:p w14:paraId="0278D386"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1495</w:t>
            </w:r>
          </w:p>
        </w:tc>
        <w:tc>
          <w:tcPr>
            <w:tcW w:w="1218" w:type="dxa"/>
            <w:gridSpan w:val="2"/>
            <w:shd w:val="clear" w:color="000000" w:fill="E2EFDA"/>
            <w:noWrap/>
            <w:vAlign w:val="bottom"/>
            <w:hideMark/>
          </w:tcPr>
          <w:p w14:paraId="705774FF"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8" w:type="dxa"/>
            <w:gridSpan w:val="2"/>
            <w:shd w:val="clear" w:color="000000" w:fill="E2EFDA"/>
            <w:noWrap/>
            <w:vAlign w:val="bottom"/>
            <w:hideMark/>
          </w:tcPr>
          <w:p w14:paraId="6630591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shd w:val="clear" w:color="auto" w:fill="D9E2F3" w:themeFill="accent1" w:themeFillTint="33"/>
            <w:noWrap/>
            <w:vAlign w:val="bottom"/>
            <w:hideMark/>
          </w:tcPr>
          <w:p w14:paraId="67D7B5D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5" w:type="dxa"/>
            <w:gridSpan w:val="2"/>
            <w:shd w:val="clear" w:color="000000" w:fill="E2EFDA"/>
            <w:noWrap/>
            <w:vAlign w:val="bottom"/>
            <w:hideMark/>
          </w:tcPr>
          <w:p w14:paraId="59676F5D"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5" w:type="dxa"/>
            <w:gridSpan w:val="2"/>
            <w:shd w:val="clear" w:color="000000" w:fill="E2EFDA"/>
            <w:noWrap/>
            <w:vAlign w:val="bottom"/>
            <w:hideMark/>
          </w:tcPr>
          <w:p w14:paraId="70282B7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c>
          <w:tcPr>
            <w:tcW w:w="1217" w:type="dxa"/>
            <w:shd w:val="clear" w:color="000000" w:fill="E2EFDA"/>
            <w:noWrap/>
            <w:vAlign w:val="bottom"/>
            <w:hideMark/>
          </w:tcPr>
          <w:p w14:paraId="50181E31"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LDL</w:t>
            </w:r>
          </w:p>
        </w:tc>
      </w:tr>
      <w:tr w:rsidR="00C94450" w:rsidRPr="008D536F" w14:paraId="7ADD7792" w14:textId="77777777" w:rsidTr="00B47E6E">
        <w:trPr>
          <w:trHeight w:val="310"/>
        </w:trPr>
        <w:tc>
          <w:tcPr>
            <w:tcW w:w="1276" w:type="dxa"/>
            <w:tcBorders>
              <w:bottom w:val="single" w:sz="4" w:space="0" w:color="auto"/>
            </w:tcBorders>
            <w:shd w:val="clear" w:color="auto" w:fill="auto"/>
            <w:noWrap/>
            <w:vAlign w:val="bottom"/>
            <w:hideMark/>
          </w:tcPr>
          <w:p w14:paraId="0238D2E1"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60</w:t>
            </w:r>
          </w:p>
        </w:tc>
        <w:tc>
          <w:tcPr>
            <w:tcW w:w="1512" w:type="dxa"/>
            <w:tcBorders>
              <w:bottom w:val="single" w:sz="4" w:space="0" w:color="auto"/>
            </w:tcBorders>
            <w:shd w:val="clear" w:color="auto" w:fill="auto"/>
            <w:noWrap/>
            <w:vAlign w:val="bottom"/>
            <w:hideMark/>
          </w:tcPr>
          <w:p w14:paraId="58FEA062" w14:textId="77777777" w:rsidR="00C94450" w:rsidRPr="008D536F" w:rsidRDefault="00C94450" w:rsidP="006911DE">
            <w:pPr>
              <w:spacing w:after="0" w:line="240" w:lineRule="auto"/>
              <w:jc w:val="right"/>
              <w:rPr>
                <w:rFonts w:ascii="Times New Roman" w:eastAsia="Times New Roman" w:hAnsi="Times New Roman"/>
                <w:lang w:eastAsia="en-GB"/>
              </w:rPr>
            </w:pPr>
            <w:r w:rsidRPr="008D536F">
              <w:rPr>
                <w:rFonts w:ascii="Times New Roman" w:eastAsia="Times New Roman" w:hAnsi="Times New Roman"/>
                <w:lang w:eastAsia="en-GB"/>
              </w:rPr>
              <w:t>2265</w:t>
            </w:r>
          </w:p>
        </w:tc>
        <w:tc>
          <w:tcPr>
            <w:tcW w:w="1218" w:type="dxa"/>
            <w:gridSpan w:val="2"/>
            <w:tcBorders>
              <w:bottom w:val="single" w:sz="4" w:space="0" w:color="auto"/>
            </w:tcBorders>
            <w:shd w:val="clear" w:color="auto" w:fill="D9E2F3" w:themeFill="accent1" w:themeFillTint="33"/>
            <w:noWrap/>
            <w:vAlign w:val="bottom"/>
            <w:hideMark/>
          </w:tcPr>
          <w:p w14:paraId="3B5BB49C"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w:t>
            </w:r>
          </w:p>
        </w:tc>
        <w:tc>
          <w:tcPr>
            <w:tcW w:w="1218" w:type="dxa"/>
            <w:gridSpan w:val="2"/>
            <w:tcBorders>
              <w:bottom w:val="single" w:sz="4" w:space="0" w:color="auto"/>
            </w:tcBorders>
            <w:shd w:val="clear" w:color="000000" w:fill="FF0000"/>
            <w:noWrap/>
            <w:vAlign w:val="bottom"/>
            <w:hideMark/>
          </w:tcPr>
          <w:p w14:paraId="482C8975"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3216</w:t>
            </w:r>
          </w:p>
        </w:tc>
        <w:tc>
          <w:tcPr>
            <w:tcW w:w="1215" w:type="dxa"/>
            <w:tcBorders>
              <w:bottom w:val="single" w:sz="4" w:space="0" w:color="auto"/>
            </w:tcBorders>
            <w:shd w:val="clear" w:color="000000" w:fill="E2EFDA"/>
            <w:noWrap/>
            <w:vAlign w:val="bottom"/>
            <w:hideMark/>
          </w:tcPr>
          <w:p w14:paraId="6FA21D9A"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36</w:t>
            </w:r>
          </w:p>
        </w:tc>
        <w:tc>
          <w:tcPr>
            <w:tcW w:w="1215" w:type="dxa"/>
            <w:gridSpan w:val="2"/>
            <w:tcBorders>
              <w:bottom w:val="single" w:sz="4" w:space="0" w:color="auto"/>
            </w:tcBorders>
            <w:shd w:val="clear" w:color="auto" w:fill="D9E2F3" w:themeFill="accent1" w:themeFillTint="33"/>
            <w:noWrap/>
            <w:vAlign w:val="bottom"/>
            <w:hideMark/>
          </w:tcPr>
          <w:p w14:paraId="39567D74"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w:t>
            </w:r>
          </w:p>
        </w:tc>
        <w:tc>
          <w:tcPr>
            <w:tcW w:w="1215" w:type="dxa"/>
            <w:gridSpan w:val="2"/>
            <w:tcBorders>
              <w:bottom w:val="single" w:sz="4" w:space="0" w:color="auto"/>
            </w:tcBorders>
            <w:shd w:val="clear" w:color="000000" w:fill="E2EFDA"/>
            <w:noWrap/>
            <w:vAlign w:val="bottom"/>
            <w:hideMark/>
          </w:tcPr>
          <w:p w14:paraId="4617A32E"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&lt;20</w:t>
            </w:r>
          </w:p>
        </w:tc>
        <w:tc>
          <w:tcPr>
            <w:tcW w:w="1217" w:type="dxa"/>
            <w:tcBorders>
              <w:bottom w:val="single" w:sz="4" w:space="0" w:color="auto"/>
            </w:tcBorders>
            <w:shd w:val="clear" w:color="000000" w:fill="E2EFDA"/>
            <w:noWrap/>
            <w:vAlign w:val="bottom"/>
            <w:hideMark/>
          </w:tcPr>
          <w:p w14:paraId="13DC05F6" w14:textId="77777777" w:rsidR="00C94450" w:rsidRPr="008D536F" w:rsidRDefault="00C94450"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&lt;50</w:t>
            </w:r>
          </w:p>
        </w:tc>
      </w:tr>
      <w:tr w:rsidR="00DD62B1" w:rsidRPr="008D536F" w14:paraId="5DA9187A" w14:textId="77777777" w:rsidTr="00B47E6E">
        <w:trPr>
          <w:trHeight w:val="310"/>
        </w:trPr>
        <w:tc>
          <w:tcPr>
            <w:tcW w:w="1276" w:type="dxa"/>
            <w:tcBorders>
              <w:bottom w:val="single" w:sz="4" w:space="0" w:color="auto"/>
            </w:tcBorders>
            <w:shd w:val="clear" w:color="auto" w:fill="auto"/>
            <w:noWrap/>
            <w:vAlign w:val="center"/>
          </w:tcPr>
          <w:p w14:paraId="53CEF0A1" w14:textId="31A1BE6E" w:rsidR="00DD62B1" w:rsidRPr="008D536F" w:rsidRDefault="00DD62B1" w:rsidP="002C01A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Key</w:t>
            </w:r>
          </w:p>
        </w:tc>
        <w:tc>
          <w:tcPr>
            <w:tcW w:w="1843" w:type="dxa"/>
            <w:gridSpan w:val="2"/>
            <w:tcBorders>
              <w:bottom w:val="single" w:sz="4" w:space="0" w:color="auto"/>
            </w:tcBorders>
            <w:shd w:val="clear" w:color="auto" w:fill="E2EFD9" w:themeFill="accent6" w:themeFillTint="33"/>
            <w:noWrap/>
            <w:vAlign w:val="bottom"/>
          </w:tcPr>
          <w:p w14:paraId="44F240A8" w14:textId="6AB64514" w:rsidR="00DD62B1" w:rsidRPr="008D536F" w:rsidRDefault="00DD62B1"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VL suppressed</w:t>
            </w:r>
            <w:r w:rsidR="006D22A7" w:rsidRPr="008D536F">
              <w:rPr>
                <w:rFonts w:ascii="Times New Roman" w:eastAsia="Times New Roman" w:hAnsi="Times New Roman"/>
                <w:lang w:eastAsia="en-GB"/>
              </w:rPr>
              <w:t xml:space="preserve"> </w:t>
            </w:r>
            <w:r w:rsidR="00AD5A94" w:rsidRPr="008D536F">
              <w:rPr>
                <w:rFonts w:ascii="Times New Roman" w:eastAsia="Times New Roman" w:hAnsi="Times New Roman"/>
                <w:lang w:eastAsia="en-GB"/>
              </w:rPr>
              <w:t>&lt;50 copies/mL</w:t>
            </w:r>
          </w:p>
        </w:tc>
        <w:tc>
          <w:tcPr>
            <w:tcW w:w="1843" w:type="dxa"/>
            <w:gridSpan w:val="2"/>
            <w:tcBorders>
              <w:bottom w:val="single" w:sz="4" w:space="0" w:color="auto"/>
            </w:tcBorders>
            <w:shd w:val="clear" w:color="auto" w:fill="FFCC99"/>
            <w:noWrap/>
            <w:vAlign w:val="bottom"/>
          </w:tcPr>
          <w:p w14:paraId="1CA743A7" w14:textId="53437EF4" w:rsidR="00DD62B1" w:rsidRPr="008D536F" w:rsidRDefault="00DD62B1"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VL 50-</w:t>
            </w:r>
            <w:r w:rsidR="006D22A7" w:rsidRPr="008D536F">
              <w:rPr>
                <w:rFonts w:ascii="Times New Roman" w:eastAsia="Times New Roman" w:hAnsi="Times New Roman"/>
                <w:lang w:eastAsia="en-GB"/>
              </w:rPr>
              <w:t>99</w:t>
            </w:r>
            <w:r w:rsidR="000D34C7" w:rsidRPr="008D536F">
              <w:rPr>
                <w:rFonts w:ascii="Times New Roman" w:eastAsia="Times New Roman" w:hAnsi="Times New Roman"/>
                <w:lang w:eastAsia="en-GB"/>
              </w:rPr>
              <w:t xml:space="preserve"> copies/mL</w:t>
            </w:r>
          </w:p>
        </w:tc>
        <w:tc>
          <w:tcPr>
            <w:tcW w:w="1701" w:type="dxa"/>
            <w:gridSpan w:val="3"/>
            <w:tcBorders>
              <w:bottom w:val="single" w:sz="4" w:space="0" w:color="auto"/>
            </w:tcBorders>
            <w:shd w:val="clear" w:color="auto" w:fill="FB7575"/>
            <w:noWrap/>
            <w:vAlign w:val="bottom"/>
          </w:tcPr>
          <w:p w14:paraId="57DB103E" w14:textId="79B14FD5" w:rsidR="00DD62B1" w:rsidRPr="008D536F" w:rsidRDefault="000D34C7"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VL 100-</w:t>
            </w:r>
            <w:r w:rsidR="006D22A7" w:rsidRPr="008D536F">
              <w:rPr>
                <w:rFonts w:ascii="Times New Roman" w:eastAsia="Times New Roman" w:hAnsi="Times New Roman"/>
                <w:lang w:eastAsia="en-GB"/>
              </w:rPr>
              <w:t xml:space="preserve">999 </w:t>
            </w:r>
            <w:r w:rsidRPr="008D536F">
              <w:rPr>
                <w:rFonts w:ascii="Times New Roman" w:eastAsia="Times New Roman" w:hAnsi="Times New Roman"/>
                <w:lang w:eastAsia="en-GB"/>
              </w:rPr>
              <w:t>copies/mL</w:t>
            </w:r>
          </w:p>
        </w:tc>
        <w:tc>
          <w:tcPr>
            <w:tcW w:w="1842" w:type="dxa"/>
            <w:gridSpan w:val="2"/>
            <w:tcBorders>
              <w:bottom w:val="single" w:sz="4" w:space="0" w:color="auto"/>
            </w:tcBorders>
            <w:shd w:val="clear" w:color="auto" w:fill="FF0000"/>
            <w:noWrap/>
            <w:vAlign w:val="bottom"/>
          </w:tcPr>
          <w:p w14:paraId="0A0B0BAB" w14:textId="31F677E6" w:rsidR="00DD62B1" w:rsidRPr="008D536F" w:rsidRDefault="000D34C7"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VL ≥ 1000 copies/mL</w:t>
            </w:r>
          </w:p>
        </w:tc>
        <w:tc>
          <w:tcPr>
            <w:tcW w:w="1581" w:type="dxa"/>
            <w:gridSpan w:val="2"/>
            <w:tcBorders>
              <w:bottom w:val="single" w:sz="4" w:space="0" w:color="auto"/>
            </w:tcBorders>
            <w:shd w:val="clear" w:color="auto" w:fill="D9E2F3" w:themeFill="accent1" w:themeFillTint="33"/>
            <w:noWrap/>
            <w:vAlign w:val="bottom"/>
          </w:tcPr>
          <w:p w14:paraId="68C4B6E3" w14:textId="4F16688D" w:rsidR="00DD62B1" w:rsidRPr="008D536F" w:rsidRDefault="000D34C7"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MV: missed visit</w:t>
            </w:r>
          </w:p>
        </w:tc>
      </w:tr>
      <w:tr w:rsidR="00C94450" w:rsidRPr="008D536F" w14:paraId="6AA3110C" w14:textId="77777777" w:rsidTr="00DD62B1">
        <w:trPr>
          <w:trHeight w:val="310"/>
        </w:trPr>
        <w:tc>
          <w:tcPr>
            <w:tcW w:w="10086" w:type="dxa"/>
            <w:gridSpan w:val="12"/>
            <w:tcBorders>
              <w:bottom w:val="single" w:sz="4" w:space="0" w:color="auto"/>
            </w:tcBorders>
            <w:shd w:val="clear" w:color="auto" w:fill="auto"/>
            <w:noWrap/>
            <w:vAlign w:val="bottom"/>
          </w:tcPr>
          <w:p w14:paraId="1D4107A3" w14:textId="79A5B2E1" w:rsidR="00C94450" w:rsidRPr="008D536F" w:rsidRDefault="00B47E6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R</w:t>
            </w:r>
            <w:r w:rsidR="00C94450" w:rsidRPr="008D536F">
              <w:rPr>
                <w:rFonts w:ascii="Times New Roman" w:eastAsia="Times New Roman" w:hAnsi="Times New Roman"/>
                <w:lang w:eastAsia="en-GB"/>
              </w:rPr>
              <w:t xml:space="preserve">esult </w:t>
            </w:r>
            <w:r w:rsidR="004E51EC" w:rsidRPr="008D536F">
              <w:rPr>
                <w:rFonts w:ascii="Times New Roman" w:eastAsia="Times New Roman" w:hAnsi="Times New Roman"/>
                <w:lang w:eastAsia="en-GB"/>
              </w:rPr>
              <w:t>considered suppressed if the value is &lt;50</w:t>
            </w:r>
            <w:r w:rsidR="008020F7" w:rsidRPr="008D536F">
              <w:rPr>
                <w:rFonts w:ascii="Times New Roman" w:eastAsia="Times New Roman" w:hAnsi="Times New Roman"/>
                <w:lang w:eastAsia="en-GB"/>
              </w:rPr>
              <w:t xml:space="preserve"> copies/mL</w:t>
            </w:r>
            <w:r w:rsidR="004E51EC" w:rsidRPr="008D536F">
              <w:rPr>
                <w:rFonts w:ascii="Times New Roman" w:eastAsia="Times New Roman" w:hAnsi="Times New Roman"/>
                <w:lang w:eastAsia="en-GB"/>
              </w:rPr>
              <w:t>, or noted in the report as “</w:t>
            </w:r>
            <w:r w:rsidR="00C94450" w:rsidRPr="008D536F">
              <w:rPr>
                <w:rFonts w:ascii="Times New Roman" w:eastAsia="Times New Roman" w:hAnsi="Times New Roman"/>
                <w:lang w:eastAsia="en-GB"/>
              </w:rPr>
              <w:t>&lt;50”, “&lt;20” or “LDL” (lower than detectable limit)</w:t>
            </w:r>
          </w:p>
          <w:p w14:paraId="24D9962D" w14:textId="4838DB41" w:rsidR="00C94450" w:rsidRPr="008D536F" w:rsidRDefault="00C94450" w:rsidP="006911DE">
            <w:pPr>
              <w:spacing w:after="0" w:line="240" w:lineRule="auto"/>
              <w:rPr>
                <w:rFonts w:ascii="Times New Roman" w:hAnsi="Times New Roman"/>
              </w:rPr>
            </w:pPr>
            <w:r w:rsidRPr="008D536F">
              <w:rPr>
                <w:rFonts w:ascii="Times New Roman" w:eastAsia="Times New Roman" w:hAnsi="Times New Roman"/>
                <w:lang w:eastAsia="en-GB"/>
              </w:rPr>
              <w:t xml:space="preserve">VL “&lt;100”: </w:t>
            </w:r>
            <w:r w:rsidRPr="008D536F">
              <w:rPr>
                <w:rFonts w:ascii="Times New Roman" w:hAnsi="Times New Roman"/>
              </w:rPr>
              <w:t xml:space="preserve">Based on the </w:t>
            </w:r>
            <w:r w:rsidR="00755F27" w:rsidRPr="008D536F">
              <w:rPr>
                <w:rFonts w:ascii="Times New Roman" w:hAnsi="Times New Roman"/>
              </w:rPr>
              <w:t xml:space="preserve">low </w:t>
            </w:r>
            <w:r w:rsidRPr="008D536F">
              <w:rPr>
                <w:rFonts w:ascii="Times New Roman" w:hAnsi="Times New Roman"/>
              </w:rPr>
              <w:t xml:space="preserve">sample volume, the linear range of this assay in dilution </w:t>
            </w:r>
            <w:r w:rsidR="00755F27" w:rsidRPr="008D536F">
              <w:rPr>
                <w:rFonts w:ascii="Times New Roman" w:hAnsi="Times New Roman"/>
              </w:rPr>
              <w:t>wa</w:t>
            </w:r>
            <w:r w:rsidRPr="008D536F">
              <w:rPr>
                <w:rFonts w:ascii="Times New Roman" w:hAnsi="Times New Roman"/>
              </w:rPr>
              <w:t>s 100 - 10,000,000 copies/</w:t>
            </w:r>
            <w:proofErr w:type="spellStart"/>
            <w:r w:rsidRPr="008D536F">
              <w:rPr>
                <w:rFonts w:ascii="Times New Roman" w:hAnsi="Times New Roman"/>
              </w:rPr>
              <w:t>mL.</w:t>
            </w:r>
            <w:proofErr w:type="spellEnd"/>
          </w:p>
          <w:p w14:paraId="326BBF9F" w14:textId="0E993DC1" w:rsidR="004C3693" w:rsidRPr="008D536F" w:rsidRDefault="004C3693" w:rsidP="006911DE">
            <w:pPr>
              <w:spacing w:after="0" w:line="240" w:lineRule="auto"/>
              <w:rPr>
                <w:rFonts w:ascii="Times New Roman" w:eastAsia="Times New Roman" w:hAnsi="Times New Roman"/>
                <w:lang w:eastAsia="en-GB"/>
              </w:rPr>
            </w:pPr>
            <w:r w:rsidRPr="008D536F">
              <w:rPr>
                <w:rFonts w:ascii="Times New Roman" w:hAnsi="Times New Roman"/>
                <w:lang w:eastAsia="en-GB"/>
              </w:rPr>
              <w:t>*</w:t>
            </w:r>
            <w:r w:rsidR="00B66432" w:rsidRPr="008D536F">
              <w:rPr>
                <w:rFonts w:ascii="Times New Roman" w:hAnsi="Times New Roman"/>
                <w:lang w:eastAsia="en-GB"/>
              </w:rPr>
              <w:t xml:space="preserve"> </w:t>
            </w:r>
            <w:r w:rsidRPr="008D536F">
              <w:rPr>
                <w:rFonts w:ascii="Times New Roman" w:hAnsi="Times New Roman"/>
                <w:lang w:eastAsia="en-GB"/>
              </w:rPr>
              <w:t xml:space="preserve">This participant was </w:t>
            </w:r>
            <w:r w:rsidR="00AE73D5" w:rsidRPr="008D536F">
              <w:rPr>
                <w:rFonts w:ascii="Times New Roman" w:hAnsi="Times New Roman"/>
                <w:lang w:eastAsia="en-GB"/>
              </w:rPr>
              <w:t xml:space="preserve">considered </w:t>
            </w:r>
            <w:r w:rsidR="00AD5A94" w:rsidRPr="008D536F">
              <w:rPr>
                <w:rFonts w:ascii="Times New Roman" w:hAnsi="Times New Roman"/>
                <w:lang w:eastAsia="en-GB"/>
              </w:rPr>
              <w:t xml:space="preserve">as a </w:t>
            </w:r>
            <w:r w:rsidR="00AE73D5" w:rsidRPr="008D536F">
              <w:rPr>
                <w:rFonts w:ascii="Times New Roman" w:hAnsi="Times New Roman"/>
                <w:lang w:eastAsia="en-GB"/>
              </w:rPr>
              <w:t xml:space="preserve">‘virological failure’ in the </w:t>
            </w:r>
            <w:r w:rsidR="006423EF" w:rsidRPr="008D536F">
              <w:rPr>
                <w:rFonts w:ascii="Times New Roman" w:hAnsi="Times New Roman"/>
                <w:lang w:eastAsia="en-GB"/>
              </w:rPr>
              <w:t>modified intention-to-treat</w:t>
            </w:r>
            <w:r w:rsidR="00AE73D5" w:rsidRPr="008D536F">
              <w:rPr>
                <w:rFonts w:ascii="Times New Roman" w:hAnsi="Times New Roman"/>
                <w:lang w:eastAsia="en-GB"/>
              </w:rPr>
              <w:t xml:space="preserve"> analysis as they were switched due to a tenofovir-related adverse event</w:t>
            </w:r>
          </w:p>
        </w:tc>
      </w:tr>
    </w:tbl>
    <w:p w14:paraId="4DDB7EE7" w14:textId="491ADFCF" w:rsidR="00B42A97" w:rsidRPr="008D536F" w:rsidRDefault="00B42A97" w:rsidP="00883691">
      <w:pPr>
        <w:pStyle w:val="Caption"/>
        <w:rPr>
          <w:rFonts w:ascii="Times New Roman" w:hAnsi="Times New Roman"/>
          <w:sz w:val="22"/>
          <w:szCs w:val="22"/>
        </w:rPr>
      </w:pPr>
    </w:p>
    <w:p w14:paraId="2708F020" w14:textId="1CF0D2FE" w:rsidR="004D59A0" w:rsidRPr="008D536F" w:rsidRDefault="004D59A0" w:rsidP="004D59A0">
      <w:pPr>
        <w:rPr>
          <w:rFonts w:ascii="Times New Roman" w:hAnsi="Times New Roman"/>
        </w:rPr>
      </w:pPr>
    </w:p>
    <w:p w14:paraId="5DDB2C2B" w14:textId="3C3A5BEB" w:rsidR="004D59A0" w:rsidRPr="008D536F" w:rsidRDefault="004D59A0" w:rsidP="004D59A0">
      <w:pPr>
        <w:rPr>
          <w:rFonts w:ascii="Times New Roman" w:hAnsi="Times New Roman"/>
        </w:rPr>
      </w:pPr>
    </w:p>
    <w:p w14:paraId="25E5083C" w14:textId="5E79B2AC" w:rsidR="004D59A0" w:rsidRPr="008D536F" w:rsidRDefault="004D59A0" w:rsidP="004D59A0">
      <w:pPr>
        <w:rPr>
          <w:rFonts w:ascii="Times New Roman" w:hAnsi="Times New Roman"/>
        </w:rPr>
      </w:pPr>
    </w:p>
    <w:p w14:paraId="7DC85842" w14:textId="77777777" w:rsidR="004D59A0" w:rsidRPr="008D536F" w:rsidRDefault="004D59A0" w:rsidP="004D59A0">
      <w:pPr>
        <w:rPr>
          <w:rFonts w:ascii="Times New Roman" w:hAnsi="Times New Roman"/>
        </w:rPr>
      </w:pPr>
    </w:p>
    <w:p w14:paraId="399B888D" w14:textId="77777777" w:rsidR="00B42A97" w:rsidRPr="008D536F" w:rsidRDefault="00B42A97" w:rsidP="00883691">
      <w:pPr>
        <w:pStyle w:val="Caption"/>
        <w:rPr>
          <w:rFonts w:ascii="Times New Roman" w:hAnsi="Times New Roman"/>
          <w:sz w:val="22"/>
          <w:szCs w:val="22"/>
        </w:rPr>
      </w:pPr>
    </w:p>
    <w:p w14:paraId="7423F277" w14:textId="4F6D15F7" w:rsidR="00156268" w:rsidRPr="008D536F" w:rsidRDefault="00156268">
      <w:pPr>
        <w:spacing w:after="160" w:line="259" w:lineRule="auto"/>
        <w:rPr>
          <w:rFonts w:ascii="Times New Roman" w:hAnsi="Times New Roman"/>
        </w:rPr>
      </w:pPr>
      <w:bookmarkStart w:id="7" w:name="_Hlk59021900"/>
    </w:p>
    <w:p w14:paraId="79D1FAE6" w14:textId="77777777" w:rsidR="00B66432" w:rsidRPr="008D536F" w:rsidRDefault="00B66432">
      <w:pPr>
        <w:spacing w:after="160" w:line="259" w:lineRule="auto"/>
        <w:rPr>
          <w:rFonts w:ascii="Times New Roman" w:hAnsi="Times New Roman"/>
        </w:rPr>
      </w:pPr>
      <w:r w:rsidRPr="008D536F">
        <w:rPr>
          <w:rFonts w:ascii="Times New Roman" w:hAnsi="Times New Roman"/>
          <w:b/>
          <w:bCs/>
        </w:rPr>
        <w:br w:type="page"/>
      </w:r>
    </w:p>
    <w:p w14:paraId="68AB0761" w14:textId="726DD003" w:rsidR="00883691" w:rsidRPr="008D536F" w:rsidRDefault="00883691" w:rsidP="00883691">
      <w:pPr>
        <w:pStyle w:val="Caption"/>
        <w:rPr>
          <w:rFonts w:ascii="Times New Roman" w:hAnsi="Times New Roman"/>
          <w:b w:val="0"/>
          <w:bCs w:val="0"/>
          <w:sz w:val="22"/>
          <w:szCs w:val="22"/>
        </w:rPr>
      </w:pPr>
      <w:r w:rsidRPr="008D536F">
        <w:rPr>
          <w:rFonts w:ascii="Times New Roman" w:hAnsi="Times New Roman"/>
          <w:b w:val="0"/>
          <w:bCs w:val="0"/>
          <w:sz w:val="22"/>
          <w:szCs w:val="22"/>
        </w:rPr>
        <w:lastRenderedPageBreak/>
        <w:t xml:space="preserve">Figure </w:t>
      </w:r>
      <w:r w:rsidR="004D59A0" w:rsidRPr="008D536F">
        <w:rPr>
          <w:rFonts w:ascii="Times New Roman" w:hAnsi="Times New Roman"/>
          <w:b w:val="0"/>
          <w:bCs w:val="0"/>
          <w:sz w:val="22"/>
          <w:szCs w:val="22"/>
        </w:rPr>
        <w:t>1</w:t>
      </w:r>
      <w:r w:rsidR="00425CE1" w:rsidRPr="008D536F">
        <w:rPr>
          <w:rFonts w:ascii="Times New Roman" w:hAnsi="Times New Roman"/>
          <w:b w:val="0"/>
          <w:bCs w:val="0"/>
          <w:sz w:val="22"/>
          <w:szCs w:val="22"/>
        </w:rPr>
        <w:t>.</w:t>
      </w:r>
      <w:r w:rsidRPr="008D536F">
        <w:rPr>
          <w:rFonts w:ascii="Times New Roman" w:hAnsi="Times New Roman"/>
          <w:b w:val="0"/>
          <w:bCs w:val="0"/>
          <w:sz w:val="22"/>
          <w:szCs w:val="22"/>
        </w:rPr>
        <w:t xml:space="preserve"> Time to </w:t>
      </w:r>
      <w:bookmarkEnd w:id="6"/>
      <w:r w:rsidR="00F41FDF" w:rsidRPr="008D536F">
        <w:rPr>
          <w:rFonts w:ascii="Times New Roman" w:hAnsi="Times New Roman"/>
          <w:b w:val="0"/>
          <w:bCs w:val="0"/>
          <w:sz w:val="22"/>
          <w:szCs w:val="22"/>
        </w:rPr>
        <w:t>virologic</w:t>
      </w:r>
      <w:r w:rsidRPr="008D536F">
        <w:rPr>
          <w:rFonts w:ascii="Times New Roman" w:hAnsi="Times New Roman"/>
          <w:b w:val="0"/>
          <w:bCs w:val="0"/>
          <w:sz w:val="22"/>
          <w:szCs w:val="22"/>
        </w:rPr>
        <w:t xml:space="preserve"> suppression &lt;50 copies/mL</w:t>
      </w:r>
      <w:r w:rsidR="006D22A7" w:rsidRPr="008D536F">
        <w:rPr>
          <w:rFonts w:ascii="Times New Roman" w:hAnsi="Times New Roman"/>
          <w:b w:val="0"/>
          <w:bCs w:val="0"/>
          <w:sz w:val="22"/>
          <w:szCs w:val="22"/>
        </w:rPr>
        <w:t xml:space="preserve"> by modified intention-to-treat analysis</w:t>
      </w:r>
    </w:p>
    <w:bookmarkEnd w:id="7"/>
    <w:p w14:paraId="67DE888A" w14:textId="5CB5C581" w:rsidR="00B42A97" w:rsidRPr="008D536F" w:rsidRDefault="00A107D3" w:rsidP="00B42A97">
      <w:pPr>
        <w:rPr>
          <w:rFonts w:ascii="Times New Roman" w:hAnsi="Times New Roman"/>
        </w:rPr>
      </w:pPr>
      <w:r w:rsidRPr="008D536F">
        <w:rPr>
          <w:rFonts w:ascii="Times New Roman" w:hAnsi="Times New Roman"/>
          <w:noProof/>
        </w:rPr>
        <w:drawing>
          <wp:inline distT="0" distB="0" distL="0" distR="0" wp14:anchorId="64164ACC" wp14:editId="1489E736">
            <wp:extent cx="6404610" cy="5123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610" cy="5123815"/>
                    </a:xfrm>
                    <a:prstGeom prst="rect">
                      <a:avLst/>
                    </a:prstGeom>
                    <a:noFill/>
                    <a:ln>
                      <a:noFill/>
                    </a:ln>
                  </pic:spPr>
                </pic:pic>
              </a:graphicData>
            </a:graphic>
          </wp:inline>
        </w:drawing>
      </w:r>
    </w:p>
    <w:p w14:paraId="4DC35FA6" w14:textId="77777777" w:rsidR="00A92326" w:rsidRPr="008D536F" w:rsidRDefault="00A92326">
      <w:pPr>
        <w:spacing w:after="160" w:line="259" w:lineRule="auto"/>
        <w:rPr>
          <w:rFonts w:ascii="Times New Roman" w:hAnsi="Times New Roman"/>
        </w:rPr>
      </w:pPr>
      <w:r w:rsidRPr="008D536F">
        <w:rPr>
          <w:rFonts w:ascii="Times New Roman" w:hAnsi="Times New Roman"/>
        </w:rPr>
        <w:br w:type="page"/>
      </w:r>
    </w:p>
    <w:p w14:paraId="7F77ACC0" w14:textId="16C80C2C" w:rsidR="000B00ED" w:rsidRPr="008D536F" w:rsidRDefault="000701A5" w:rsidP="00DC196A">
      <w:pPr>
        <w:rPr>
          <w:rFonts w:ascii="Times New Roman" w:hAnsi="Times New Roman"/>
        </w:rPr>
      </w:pPr>
      <w:r w:rsidRPr="008D536F">
        <w:rPr>
          <w:rFonts w:ascii="Times New Roman" w:hAnsi="Times New Roman"/>
        </w:rPr>
        <w:lastRenderedPageBreak/>
        <w:t xml:space="preserve">Table </w:t>
      </w:r>
      <w:r w:rsidR="0072384C" w:rsidRPr="008D536F">
        <w:rPr>
          <w:rFonts w:ascii="Times New Roman" w:hAnsi="Times New Roman"/>
        </w:rPr>
        <w:t>5</w:t>
      </w:r>
      <w:r w:rsidR="00E06062" w:rsidRPr="008D536F">
        <w:rPr>
          <w:rFonts w:ascii="Times New Roman" w:hAnsi="Times New Roman"/>
        </w:rPr>
        <w:t>.</w:t>
      </w:r>
      <w:r w:rsidR="00C77D9F" w:rsidRPr="008D536F">
        <w:rPr>
          <w:rFonts w:ascii="Times New Roman" w:hAnsi="Times New Roman"/>
        </w:rPr>
        <w:t xml:space="preserve"> Characteristics by primary outcome </w:t>
      </w:r>
      <w:r w:rsidR="002252E1" w:rsidRPr="008D536F">
        <w:rPr>
          <w:rFonts w:ascii="Times New Roman" w:hAnsi="Times New Roman"/>
        </w:rPr>
        <w:t>(</w:t>
      </w:r>
      <w:r w:rsidR="00753F1E" w:rsidRPr="008D536F">
        <w:rPr>
          <w:rFonts w:ascii="Times New Roman" w:hAnsi="Times New Roman"/>
        </w:rPr>
        <w:t xml:space="preserve">viral load </w:t>
      </w:r>
      <w:r w:rsidR="002252E1" w:rsidRPr="008D536F">
        <w:rPr>
          <w:rFonts w:ascii="Times New Roman" w:hAnsi="Times New Roman"/>
        </w:rPr>
        <w:t xml:space="preserve">&lt;50 copies/mL) </w:t>
      </w:r>
      <w:r w:rsidR="00C77D9F" w:rsidRPr="008D536F">
        <w:rPr>
          <w:rFonts w:ascii="Times New Roman" w:hAnsi="Times New Roman"/>
        </w:rPr>
        <w:t>at week 24</w:t>
      </w:r>
      <w:r w:rsidR="00097289" w:rsidRPr="008D536F">
        <w:rPr>
          <w:rFonts w:ascii="Times New Roman" w:hAnsi="Times New Roman"/>
        </w:rPr>
        <w:t xml:space="preserve"> (m</w:t>
      </w:r>
      <w:r w:rsidR="00983A78" w:rsidRPr="008D536F">
        <w:rPr>
          <w:rFonts w:ascii="Times New Roman" w:hAnsi="Times New Roman"/>
        </w:rPr>
        <w:t>odified intention-to-treat</w:t>
      </w:r>
      <w:r w:rsidR="00097289" w:rsidRPr="008D536F">
        <w:rPr>
          <w:rFonts w:ascii="Times New Roman" w:hAnsi="Times New Roman"/>
        </w:rPr>
        <w:t xml:space="preserve"> analysis, n=60)</w:t>
      </w:r>
    </w:p>
    <w:tbl>
      <w:tblPr>
        <w:tblW w:w="9360" w:type="dxa"/>
        <w:tblLook w:val="04A0" w:firstRow="1" w:lastRow="0" w:firstColumn="1" w:lastColumn="0" w:noHBand="0" w:noVBand="1"/>
      </w:tblPr>
      <w:tblGrid>
        <w:gridCol w:w="3774"/>
        <w:gridCol w:w="2856"/>
        <w:gridCol w:w="2730"/>
      </w:tblGrid>
      <w:tr w:rsidR="00097289" w:rsidRPr="008D536F" w14:paraId="094BC8A5" w14:textId="77777777" w:rsidTr="006911DE">
        <w:trPr>
          <w:trHeight w:val="300"/>
        </w:trPr>
        <w:tc>
          <w:tcPr>
            <w:tcW w:w="3774" w:type="dxa"/>
            <w:tcBorders>
              <w:top w:val="single" w:sz="4" w:space="0" w:color="auto"/>
              <w:left w:val="nil"/>
              <w:bottom w:val="nil"/>
              <w:right w:val="nil"/>
            </w:tcBorders>
            <w:shd w:val="clear" w:color="auto" w:fill="auto"/>
            <w:noWrap/>
            <w:vAlign w:val="bottom"/>
            <w:hideMark/>
          </w:tcPr>
          <w:p w14:paraId="7DAC0E02"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c>
          <w:tcPr>
            <w:tcW w:w="2856" w:type="dxa"/>
            <w:tcBorders>
              <w:top w:val="single" w:sz="4" w:space="0" w:color="auto"/>
              <w:left w:val="nil"/>
              <w:bottom w:val="nil"/>
              <w:right w:val="nil"/>
            </w:tcBorders>
            <w:shd w:val="clear" w:color="auto" w:fill="auto"/>
            <w:noWrap/>
            <w:vAlign w:val="bottom"/>
            <w:hideMark/>
          </w:tcPr>
          <w:p w14:paraId="655048B1" w14:textId="77777777" w:rsidR="00D150BC"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Success at week 24 </w:t>
            </w:r>
          </w:p>
          <w:p w14:paraId="1AC7AAB6" w14:textId="021E73E2"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(VL&lt;50 copies/mL)</w:t>
            </w:r>
          </w:p>
          <w:p w14:paraId="4CA25F7B" w14:textId="17E72D75"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(n=51)</w:t>
            </w:r>
          </w:p>
        </w:tc>
        <w:tc>
          <w:tcPr>
            <w:tcW w:w="2730" w:type="dxa"/>
            <w:tcBorders>
              <w:top w:val="single" w:sz="4" w:space="0" w:color="auto"/>
              <w:left w:val="nil"/>
              <w:bottom w:val="nil"/>
              <w:right w:val="nil"/>
            </w:tcBorders>
            <w:shd w:val="clear" w:color="auto" w:fill="auto"/>
            <w:noWrap/>
            <w:vAlign w:val="bottom"/>
            <w:hideMark/>
          </w:tcPr>
          <w:p w14:paraId="2F8EC93E"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Failure at week 24 </w:t>
            </w:r>
          </w:p>
          <w:p w14:paraId="6DFE964E"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(VL not &lt;50 copies/mL)</w:t>
            </w:r>
          </w:p>
          <w:p w14:paraId="0C35DC29" w14:textId="098C7F5C"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(n=9)</w:t>
            </w:r>
          </w:p>
        </w:tc>
      </w:tr>
      <w:tr w:rsidR="00097289" w:rsidRPr="008D536F" w14:paraId="5061CD5D" w14:textId="77777777" w:rsidTr="006911DE">
        <w:trPr>
          <w:trHeight w:val="300"/>
        </w:trPr>
        <w:tc>
          <w:tcPr>
            <w:tcW w:w="3774" w:type="dxa"/>
            <w:tcBorders>
              <w:top w:val="single" w:sz="4" w:space="0" w:color="auto"/>
              <w:left w:val="nil"/>
              <w:bottom w:val="nil"/>
              <w:right w:val="nil"/>
            </w:tcBorders>
            <w:shd w:val="clear" w:color="auto" w:fill="auto"/>
            <w:noWrap/>
            <w:vAlign w:val="bottom"/>
            <w:hideMark/>
          </w:tcPr>
          <w:p w14:paraId="3B5D1AD0"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c>
          <w:tcPr>
            <w:tcW w:w="2856" w:type="dxa"/>
            <w:tcBorders>
              <w:top w:val="single" w:sz="4" w:space="0" w:color="auto"/>
              <w:left w:val="nil"/>
              <w:bottom w:val="nil"/>
              <w:right w:val="nil"/>
            </w:tcBorders>
            <w:shd w:val="clear" w:color="auto" w:fill="auto"/>
            <w:noWrap/>
            <w:vAlign w:val="bottom"/>
            <w:hideMark/>
          </w:tcPr>
          <w:p w14:paraId="7DDA723A"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c>
          <w:tcPr>
            <w:tcW w:w="2730" w:type="dxa"/>
            <w:tcBorders>
              <w:top w:val="single" w:sz="4" w:space="0" w:color="auto"/>
              <w:left w:val="nil"/>
              <w:bottom w:val="nil"/>
              <w:right w:val="nil"/>
            </w:tcBorders>
            <w:shd w:val="clear" w:color="auto" w:fill="auto"/>
            <w:noWrap/>
            <w:vAlign w:val="bottom"/>
            <w:hideMark/>
          </w:tcPr>
          <w:p w14:paraId="405D2503"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r>
      <w:tr w:rsidR="00097289" w:rsidRPr="008D536F" w14:paraId="6DB86E03" w14:textId="77777777" w:rsidTr="006911DE">
        <w:trPr>
          <w:trHeight w:val="300"/>
        </w:trPr>
        <w:tc>
          <w:tcPr>
            <w:tcW w:w="3774" w:type="dxa"/>
            <w:tcBorders>
              <w:top w:val="nil"/>
              <w:left w:val="nil"/>
              <w:bottom w:val="nil"/>
              <w:right w:val="nil"/>
            </w:tcBorders>
            <w:shd w:val="clear" w:color="auto" w:fill="auto"/>
            <w:noWrap/>
            <w:vAlign w:val="bottom"/>
            <w:hideMark/>
          </w:tcPr>
          <w:p w14:paraId="53104A7E" w14:textId="77777777" w:rsidR="00097289" w:rsidRPr="008D536F" w:rsidRDefault="00097289" w:rsidP="006911DE">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Participant characteristics</w:t>
            </w:r>
          </w:p>
        </w:tc>
        <w:tc>
          <w:tcPr>
            <w:tcW w:w="2856" w:type="dxa"/>
            <w:tcBorders>
              <w:top w:val="nil"/>
              <w:left w:val="nil"/>
              <w:bottom w:val="nil"/>
              <w:right w:val="nil"/>
            </w:tcBorders>
            <w:shd w:val="clear" w:color="auto" w:fill="auto"/>
            <w:noWrap/>
            <w:vAlign w:val="bottom"/>
            <w:hideMark/>
          </w:tcPr>
          <w:p w14:paraId="33069838" w14:textId="77777777" w:rsidR="00097289" w:rsidRPr="008D536F" w:rsidRDefault="00097289" w:rsidP="006911DE">
            <w:pPr>
              <w:spacing w:after="0" w:line="240" w:lineRule="auto"/>
              <w:rPr>
                <w:rFonts w:ascii="Times New Roman" w:eastAsia="Times New Roman" w:hAnsi="Times New Roman"/>
                <w:b/>
                <w:bCs/>
                <w:lang w:eastAsia="en-GB"/>
              </w:rPr>
            </w:pPr>
          </w:p>
        </w:tc>
        <w:tc>
          <w:tcPr>
            <w:tcW w:w="2730" w:type="dxa"/>
            <w:tcBorders>
              <w:top w:val="nil"/>
              <w:left w:val="nil"/>
              <w:bottom w:val="nil"/>
              <w:right w:val="nil"/>
            </w:tcBorders>
            <w:shd w:val="clear" w:color="auto" w:fill="auto"/>
            <w:noWrap/>
            <w:vAlign w:val="bottom"/>
            <w:hideMark/>
          </w:tcPr>
          <w:p w14:paraId="1F0A6B05" w14:textId="77777777" w:rsidR="00097289" w:rsidRPr="008D536F" w:rsidRDefault="00097289" w:rsidP="006911DE">
            <w:pPr>
              <w:spacing w:after="0" w:line="240" w:lineRule="auto"/>
              <w:rPr>
                <w:rFonts w:ascii="Times New Roman" w:eastAsia="Times New Roman" w:hAnsi="Times New Roman"/>
                <w:lang w:eastAsia="en-GB"/>
              </w:rPr>
            </w:pPr>
          </w:p>
        </w:tc>
      </w:tr>
      <w:tr w:rsidR="00097289" w:rsidRPr="008D536F" w14:paraId="6842F174" w14:textId="77777777" w:rsidTr="006911DE">
        <w:trPr>
          <w:trHeight w:val="300"/>
        </w:trPr>
        <w:tc>
          <w:tcPr>
            <w:tcW w:w="3774" w:type="dxa"/>
            <w:tcBorders>
              <w:top w:val="nil"/>
              <w:left w:val="nil"/>
              <w:bottom w:val="nil"/>
              <w:right w:val="nil"/>
            </w:tcBorders>
            <w:shd w:val="clear" w:color="auto" w:fill="auto"/>
            <w:noWrap/>
            <w:vAlign w:val="bottom"/>
            <w:hideMark/>
          </w:tcPr>
          <w:p w14:paraId="57616911" w14:textId="597F1D93"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Female, </w:t>
            </w:r>
            <w:r w:rsidR="006911DE" w:rsidRPr="008D536F">
              <w:rPr>
                <w:rFonts w:ascii="Times New Roman" w:eastAsia="Times New Roman" w:hAnsi="Times New Roman"/>
                <w:lang w:eastAsia="en-GB"/>
              </w:rPr>
              <w:t>(</w:t>
            </w:r>
            <w:r w:rsidRPr="008D536F">
              <w:rPr>
                <w:rFonts w:ascii="Times New Roman" w:eastAsia="Times New Roman" w:hAnsi="Times New Roman"/>
                <w:lang w:eastAsia="en-GB"/>
              </w:rPr>
              <w:t>n</w:t>
            </w:r>
            <w:r w:rsidR="006911DE" w:rsidRPr="008D536F">
              <w:rPr>
                <w:rFonts w:ascii="Times New Roman" w:eastAsia="Times New Roman" w:hAnsi="Times New Roman"/>
                <w:lang w:eastAsia="en-GB"/>
              </w:rPr>
              <w:t>/</w:t>
            </w:r>
            <w:r w:rsidRPr="008D536F">
              <w:rPr>
                <w:rFonts w:ascii="Times New Roman" w:eastAsia="Times New Roman" w:hAnsi="Times New Roman"/>
                <w:lang w:eastAsia="en-GB"/>
              </w:rPr>
              <w:t>%)</w:t>
            </w:r>
          </w:p>
        </w:tc>
        <w:tc>
          <w:tcPr>
            <w:tcW w:w="2856" w:type="dxa"/>
            <w:tcBorders>
              <w:top w:val="nil"/>
              <w:left w:val="nil"/>
              <w:bottom w:val="nil"/>
              <w:right w:val="nil"/>
            </w:tcBorders>
            <w:shd w:val="clear" w:color="auto" w:fill="auto"/>
            <w:noWrap/>
            <w:vAlign w:val="bottom"/>
            <w:hideMark/>
          </w:tcPr>
          <w:p w14:paraId="4F08944E" w14:textId="025249B2"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37 (73</w:t>
            </w:r>
            <w:r w:rsidR="006911DE" w:rsidRPr="008D536F">
              <w:rPr>
                <w:rFonts w:ascii="Times New Roman" w:eastAsia="Times New Roman" w:hAnsi="Times New Roman"/>
                <w:lang w:eastAsia="en-GB"/>
              </w:rPr>
              <w:t>%</w:t>
            </w:r>
            <w:r w:rsidRPr="008D536F">
              <w:rPr>
                <w:rFonts w:ascii="Times New Roman" w:eastAsia="Times New Roman" w:hAnsi="Times New Roman"/>
                <w:lang w:eastAsia="en-GB"/>
              </w:rPr>
              <w:t>)</w:t>
            </w:r>
          </w:p>
        </w:tc>
        <w:tc>
          <w:tcPr>
            <w:tcW w:w="2730" w:type="dxa"/>
            <w:tcBorders>
              <w:top w:val="nil"/>
              <w:left w:val="nil"/>
              <w:bottom w:val="nil"/>
              <w:right w:val="nil"/>
            </w:tcBorders>
            <w:shd w:val="clear" w:color="auto" w:fill="auto"/>
            <w:noWrap/>
            <w:vAlign w:val="bottom"/>
            <w:hideMark/>
          </w:tcPr>
          <w:p w14:paraId="172E5A17" w14:textId="29E1EF2F"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 (56</w:t>
            </w:r>
            <w:r w:rsidR="006911DE"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097289" w:rsidRPr="008D536F" w14:paraId="5BBFCEA8" w14:textId="77777777" w:rsidTr="006911DE">
        <w:trPr>
          <w:trHeight w:val="300"/>
        </w:trPr>
        <w:tc>
          <w:tcPr>
            <w:tcW w:w="3774" w:type="dxa"/>
            <w:tcBorders>
              <w:top w:val="nil"/>
              <w:left w:val="nil"/>
              <w:bottom w:val="nil"/>
              <w:right w:val="nil"/>
            </w:tcBorders>
            <w:shd w:val="clear" w:color="auto" w:fill="auto"/>
            <w:noWrap/>
            <w:vAlign w:val="bottom"/>
            <w:hideMark/>
          </w:tcPr>
          <w:p w14:paraId="6B35EBD2" w14:textId="36FD041C"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Age</w:t>
            </w:r>
            <w:r w:rsidR="006911DE" w:rsidRPr="008D536F">
              <w:rPr>
                <w:rFonts w:ascii="Times New Roman" w:eastAsia="Times New Roman" w:hAnsi="Times New Roman"/>
                <w:lang w:eastAsia="en-GB"/>
              </w:rPr>
              <w:t xml:space="preserve"> in years, (median/IQR)</w:t>
            </w:r>
          </w:p>
        </w:tc>
        <w:tc>
          <w:tcPr>
            <w:tcW w:w="2856" w:type="dxa"/>
            <w:tcBorders>
              <w:top w:val="nil"/>
              <w:left w:val="nil"/>
              <w:bottom w:val="nil"/>
              <w:right w:val="nil"/>
            </w:tcBorders>
            <w:shd w:val="clear" w:color="auto" w:fill="auto"/>
            <w:noWrap/>
            <w:vAlign w:val="bottom"/>
            <w:hideMark/>
          </w:tcPr>
          <w:p w14:paraId="0EA4BAB9"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37 (31-46)</w:t>
            </w:r>
          </w:p>
        </w:tc>
        <w:tc>
          <w:tcPr>
            <w:tcW w:w="2730" w:type="dxa"/>
            <w:tcBorders>
              <w:top w:val="nil"/>
              <w:left w:val="nil"/>
              <w:bottom w:val="nil"/>
              <w:right w:val="nil"/>
            </w:tcBorders>
            <w:shd w:val="clear" w:color="auto" w:fill="auto"/>
            <w:noWrap/>
            <w:vAlign w:val="bottom"/>
            <w:hideMark/>
          </w:tcPr>
          <w:p w14:paraId="609C002E"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36 (30-51)</w:t>
            </w:r>
          </w:p>
        </w:tc>
      </w:tr>
      <w:tr w:rsidR="00097289" w:rsidRPr="008D536F" w14:paraId="0EBE7B39" w14:textId="77777777" w:rsidTr="006911DE">
        <w:trPr>
          <w:trHeight w:val="300"/>
        </w:trPr>
        <w:tc>
          <w:tcPr>
            <w:tcW w:w="3774" w:type="dxa"/>
            <w:tcBorders>
              <w:top w:val="nil"/>
              <w:left w:val="nil"/>
              <w:bottom w:val="nil"/>
              <w:right w:val="nil"/>
            </w:tcBorders>
            <w:shd w:val="clear" w:color="auto" w:fill="auto"/>
            <w:noWrap/>
            <w:vAlign w:val="bottom"/>
            <w:hideMark/>
          </w:tcPr>
          <w:p w14:paraId="6867FD16" w14:textId="77777777" w:rsidR="00097289" w:rsidRPr="008D536F" w:rsidRDefault="00097289" w:rsidP="006911DE">
            <w:pPr>
              <w:spacing w:after="0" w:line="240" w:lineRule="auto"/>
              <w:rPr>
                <w:rFonts w:ascii="Times New Roman" w:eastAsia="Times New Roman" w:hAnsi="Times New Roman"/>
                <w:lang w:eastAsia="en-GB"/>
              </w:rPr>
            </w:pPr>
          </w:p>
        </w:tc>
        <w:tc>
          <w:tcPr>
            <w:tcW w:w="2856" w:type="dxa"/>
            <w:tcBorders>
              <w:top w:val="nil"/>
              <w:left w:val="nil"/>
              <w:bottom w:val="nil"/>
              <w:right w:val="nil"/>
            </w:tcBorders>
            <w:shd w:val="clear" w:color="auto" w:fill="auto"/>
            <w:noWrap/>
            <w:vAlign w:val="bottom"/>
            <w:hideMark/>
          </w:tcPr>
          <w:p w14:paraId="78653112" w14:textId="77777777" w:rsidR="00097289" w:rsidRPr="008D536F" w:rsidRDefault="00097289" w:rsidP="006911DE">
            <w:pPr>
              <w:spacing w:after="0" w:line="240" w:lineRule="auto"/>
              <w:rPr>
                <w:rFonts w:ascii="Times New Roman" w:eastAsia="Times New Roman" w:hAnsi="Times New Roman"/>
                <w:lang w:eastAsia="en-GB"/>
              </w:rPr>
            </w:pPr>
          </w:p>
        </w:tc>
        <w:tc>
          <w:tcPr>
            <w:tcW w:w="2730" w:type="dxa"/>
            <w:tcBorders>
              <w:top w:val="nil"/>
              <w:left w:val="nil"/>
              <w:bottom w:val="nil"/>
              <w:right w:val="nil"/>
            </w:tcBorders>
            <w:shd w:val="clear" w:color="auto" w:fill="auto"/>
            <w:noWrap/>
            <w:vAlign w:val="bottom"/>
            <w:hideMark/>
          </w:tcPr>
          <w:p w14:paraId="5D1877F3" w14:textId="77777777" w:rsidR="00097289" w:rsidRPr="008D536F" w:rsidRDefault="00097289" w:rsidP="006911DE">
            <w:pPr>
              <w:spacing w:after="0" w:line="240" w:lineRule="auto"/>
              <w:rPr>
                <w:rFonts w:ascii="Times New Roman" w:eastAsia="Times New Roman" w:hAnsi="Times New Roman"/>
                <w:lang w:eastAsia="en-GB"/>
              </w:rPr>
            </w:pPr>
          </w:p>
        </w:tc>
      </w:tr>
      <w:tr w:rsidR="00097289" w:rsidRPr="008D536F" w14:paraId="39136901" w14:textId="77777777" w:rsidTr="006911DE">
        <w:trPr>
          <w:trHeight w:val="300"/>
        </w:trPr>
        <w:tc>
          <w:tcPr>
            <w:tcW w:w="3774" w:type="dxa"/>
            <w:tcBorders>
              <w:top w:val="nil"/>
              <w:left w:val="nil"/>
              <w:bottom w:val="nil"/>
              <w:right w:val="nil"/>
            </w:tcBorders>
            <w:shd w:val="clear" w:color="auto" w:fill="auto"/>
            <w:noWrap/>
            <w:vAlign w:val="bottom"/>
            <w:hideMark/>
          </w:tcPr>
          <w:p w14:paraId="3C89FA4C" w14:textId="76BA5FEB" w:rsidR="00097289" w:rsidRPr="008D536F" w:rsidRDefault="006911DE" w:rsidP="006911DE">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 xml:space="preserve">Baseline </w:t>
            </w:r>
            <w:r w:rsidR="00097289" w:rsidRPr="008D536F">
              <w:rPr>
                <w:rFonts w:ascii="Times New Roman" w:eastAsia="Times New Roman" w:hAnsi="Times New Roman"/>
                <w:b/>
                <w:bCs/>
                <w:lang w:eastAsia="en-GB"/>
              </w:rPr>
              <w:t>HIV characteristics</w:t>
            </w:r>
          </w:p>
        </w:tc>
        <w:tc>
          <w:tcPr>
            <w:tcW w:w="2856" w:type="dxa"/>
            <w:tcBorders>
              <w:top w:val="nil"/>
              <w:left w:val="nil"/>
              <w:bottom w:val="nil"/>
              <w:right w:val="nil"/>
            </w:tcBorders>
            <w:shd w:val="clear" w:color="auto" w:fill="auto"/>
            <w:noWrap/>
            <w:vAlign w:val="bottom"/>
            <w:hideMark/>
          </w:tcPr>
          <w:p w14:paraId="1453FF1E" w14:textId="77777777" w:rsidR="00097289" w:rsidRPr="008D536F" w:rsidRDefault="00097289" w:rsidP="006911DE">
            <w:pPr>
              <w:spacing w:after="0" w:line="240" w:lineRule="auto"/>
              <w:rPr>
                <w:rFonts w:ascii="Times New Roman" w:eastAsia="Times New Roman" w:hAnsi="Times New Roman"/>
                <w:b/>
                <w:bCs/>
                <w:lang w:eastAsia="en-GB"/>
              </w:rPr>
            </w:pPr>
          </w:p>
        </w:tc>
        <w:tc>
          <w:tcPr>
            <w:tcW w:w="2730" w:type="dxa"/>
            <w:tcBorders>
              <w:top w:val="nil"/>
              <w:left w:val="nil"/>
              <w:bottom w:val="nil"/>
              <w:right w:val="nil"/>
            </w:tcBorders>
            <w:shd w:val="clear" w:color="auto" w:fill="auto"/>
            <w:noWrap/>
            <w:vAlign w:val="bottom"/>
            <w:hideMark/>
          </w:tcPr>
          <w:p w14:paraId="756EDCA4" w14:textId="77777777" w:rsidR="00097289" w:rsidRPr="008D536F" w:rsidRDefault="00097289" w:rsidP="006911DE">
            <w:pPr>
              <w:spacing w:after="0" w:line="240" w:lineRule="auto"/>
              <w:rPr>
                <w:rFonts w:ascii="Times New Roman" w:eastAsia="Times New Roman" w:hAnsi="Times New Roman"/>
                <w:lang w:eastAsia="en-GB"/>
              </w:rPr>
            </w:pPr>
          </w:p>
        </w:tc>
      </w:tr>
      <w:tr w:rsidR="00097289" w:rsidRPr="008D536F" w14:paraId="52F5A902" w14:textId="77777777" w:rsidTr="006911DE">
        <w:trPr>
          <w:trHeight w:val="300"/>
        </w:trPr>
        <w:tc>
          <w:tcPr>
            <w:tcW w:w="3774" w:type="dxa"/>
            <w:tcBorders>
              <w:top w:val="nil"/>
              <w:left w:val="nil"/>
              <w:bottom w:val="nil"/>
              <w:right w:val="nil"/>
            </w:tcBorders>
            <w:shd w:val="clear" w:color="auto" w:fill="auto"/>
            <w:noWrap/>
            <w:vAlign w:val="bottom"/>
            <w:hideMark/>
          </w:tcPr>
          <w:p w14:paraId="38B014B8" w14:textId="7A836855"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CD4 count </w:t>
            </w:r>
            <w:r w:rsidR="006911DE" w:rsidRPr="008D536F">
              <w:rPr>
                <w:rFonts w:ascii="Times New Roman" w:eastAsia="Times New Roman" w:hAnsi="Times New Roman"/>
                <w:lang w:eastAsia="en-GB"/>
              </w:rPr>
              <w:t xml:space="preserve">in </w:t>
            </w:r>
            <w:r w:rsidRPr="008D536F">
              <w:rPr>
                <w:rFonts w:ascii="Times New Roman" w:eastAsia="Times New Roman" w:hAnsi="Times New Roman"/>
                <w:lang w:eastAsia="en-GB"/>
              </w:rPr>
              <w:t>cells/mm3</w:t>
            </w:r>
            <w:r w:rsidR="006911DE" w:rsidRPr="008D536F">
              <w:rPr>
                <w:rFonts w:ascii="Times New Roman" w:eastAsia="Times New Roman" w:hAnsi="Times New Roman"/>
                <w:lang w:eastAsia="en-GB"/>
              </w:rPr>
              <w:t xml:space="preserve"> (median/IQR</w:t>
            </w:r>
            <w:r w:rsidRPr="008D536F">
              <w:rPr>
                <w:rFonts w:ascii="Times New Roman" w:eastAsia="Times New Roman" w:hAnsi="Times New Roman"/>
                <w:lang w:eastAsia="en-GB"/>
              </w:rPr>
              <w:t>)</w:t>
            </w:r>
          </w:p>
        </w:tc>
        <w:tc>
          <w:tcPr>
            <w:tcW w:w="2856" w:type="dxa"/>
            <w:tcBorders>
              <w:top w:val="nil"/>
              <w:left w:val="nil"/>
              <w:bottom w:val="nil"/>
              <w:right w:val="nil"/>
            </w:tcBorders>
            <w:shd w:val="clear" w:color="auto" w:fill="auto"/>
            <w:noWrap/>
            <w:vAlign w:val="bottom"/>
            <w:hideMark/>
          </w:tcPr>
          <w:p w14:paraId="5617AA03"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294 (174-380)</w:t>
            </w:r>
          </w:p>
        </w:tc>
        <w:tc>
          <w:tcPr>
            <w:tcW w:w="2730" w:type="dxa"/>
            <w:tcBorders>
              <w:top w:val="nil"/>
              <w:left w:val="nil"/>
              <w:bottom w:val="nil"/>
              <w:right w:val="nil"/>
            </w:tcBorders>
            <w:shd w:val="clear" w:color="auto" w:fill="auto"/>
            <w:noWrap/>
            <w:vAlign w:val="bottom"/>
            <w:hideMark/>
          </w:tcPr>
          <w:p w14:paraId="64E226C1"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202 (175-236)</w:t>
            </w:r>
          </w:p>
        </w:tc>
      </w:tr>
      <w:tr w:rsidR="00097289" w:rsidRPr="008D536F" w14:paraId="4865ABAA" w14:textId="77777777" w:rsidTr="006911DE">
        <w:trPr>
          <w:trHeight w:val="300"/>
        </w:trPr>
        <w:tc>
          <w:tcPr>
            <w:tcW w:w="3774" w:type="dxa"/>
            <w:tcBorders>
              <w:top w:val="nil"/>
              <w:left w:val="nil"/>
              <w:bottom w:val="nil"/>
              <w:right w:val="nil"/>
            </w:tcBorders>
            <w:shd w:val="clear" w:color="auto" w:fill="auto"/>
            <w:noWrap/>
            <w:vAlign w:val="bottom"/>
            <w:hideMark/>
          </w:tcPr>
          <w:p w14:paraId="356184F9" w14:textId="2C9DAECE" w:rsidR="00097289"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w:t>
            </w:r>
            <w:r w:rsidR="00097289" w:rsidRPr="008D536F">
              <w:rPr>
                <w:rFonts w:ascii="Times New Roman" w:eastAsia="Times New Roman" w:hAnsi="Times New Roman"/>
                <w:lang w:eastAsia="en-GB"/>
              </w:rPr>
              <w:t xml:space="preserve">iral load </w:t>
            </w:r>
            <w:r w:rsidRPr="008D536F">
              <w:rPr>
                <w:rFonts w:ascii="Times New Roman" w:eastAsia="Times New Roman" w:hAnsi="Times New Roman"/>
                <w:lang w:eastAsia="en-GB"/>
              </w:rPr>
              <w:t xml:space="preserve">in </w:t>
            </w:r>
            <w:r w:rsidR="00097289" w:rsidRPr="008D536F">
              <w:rPr>
                <w:rFonts w:ascii="Times New Roman" w:eastAsia="Times New Roman" w:hAnsi="Times New Roman"/>
                <w:lang w:eastAsia="en-GB"/>
              </w:rPr>
              <w:t>copies/mL</w:t>
            </w:r>
            <w:r w:rsidRPr="008D536F">
              <w:rPr>
                <w:rFonts w:ascii="Times New Roman" w:eastAsia="Times New Roman" w:hAnsi="Times New Roman"/>
                <w:lang w:eastAsia="en-GB"/>
              </w:rPr>
              <w:t xml:space="preserve"> (median/IQR</w:t>
            </w:r>
            <w:r w:rsidR="00097289" w:rsidRPr="008D536F">
              <w:rPr>
                <w:rFonts w:ascii="Times New Roman" w:eastAsia="Times New Roman" w:hAnsi="Times New Roman"/>
                <w:lang w:eastAsia="en-GB"/>
              </w:rPr>
              <w:t>)</w:t>
            </w:r>
          </w:p>
        </w:tc>
        <w:tc>
          <w:tcPr>
            <w:tcW w:w="2856" w:type="dxa"/>
            <w:tcBorders>
              <w:top w:val="nil"/>
              <w:left w:val="nil"/>
              <w:bottom w:val="nil"/>
              <w:right w:val="nil"/>
            </w:tcBorders>
            <w:shd w:val="clear" w:color="auto" w:fill="auto"/>
            <w:noWrap/>
            <w:vAlign w:val="bottom"/>
            <w:hideMark/>
          </w:tcPr>
          <w:p w14:paraId="793716BA" w14:textId="7C590952"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8</w:t>
            </w:r>
            <w:r w:rsidR="005519B1"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320 (2</w:t>
            </w:r>
            <w:r w:rsidR="005519B1"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608-24</w:t>
            </w:r>
            <w:r w:rsidR="005519B1"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971)</w:t>
            </w:r>
          </w:p>
        </w:tc>
        <w:tc>
          <w:tcPr>
            <w:tcW w:w="2730" w:type="dxa"/>
            <w:tcBorders>
              <w:top w:val="nil"/>
              <w:left w:val="nil"/>
              <w:bottom w:val="nil"/>
              <w:right w:val="nil"/>
            </w:tcBorders>
            <w:shd w:val="clear" w:color="auto" w:fill="auto"/>
            <w:noWrap/>
            <w:vAlign w:val="bottom"/>
            <w:hideMark/>
          </w:tcPr>
          <w:p w14:paraId="516FC858" w14:textId="45EE38D1"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40</w:t>
            </w:r>
            <w:r w:rsidR="005519B1"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761 (22</w:t>
            </w:r>
            <w:r w:rsidR="005519B1"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197-56</w:t>
            </w:r>
            <w:r w:rsidR="005519B1"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219)</w:t>
            </w:r>
          </w:p>
        </w:tc>
      </w:tr>
      <w:tr w:rsidR="00097289" w:rsidRPr="008D536F" w14:paraId="0FC2A54F" w14:textId="77777777" w:rsidTr="006911DE">
        <w:trPr>
          <w:trHeight w:val="300"/>
        </w:trPr>
        <w:tc>
          <w:tcPr>
            <w:tcW w:w="3774" w:type="dxa"/>
            <w:tcBorders>
              <w:top w:val="nil"/>
              <w:left w:val="nil"/>
              <w:bottom w:val="nil"/>
              <w:right w:val="nil"/>
            </w:tcBorders>
            <w:shd w:val="clear" w:color="auto" w:fill="auto"/>
            <w:noWrap/>
            <w:vAlign w:val="bottom"/>
            <w:hideMark/>
          </w:tcPr>
          <w:p w14:paraId="7F776E79" w14:textId="77777777" w:rsidR="00097289" w:rsidRPr="008D536F" w:rsidRDefault="00097289" w:rsidP="006911DE">
            <w:pPr>
              <w:spacing w:after="0" w:line="240" w:lineRule="auto"/>
              <w:rPr>
                <w:rFonts w:ascii="Times New Roman" w:eastAsia="Times New Roman" w:hAnsi="Times New Roman"/>
                <w:lang w:eastAsia="en-GB"/>
              </w:rPr>
            </w:pPr>
          </w:p>
        </w:tc>
        <w:tc>
          <w:tcPr>
            <w:tcW w:w="2856" w:type="dxa"/>
            <w:tcBorders>
              <w:top w:val="nil"/>
              <w:left w:val="nil"/>
              <w:bottom w:val="nil"/>
              <w:right w:val="nil"/>
            </w:tcBorders>
            <w:shd w:val="clear" w:color="auto" w:fill="auto"/>
            <w:noWrap/>
            <w:vAlign w:val="bottom"/>
            <w:hideMark/>
          </w:tcPr>
          <w:p w14:paraId="23D6105E" w14:textId="77777777" w:rsidR="00097289" w:rsidRPr="008D536F" w:rsidRDefault="00097289" w:rsidP="006911DE">
            <w:pPr>
              <w:spacing w:after="0" w:line="240" w:lineRule="auto"/>
              <w:rPr>
                <w:rFonts w:ascii="Times New Roman" w:eastAsia="Times New Roman" w:hAnsi="Times New Roman"/>
                <w:lang w:eastAsia="en-GB"/>
              </w:rPr>
            </w:pPr>
          </w:p>
        </w:tc>
        <w:tc>
          <w:tcPr>
            <w:tcW w:w="2730" w:type="dxa"/>
            <w:tcBorders>
              <w:top w:val="nil"/>
              <w:left w:val="nil"/>
              <w:bottom w:val="nil"/>
              <w:right w:val="nil"/>
            </w:tcBorders>
            <w:shd w:val="clear" w:color="auto" w:fill="auto"/>
            <w:noWrap/>
            <w:vAlign w:val="bottom"/>
            <w:hideMark/>
          </w:tcPr>
          <w:p w14:paraId="663EBC17" w14:textId="77777777" w:rsidR="00097289" w:rsidRPr="008D536F" w:rsidRDefault="00097289" w:rsidP="006911DE">
            <w:pPr>
              <w:spacing w:after="0" w:line="240" w:lineRule="auto"/>
              <w:rPr>
                <w:rFonts w:ascii="Times New Roman" w:eastAsia="Times New Roman" w:hAnsi="Times New Roman"/>
                <w:lang w:eastAsia="en-GB"/>
              </w:rPr>
            </w:pPr>
          </w:p>
        </w:tc>
      </w:tr>
      <w:tr w:rsidR="00097289" w:rsidRPr="008D536F" w14:paraId="20A1E718" w14:textId="77777777" w:rsidTr="006911DE">
        <w:trPr>
          <w:trHeight w:val="300"/>
        </w:trPr>
        <w:tc>
          <w:tcPr>
            <w:tcW w:w="3774" w:type="dxa"/>
            <w:tcBorders>
              <w:top w:val="nil"/>
              <w:left w:val="nil"/>
              <w:bottom w:val="nil"/>
              <w:right w:val="nil"/>
            </w:tcBorders>
            <w:shd w:val="clear" w:color="auto" w:fill="auto"/>
            <w:noWrap/>
            <w:vAlign w:val="bottom"/>
            <w:hideMark/>
          </w:tcPr>
          <w:p w14:paraId="394C9134" w14:textId="77777777" w:rsidR="00097289" w:rsidRPr="008D536F" w:rsidRDefault="00097289" w:rsidP="006911DE">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ART history</w:t>
            </w:r>
          </w:p>
        </w:tc>
        <w:tc>
          <w:tcPr>
            <w:tcW w:w="2856" w:type="dxa"/>
            <w:tcBorders>
              <w:top w:val="nil"/>
              <w:left w:val="nil"/>
              <w:bottom w:val="nil"/>
              <w:right w:val="nil"/>
            </w:tcBorders>
            <w:shd w:val="clear" w:color="auto" w:fill="auto"/>
            <w:noWrap/>
            <w:vAlign w:val="bottom"/>
            <w:hideMark/>
          </w:tcPr>
          <w:p w14:paraId="496B58FF" w14:textId="77777777" w:rsidR="00097289" w:rsidRPr="008D536F" w:rsidRDefault="00097289" w:rsidP="006911DE">
            <w:pPr>
              <w:spacing w:after="0" w:line="240" w:lineRule="auto"/>
              <w:rPr>
                <w:rFonts w:ascii="Times New Roman" w:eastAsia="Times New Roman" w:hAnsi="Times New Roman"/>
                <w:b/>
                <w:bCs/>
                <w:lang w:eastAsia="en-GB"/>
              </w:rPr>
            </w:pPr>
          </w:p>
        </w:tc>
        <w:tc>
          <w:tcPr>
            <w:tcW w:w="2730" w:type="dxa"/>
            <w:tcBorders>
              <w:top w:val="nil"/>
              <w:left w:val="nil"/>
              <w:bottom w:val="nil"/>
              <w:right w:val="nil"/>
            </w:tcBorders>
            <w:shd w:val="clear" w:color="auto" w:fill="auto"/>
            <w:noWrap/>
            <w:vAlign w:val="bottom"/>
            <w:hideMark/>
          </w:tcPr>
          <w:p w14:paraId="36421810" w14:textId="77777777" w:rsidR="00097289" w:rsidRPr="008D536F" w:rsidRDefault="00097289" w:rsidP="006911DE">
            <w:pPr>
              <w:spacing w:after="0" w:line="240" w:lineRule="auto"/>
              <w:rPr>
                <w:rFonts w:ascii="Times New Roman" w:eastAsia="Times New Roman" w:hAnsi="Times New Roman"/>
                <w:lang w:eastAsia="en-GB"/>
              </w:rPr>
            </w:pPr>
          </w:p>
        </w:tc>
      </w:tr>
      <w:tr w:rsidR="00097289" w:rsidRPr="008D536F" w14:paraId="26B9C27E" w14:textId="77777777" w:rsidTr="006911DE">
        <w:trPr>
          <w:trHeight w:val="300"/>
        </w:trPr>
        <w:tc>
          <w:tcPr>
            <w:tcW w:w="3774" w:type="dxa"/>
            <w:tcBorders>
              <w:top w:val="nil"/>
              <w:left w:val="nil"/>
              <w:bottom w:val="nil"/>
              <w:right w:val="nil"/>
            </w:tcBorders>
            <w:shd w:val="clear" w:color="auto" w:fill="auto"/>
            <w:noWrap/>
            <w:vAlign w:val="bottom"/>
            <w:hideMark/>
          </w:tcPr>
          <w:p w14:paraId="7E2B4FEB" w14:textId="7D0988C9"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Previous ART duration </w:t>
            </w:r>
            <w:r w:rsidR="006911DE" w:rsidRPr="008D536F">
              <w:rPr>
                <w:rFonts w:ascii="Times New Roman" w:eastAsia="Times New Roman" w:hAnsi="Times New Roman"/>
                <w:lang w:eastAsia="en-GB"/>
              </w:rPr>
              <w:t xml:space="preserve">in </w:t>
            </w:r>
            <w:r w:rsidRPr="008D536F">
              <w:rPr>
                <w:rFonts w:ascii="Times New Roman" w:eastAsia="Times New Roman" w:hAnsi="Times New Roman"/>
                <w:lang w:eastAsia="en-GB"/>
              </w:rPr>
              <w:t>years</w:t>
            </w:r>
            <w:r w:rsidR="006911DE" w:rsidRPr="008D536F">
              <w:rPr>
                <w:rFonts w:ascii="Times New Roman" w:eastAsia="Times New Roman" w:hAnsi="Times New Roman"/>
                <w:lang w:eastAsia="en-GB"/>
              </w:rPr>
              <w:t xml:space="preserve"> (median/IQR</w:t>
            </w:r>
            <w:r w:rsidRPr="008D536F">
              <w:rPr>
                <w:rFonts w:ascii="Times New Roman" w:eastAsia="Times New Roman" w:hAnsi="Times New Roman"/>
                <w:lang w:eastAsia="en-GB"/>
              </w:rPr>
              <w:t>)</w:t>
            </w:r>
          </w:p>
        </w:tc>
        <w:tc>
          <w:tcPr>
            <w:tcW w:w="2856" w:type="dxa"/>
            <w:tcBorders>
              <w:top w:val="nil"/>
              <w:left w:val="nil"/>
              <w:bottom w:val="nil"/>
              <w:right w:val="nil"/>
            </w:tcBorders>
            <w:shd w:val="clear" w:color="auto" w:fill="auto"/>
            <w:noWrap/>
            <w:vAlign w:val="bottom"/>
            <w:hideMark/>
          </w:tcPr>
          <w:p w14:paraId="5EA5E028"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6.4 (3.0-8.5)</w:t>
            </w:r>
          </w:p>
        </w:tc>
        <w:tc>
          <w:tcPr>
            <w:tcW w:w="2730" w:type="dxa"/>
            <w:tcBorders>
              <w:top w:val="nil"/>
              <w:left w:val="nil"/>
              <w:bottom w:val="nil"/>
              <w:right w:val="nil"/>
            </w:tcBorders>
            <w:shd w:val="clear" w:color="auto" w:fill="auto"/>
            <w:noWrap/>
            <w:vAlign w:val="bottom"/>
            <w:hideMark/>
          </w:tcPr>
          <w:p w14:paraId="1C954D0E" w14:textId="7777777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3.4 (1.2-6.3)</w:t>
            </w:r>
          </w:p>
        </w:tc>
      </w:tr>
      <w:tr w:rsidR="00097289" w:rsidRPr="008D536F" w14:paraId="66B90B34" w14:textId="77777777" w:rsidTr="006911DE">
        <w:trPr>
          <w:trHeight w:val="300"/>
        </w:trPr>
        <w:tc>
          <w:tcPr>
            <w:tcW w:w="3774" w:type="dxa"/>
            <w:tcBorders>
              <w:top w:val="nil"/>
              <w:left w:val="nil"/>
              <w:bottom w:val="nil"/>
              <w:right w:val="nil"/>
            </w:tcBorders>
            <w:shd w:val="clear" w:color="auto" w:fill="auto"/>
            <w:noWrap/>
            <w:vAlign w:val="bottom"/>
            <w:hideMark/>
          </w:tcPr>
          <w:p w14:paraId="3F671C49" w14:textId="656938C2"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Ever on </w:t>
            </w:r>
            <w:r w:rsidR="008C2493" w:rsidRPr="008D536F">
              <w:rPr>
                <w:rFonts w:ascii="Times New Roman" w:hAnsi="Times New Roman"/>
              </w:rPr>
              <w:t xml:space="preserve">zidovudine or stavudine </w:t>
            </w:r>
            <w:r w:rsidR="006911DE" w:rsidRPr="008D536F">
              <w:rPr>
                <w:rFonts w:ascii="Times New Roman" w:eastAsia="Times New Roman" w:hAnsi="Times New Roman"/>
                <w:lang w:eastAsia="en-GB"/>
              </w:rPr>
              <w:t>(n/%)</w:t>
            </w:r>
          </w:p>
        </w:tc>
        <w:tc>
          <w:tcPr>
            <w:tcW w:w="2856" w:type="dxa"/>
            <w:tcBorders>
              <w:top w:val="nil"/>
              <w:left w:val="nil"/>
              <w:bottom w:val="nil"/>
              <w:right w:val="nil"/>
            </w:tcBorders>
            <w:shd w:val="clear" w:color="auto" w:fill="auto"/>
            <w:noWrap/>
            <w:vAlign w:val="bottom"/>
            <w:hideMark/>
          </w:tcPr>
          <w:p w14:paraId="71B5056B" w14:textId="506BD90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9/51 (18</w:t>
            </w:r>
            <w:r w:rsidR="006911DE" w:rsidRPr="008D536F">
              <w:rPr>
                <w:rFonts w:ascii="Times New Roman" w:eastAsia="Times New Roman" w:hAnsi="Times New Roman"/>
                <w:lang w:eastAsia="en-GB"/>
              </w:rPr>
              <w:t>%</w:t>
            </w:r>
            <w:r w:rsidRPr="008D536F">
              <w:rPr>
                <w:rFonts w:ascii="Times New Roman" w:eastAsia="Times New Roman" w:hAnsi="Times New Roman"/>
                <w:lang w:eastAsia="en-GB"/>
              </w:rPr>
              <w:t>)</w:t>
            </w:r>
          </w:p>
        </w:tc>
        <w:tc>
          <w:tcPr>
            <w:tcW w:w="2730" w:type="dxa"/>
            <w:tcBorders>
              <w:top w:val="nil"/>
              <w:left w:val="nil"/>
              <w:bottom w:val="nil"/>
              <w:right w:val="nil"/>
            </w:tcBorders>
            <w:shd w:val="clear" w:color="auto" w:fill="auto"/>
            <w:noWrap/>
            <w:vAlign w:val="bottom"/>
            <w:hideMark/>
          </w:tcPr>
          <w:p w14:paraId="489DBF19" w14:textId="5471C8A5"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1/9 (11</w:t>
            </w:r>
            <w:r w:rsidR="006911DE"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097289" w:rsidRPr="008D536F" w14:paraId="46618DA5" w14:textId="77777777" w:rsidTr="006911DE">
        <w:trPr>
          <w:trHeight w:val="300"/>
        </w:trPr>
        <w:tc>
          <w:tcPr>
            <w:tcW w:w="3774" w:type="dxa"/>
            <w:tcBorders>
              <w:top w:val="nil"/>
              <w:left w:val="nil"/>
              <w:bottom w:val="nil"/>
              <w:right w:val="nil"/>
            </w:tcBorders>
            <w:shd w:val="clear" w:color="auto" w:fill="auto"/>
            <w:noWrap/>
            <w:vAlign w:val="bottom"/>
            <w:hideMark/>
          </w:tcPr>
          <w:p w14:paraId="63EFC406" w14:textId="77777777" w:rsidR="00097289" w:rsidRPr="008D536F" w:rsidRDefault="00097289" w:rsidP="006911DE">
            <w:pPr>
              <w:spacing w:after="0" w:line="240" w:lineRule="auto"/>
              <w:rPr>
                <w:rFonts w:ascii="Times New Roman" w:eastAsia="Times New Roman" w:hAnsi="Times New Roman"/>
                <w:lang w:eastAsia="en-GB"/>
              </w:rPr>
            </w:pPr>
          </w:p>
        </w:tc>
        <w:tc>
          <w:tcPr>
            <w:tcW w:w="2856" w:type="dxa"/>
            <w:tcBorders>
              <w:top w:val="nil"/>
              <w:left w:val="nil"/>
              <w:bottom w:val="nil"/>
              <w:right w:val="nil"/>
            </w:tcBorders>
            <w:shd w:val="clear" w:color="auto" w:fill="auto"/>
            <w:noWrap/>
            <w:vAlign w:val="bottom"/>
            <w:hideMark/>
          </w:tcPr>
          <w:p w14:paraId="003FF6DF" w14:textId="77777777" w:rsidR="00097289" w:rsidRPr="008D536F" w:rsidRDefault="00097289" w:rsidP="006911DE">
            <w:pPr>
              <w:spacing w:after="0" w:line="240" w:lineRule="auto"/>
              <w:rPr>
                <w:rFonts w:ascii="Times New Roman" w:eastAsia="Times New Roman" w:hAnsi="Times New Roman"/>
                <w:lang w:eastAsia="en-GB"/>
              </w:rPr>
            </w:pPr>
          </w:p>
        </w:tc>
        <w:tc>
          <w:tcPr>
            <w:tcW w:w="2730" w:type="dxa"/>
            <w:tcBorders>
              <w:top w:val="nil"/>
              <w:left w:val="nil"/>
              <w:bottom w:val="nil"/>
              <w:right w:val="nil"/>
            </w:tcBorders>
            <w:shd w:val="clear" w:color="auto" w:fill="auto"/>
            <w:noWrap/>
            <w:vAlign w:val="bottom"/>
            <w:hideMark/>
          </w:tcPr>
          <w:p w14:paraId="30EE7093" w14:textId="77777777" w:rsidR="00097289" w:rsidRPr="008D536F" w:rsidRDefault="00097289" w:rsidP="006911DE">
            <w:pPr>
              <w:spacing w:after="0" w:line="240" w:lineRule="auto"/>
              <w:rPr>
                <w:rFonts w:ascii="Times New Roman" w:eastAsia="Times New Roman" w:hAnsi="Times New Roman"/>
                <w:lang w:eastAsia="en-GB"/>
              </w:rPr>
            </w:pPr>
          </w:p>
        </w:tc>
      </w:tr>
      <w:tr w:rsidR="00097289" w:rsidRPr="008D536F" w14:paraId="293F9989" w14:textId="77777777" w:rsidTr="006911DE">
        <w:trPr>
          <w:trHeight w:val="300"/>
        </w:trPr>
        <w:tc>
          <w:tcPr>
            <w:tcW w:w="3774" w:type="dxa"/>
            <w:tcBorders>
              <w:top w:val="nil"/>
              <w:left w:val="nil"/>
              <w:bottom w:val="nil"/>
              <w:right w:val="nil"/>
            </w:tcBorders>
            <w:shd w:val="clear" w:color="auto" w:fill="auto"/>
            <w:noWrap/>
            <w:vAlign w:val="bottom"/>
            <w:hideMark/>
          </w:tcPr>
          <w:p w14:paraId="2783DDCA" w14:textId="6253888A" w:rsidR="00097289" w:rsidRPr="008D536F" w:rsidRDefault="006911DE" w:rsidP="006911DE">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Baseline</w:t>
            </w:r>
            <w:r w:rsidR="00097289" w:rsidRPr="008D536F">
              <w:rPr>
                <w:rFonts w:ascii="Times New Roman" w:eastAsia="Times New Roman" w:hAnsi="Times New Roman"/>
                <w:b/>
                <w:bCs/>
                <w:lang w:eastAsia="en-GB"/>
              </w:rPr>
              <w:t xml:space="preserve"> resistance</w:t>
            </w:r>
            <w:r w:rsidR="00DC196A" w:rsidRPr="008D536F">
              <w:rPr>
                <w:rFonts w:ascii="Times New Roman" w:eastAsia="Times New Roman" w:hAnsi="Times New Roman"/>
                <w:b/>
                <w:bCs/>
                <w:lang w:eastAsia="en-GB"/>
              </w:rPr>
              <w:t>*</w:t>
            </w:r>
            <w:r w:rsidR="00097289" w:rsidRPr="008D536F">
              <w:rPr>
                <w:rFonts w:ascii="Times New Roman" w:eastAsia="Times New Roman" w:hAnsi="Times New Roman"/>
                <w:b/>
                <w:bCs/>
                <w:lang w:eastAsia="en-GB"/>
              </w:rPr>
              <w:t>, n(%)</w:t>
            </w:r>
          </w:p>
        </w:tc>
        <w:tc>
          <w:tcPr>
            <w:tcW w:w="2856" w:type="dxa"/>
            <w:tcBorders>
              <w:top w:val="nil"/>
              <w:left w:val="nil"/>
              <w:bottom w:val="nil"/>
              <w:right w:val="nil"/>
            </w:tcBorders>
            <w:shd w:val="clear" w:color="auto" w:fill="auto"/>
            <w:noWrap/>
            <w:vAlign w:val="bottom"/>
            <w:hideMark/>
          </w:tcPr>
          <w:p w14:paraId="08E068FA" w14:textId="77777777" w:rsidR="00097289" w:rsidRPr="008D536F" w:rsidRDefault="00097289" w:rsidP="006911DE">
            <w:pPr>
              <w:spacing w:after="0" w:line="240" w:lineRule="auto"/>
              <w:rPr>
                <w:rFonts w:ascii="Times New Roman" w:eastAsia="Times New Roman" w:hAnsi="Times New Roman"/>
                <w:b/>
                <w:bCs/>
                <w:lang w:eastAsia="en-GB"/>
              </w:rPr>
            </w:pPr>
          </w:p>
        </w:tc>
        <w:tc>
          <w:tcPr>
            <w:tcW w:w="2730" w:type="dxa"/>
            <w:tcBorders>
              <w:top w:val="nil"/>
              <w:left w:val="nil"/>
              <w:bottom w:val="nil"/>
              <w:right w:val="nil"/>
            </w:tcBorders>
            <w:shd w:val="clear" w:color="auto" w:fill="auto"/>
            <w:noWrap/>
            <w:vAlign w:val="bottom"/>
            <w:hideMark/>
          </w:tcPr>
          <w:p w14:paraId="2427E316" w14:textId="77777777" w:rsidR="00097289" w:rsidRPr="008D536F" w:rsidRDefault="00097289" w:rsidP="006911DE">
            <w:pPr>
              <w:spacing w:after="0" w:line="240" w:lineRule="auto"/>
              <w:rPr>
                <w:rFonts w:ascii="Times New Roman" w:eastAsia="Times New Roman" w:hAnsi="Times New Roman"/>
                <w:lang w:eastAsia="en-GB"/>
              </w:rPr>
            </w:pPr>
          </w:p>
        </w:tc>
      </w:tr>
      <w:tr w:rsidR="006911DE" w:rsidRPr="008D536F" w14:paraId="010A04C3" w14:textId="77777777" w:rsidTr="006911DE">
        <w:trPr>
          <w:trHeight w:val="300"/>
        </w:trPr>
        <w:tc>
          <w:tcPr>
            <w:tcW w:w="3774" w:type="dxa"/>
            <w:tcBorders>
              <w:top w:val="nil"/>
              <w:left w:val="nil"/>
              <w:bottom w:val="nil"/>
              <w:right w:val="nil"/>
            </w:tcBorders>
            <w:shd w:val="clear" w:color="auto" w:fill="auto"/>
            <w:noWrap/>
            <w:vAlign w:val="bottom"/>
          </w:tcPr>
          <w:p w14:paraId="7A78C6FB" w14:textId="5EEABC65"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Tenofovir/ XTC resistance</w:t>
            </w:r>
          </w:p>
        </w:tc>
        <w:tc>
          <w:tcPr>
            <w:tcW w:w="2856" w:type="dxa"/>
            <w:tcBorders>
              <w:top w:val="nil"/>
              <w:left w:val="nil"/>
              <w:bottom w:val="nil"/>
              <w:right w:val="nil"/>
            </w:tcBorders>
            <w:shd w:val="clear" w:color="auto" w:fill="auto"/>
            <w:noWrap/>
            <w:vAlign w:val="bottom"/>
          </w:tcPr>
          <w:p w14:paraId="06768DF0" w14:textId="77777777" w:rsidR="006911DE" w:rsidRPr="008D536F" w:rsidRDefault="006911DE" w:rsidP="006911DE">
            <w:pPr>
              <w:spacing w:after="0" w:line="240" w:lineRule="auto"/>
              <w:rPr>
                <w:rFonts w:ascii="Times New Roman" w:eastAsia="Times New Roman" w:hAnsi="Times New Roman"/>
                <w:lang w:eastAsia="en-GB"/>
              </w:rPr>
            </w:pPr>
          </w:p>
        </w:tc>
        <w:tc>
          <w:tcPr>
            <w:tcW w:w="2730" w:type="dxa"/>
            <w:tcBorders>
              <w:top w:val="nil"/>
              <w:left w:val="nil"/>
              <w:bottom w:val="nil"/>
              <w:right w:val="nil"/>
            </w:tcBorders>
            <w:shd w:val="clear" w:color="auto" w:fill="auto"/>
            <w:noWrap/>
            <w:vAlign w:val="bottom"/>
          </w:tcPr>
          <w:p w14:paraId="0D2FE251" w14:textId="77777777" w:rsidR="006911DE" w:rsidRPr="008D536F" w:rsidRDefault="006911DE" w:rsidP="006911DE">
            <w:pPr>
              <w:spacing w:after="0" w:line="240" w:lineRule="auto"/>
              <w:rPr>
                <w:rFonts w:ascii="Times New Roman" w:eastAsia="Times New Roman" w:hAnsi="Times New Roman"/>
                <w:lang w:eastAsia="en-GB"/>
              </w:rPr>
            </w:pPr>
          </w:p>
        </w:tc>
      </w:tr>
      <w:tr w:rsidR="00097289" w:rsidRPr="008D536F" w14:paraId="3ED8075B" w14:textId="77777777" w:rsidTr="006911DE">
        <w:trPr>
          <w:trHeight w:val="300"/>
        </w:trPr>
        <w:tc>
          <w:tcPr>
            <w:tcW w:w="3774" w:type="dxa"/>
            <w:tcBorders>
              <w:top w:val="nil"/>
              <w:left w:val="nil"/>
              <w:bottom w:val="nil"/>
              <w:right w:val="nil"/>
            </w:tcBorders>
            <w:shd w:val="clear" w:color="auto" w:fill="auto"/>
            <w:noWrap/>
            <w:vAlign w:val="bottom"/>
            <w:hideMark/>
          </w:tcPr>
          <w:p w14:paraId="07F1EEBF" w14:textId="33EFB97B" w:rsidR="00097289"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w:t>
            </w:r>
            <w:r w:rsidR="00097289" w:rsidRPr="008D536F">
              <w:rPr>
                <w:rFonts w:ascii="Times New Roman" w:eastAsia="Times New Roman" w:hAnsi="Times New Roman"/>
                <w:lang w:eastAsia="en-GB"/>
              </w:rPr>
              <w:t>Both &lt;15</w:t>
            </w:r>
          </w:p>
        </w:tc>
        <w:tc>
          <w:tcPr>
            <w:tcW w:w="2856" w:type="dxa"/>
            <w:tcBorders>
              <w:top w:val="nil"/>
              <w:left w:val="nil"/>
              <w:bottom w:val="nil"/>
              <w:right w:val="nil"/>
            </w:tcBorders>
            <w:shd w:val="clear" w:color="auto" w:fill="auto"/>
            <w:noWrap/>
            <w:vAlign w:val="bottom"/>
            <w:hideMark/>
          </w:tcPr>
          <w:p w14:paraId="6760BDEC" w14:textId="120B50F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6/46 (13</w:t>
            </w:r>
            <w:r w:rsidR="00DC196A" w:rsidRPr="008D536F">
              <w:rPr>
                <w:rFonts w:ascii="Times New Roman" w:eastAsia="Times New Roman" w:hAnsi="Times New Roman"/>
                <w:lang w:eastAsia="en-GB"/>
              </w:rPr>
              <w:t>%</w:t>
            </w:r>
            <w:r w:rsidRPr="008D536F">
              <w:rPr>
                <w:rFonts w:ascii="Times New Roman" w:eastAsia="Times New Roman" w:hAnsi="Times New Roman"/>
                <w:lang w:eastAsia="en-GB"/>
              </w:rPr>
              <w:t>)</w:t>
            </w:r>
          </w:p>
        </w:tc>
        <w:tc>
          <w:tcPr>
            <w:tcW w:w="2730" w:type="dxa"/>
            <w:tcBorders>
              <w:top w:val="nil"/>
              <w:left w:val="nil"/>
              <w:bottom w:val="nil"/>
              <w:right w:val="nil"/>
            </w:tcBorders>
            <w:shd w:val="clear" w:color="auto" w:fill="auto"/>
            <w:noWrap/>
            <w:vAlign w:val="bottom"/>
            <w:hideMark/>
          </w:tcPr>
          <w:p w14:paraId="0562EAD8" w14:textId="711DCEEF"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0/8 (0</w:t>
            </w:r>
            <w:r w:rsidR="00DC196A"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097289" w:rsidRPr="008D536F" w14:paraId="2C75AAD1" w14:textId="77777777" w:rsidTr="006911DE">
        <w:trPr>
          <w:trHeight w:val="300"/>
        </w:trPr>
        <w:tc>
          <w:tcPr>
            <w:tcW w:w="3774" w:type="dxa"/>
            <w:tcBorders>
              <w:top w:val="nil"/>
              <w:left w:val="nil"/>
              <w:bottom w:val="nil"/>
              <w:right w:val="nil"/>
            </w:tcBorders>
            <w:shd w:val="clear" w:color="auto" w:fill="auto"/>
            <w:noWrap/>
            <w:vAlign w:val="bottom"/>
            <w:hideMark/>
          </w:tcPr>
          <w:p w14:paraId="009F1251" w14:textId="6393D401" w:rsidR="00097289"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w:t>
            </w:r>
            <w:r w:rsidR="00097289" w:rsidRPr="008D536F">
              <w:rPr>
                <w:rFonts w:ascii="Times New Roman" w:eastAsia="Times New Roman" w:hAnsi="Times New Roman"/>
                <w:lang w:eastAsia="en-GB"/>
              </w:rPr>
              <w:t>Only tenofovir ≥15</w:t>
            </w:r>
          </w:p>
        </w:tc>
        <w:tc>
          <w:tcPr>
            <w:tcW w:w="2856" w:type="dxa"/>
            <w:tcBorders>
              <w:top w:val="nil"/>
              <w:left w:val="nil"/>
              <w:bottom w:val="nil"/>
              <w:right w:val="nil"/>
            </w:tcBorders>
            <w:shd w:val="clear" w:color="auto" w:fill="auto"/>
            <w:noWrap/>
            <w:vAlign w:val="bottom"/>
            <w:hideMark/>
          </w:tcPr>
          <w:p w14:paraId="718E623F" w14:textId="572DC9E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0/46 (0</w:t>
            </w:r>
            <w:r w:rsidR="00DC196A" w:rsidRPr="008D536F">
              <w:rPr>
                <w:rFonts w:ascii="Times New Roman" w:eastAsia="Times New Roman" w:hAnsi="Times New Roman"/>
                <w:lang w:eastAsia="en-GB"/>
              </w:rPr>
              <w:t>%</w:t>
            </w:r>
            <w:r w:rsidRPr="008D536F">
              <w:rPr>
                <w:rFonts w:ascii="Times New Roman" w:eastAsia="Times New Roman" w:hAnsi="Times New Roman"/>
                <w:lang w:eastAsia="en-GB"/>
              </w:rPr>
              <w:t>)</w:t>
            </w:r>
          </w:p>
        </w:tc>
        <w:tc>
          <w:tcPr>
            <w:tcW w:w="2730" w:type="dxa"/>
            <w:tcBorders>
              <w:top w:val="nil"/>
              <w:left w:val="nil"/>
              <w:bottom w:val="nil"/>
              <w:right w:val="nil"/>
            </w:tcBorders>
            <w:shd w:val="clear" w:color="auto" w:fill="auto"/>
            <w:noWrap/>
            <w:vAlign w:val="bottom"/>
            <w:hideMark/>
          </w:tcPr>
          <w:p w14:paraId="7E5C0D42" w14:textId="1F988D41"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0/8 (0</w:t>
            </w:r>
            <w:r w:rsidR="00DC196A"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097289" w:rsidRPr="008D536F" w14:paraId="04FC909E" w14:textId="77777777" w:rsidTr="006911DE">
        <w:trPr>
          <w:trHeight w:val="300"/>
        </w:trPr>
        <w:tc>
          <w:tcPr>
            <w:tcW w:w="3774" w:type="dxa"/>
            <w:tcBorders>
              <w:top w:val="nil"/>
              <w:left w:val="nil"/>
              <w:bottom w:val="nil"/>
              <w:right w:val="nil"/>
            </w:tcBorders>
            <w:shd w:val="clear" w:color="auto" w:fill="auto"/>
            <w:noWrap/>
            <w:vAlign w:val="bottom"/>
            <w:hideMark/>
          </w:tcPr>
          <w:p w14:paraId="3926E7EC" w14:textId="5F1193CE" w:rsidR="00097289"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w:t>
            </w:r>
            <w:r w:rsidR="00097289" w:rsidRPr="008D536F">
              <w:rPr>
                <w:rFonts w:ascii="Times New Roman" w:eastAsia="Times New Roman" w:hAnsi="Times New Roman"/>
                <w:lang w:eastAsia="en-GB"/>
              </w:rPr>
              <w:t xml:space="preserve">Only </w:t>
            </w:r>
            <w:r w:rsidR="008C2493" w:rsidRPr="008D536F">
              <w:rPr>
                <w:rFonts w:ascii="Times New Roman" w:eastAsia="Times New Roman" w:hAnsi="Times New Roman"/>
                <w:lang w:eastAsia="en-GB"/>
              </w:rPr>
              <w:t>XTC</w:t>
            </w:r>
            <w:r w:rsidR="00097289" w:rsidRPr="008D536F">
              <w:rPr>
                <w:rFonts w:ascii="Times New Roman" w:eastAsia="Times New Roman" w:hAnsi="Times New Roman"/>
                <w:lang w:eastAsia="en-GB"/>
              </w:rPr>
              <w:t xml:space="preserve"> ≥15</w:t>
            </w:r>
          </w:p>
        </w:tc>
        <w:tc>
          <w:tcPr>
            <w:tcW w:w="2856" w:type="dxa"/>
            <w:tcBorders>
              <w:top w:val="nil"/>
              <w:left w:val="nil"/>
              <w:bottom w:val="nil"/>
              <w:right w:val="nil"/>
            </w:tcBorders>
            <w:shd w:val="clear" w:color="auto" w:fill="auto"/>
            <w:noWrap/>
            <w:vAlign w:val="bottom"/>
            <w:hideMark/>
          </w:tcPr>
          <w:p w14:paraId="249C13F7" w14:textId="12A78946"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11/46 (24</w:t>
            </w:r>
            <w:r w:rsidR="00DC196A" w:rsidRPr="008D536F">
              <w:rPr>
                <w:rFonts w:ascii="Times New Roman" w:eastAsia="Times New Roman" w:hAnsi="Times New Roman"/>
                <w:lang w:eastAsia="en-GB"/>
              </w:rPr>
              <w:t>%</w:t>
            </w:r>
            <w:r w:rsidRPr="008D536F">
              <w:rPr>
                <w:rFonts w:ascii="Times New Roman" w:eastAsia="Times New Roman" w:hAnsi="Times New Roman"/>
                <w:lang w:eastAsia="en-GB"/>
              </w:rPr>
              <w:t>)</w:t>
            </w:r>
          </w:p>
        </w:tc>
        <w:tc>
          <w:tcPr>
            <w:tcW w:w="2730" w:type="dxa"/>
            <w:tcBorders>
              <w:top w:val="nil"/>
              <w:left w:val="nil"/>
              <w:bottom w:val="nil"/>
              <w:right w:val="nil"/>
            </w:tcBorders>
            <w:shd w:val="clear" w:color="auto" w:fill="auto"/>
            <w:noWrap/>
            <w:vAlign w:val="bottom"/>
            <w:hideMark/>
          </w:tcPr>
          <w:p w14:paraId="12B6AC4C" w14:textId="3A6FB5C7"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2/8 (25</w:t>
            </w:r>
            <w:r w:rsidR="00DC196A"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097289" w:rsidRPr="008D536F" w14:paraId="74BA7A7B" w14:textId="77777777" w:rsidTr="006911DE">
        <w:trPr>
          <w:trHeight w:val="300"/>
        </w:trPr>
        <w:tc>
          <w:tcPr>
            <w:tcW w:w="3774" w:type="dxa"/>
            <w:tcBorders>
              <w:top w:val="nil"/>
              <w:left w:val="nil"/>
              <w:bottom w:val="nil"/>
              <w:right w:val="nil"/>
            </w:tcBorders>
            <w:shd w:val="clear" w:color="auto" w:fill="auto"/>
            <w:noWrap/>
            <w:vAlign w:val="bottom"/>
            <w:hideMark/>
          </w:tcPr>
          <w:p w14:paraId="6844A8EE" w14:textId="0B00296E" w:rsidR="00097289"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w:t>
            </w:r>
            <w:r w:rsidR="00097289" w:rsidRPr="008D536F">
              <w:rPr>
                <w:rFonts w:ascii="Times New Roman" w:eastAsia="Times New Roman" w:hAnsi="Times New Roman"/>
                <w:lang w:eastAsia="en-GB"/>
              </w:rPr>
              <w:t>Both ≥15</w:t>
            </w:r>
          </w:p>
        </w:tc>
        <w:tc>
          <w:tcPr>
            <w:tcW w:w="2856" w:type="dxa"/>
            <w:tcBorders>
              <w:top w:val="nil"/>
              <w:left w:val="nil"/>
              <w:bottom w:val="nil"/>
              <w:right w:val="nil"/>
            </w:tcBorders>
            <w:shd w:val="clear" w:color="auto" w:fill="auto"/>
            <w:noWrap/>
            <w:vAlign w:val="bottom"/>
            <w:hideMark/>
          </w:tcPr>
          <w:p w14:paraId="2D11A0C2" w14:textId="4049FA8D"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29/46 (63</w:t>
            </w:r>
            <w:r w:rsidR="00DC196A" w:rsidRPr="008D536F">
              <w:rPr>
                <w:rFonts w:ascii="Times New Roman" w:eastAsia="Times New Roman" w:hAnsi="Times New Roman"/>
                <w:lang w:eastAsia="en-GB"/>
              </w:rPr>
              <w:t>%</w:t>
            </w:r>
            <w:r w:rsidRPr="008D536F">
              <w:rPr>
                <w:rFonts w:ascii="Times New Roman" w:eastAsia="Times New Roman" w:hAnsi="Times New Roman"/>
                <w:lang w:eastAsia="en-GB"/>
              </w:rPr>
              <w:t>)</w:t>
            </w:r>
          </w:p>
        </w:tc>
        <w:tc>
          <w:tcPr>
            <w:tcW w:w="2730" w:type="dxa"/>
            <w:tcBorders>
              <w:top w:val="nil"/>
              <w:left w:val="nil"/>
              <w:bottom w:val="nil"/>
              <w:right w:val="nil"/>
            </w:tcBorders>
            <w:shd w:val="clear" w:color="auto" w:fill="auto"/>
            <w:noWrap/>
            <w:vAlign w:val="bottom"/>
            <w:hideMark/>
          </w:tcPr>
          <w:p w14:paraId="1850F457" w14:textId="6A9D71DA" w:rsidR="00097289" w:rsidRPr="008D536F" w:rsidRDefault="00097289"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6/8 (75</w:t>
            </w:r>
            <w:r w:rsidR="00DC196A"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6911DE" w:rsidRPr="008D536F" w14:paraId="28EE59D6" w14:textId="77777777" w:rsidTr="006911DE">
        <w:trPr>
          <w:trHeight w:val="300"/>
        </w:trPr>
        <w:tc>
          <w:tcPr>
            <w:tcW w:w="3774" w:type="dxa"/>
            <w:tcBorders>
              <w:top w:val="nil"/>
              <w:left w:val="nil"/>
              <w:bottom w:val="nil"/>
              <w:right w:val="nil"/>
            </w:tcBorders>
            <w:shd w:val="clear" w:color="auto" w:fill="auto"/>
            <w:noWrap/>
            <w:vAlign w:val="bottom"/>
          </w:tcPr>
          <w:p w14:paraId="3607A005" w14:textId="2BA18C85"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Efavirenz</w:t>
            </w:r>
            <w:r w:rsidR="0072747F" w:rsidRPr="008D536F">
              <w:rPr>
                <w:rFonts w:ascii="Times New Roman" w:eastAsia="Times New Roman" w:hAnsi="Times New Roman"/>
                <w:lang w:eastAsia="en-GB"/>
              </w:rPr>
              <w:t xml:space="preserve"> and</w:t>
            </w:r>
            <w:r w:rsidRPr="008D536F">
              <w:rPr>
                <w:rFonts w:ascii="Times New Roman" w:eastAsia="Times New Roman" w:hAnsi="Times New Roman"/>
                <w:lang w:eastAsia="en-GB"/>
              </w:rPr>
              <w:t>/</w:t>
            </w:r>
            <w:r w:rsidR="0072747F" w:rsidRPr="008D536F">
              <w:rPr>
                <w:rFonts w:ascii="Times New Roman" w:eastAsia="Times New Roman" w:hAnsi="Times New Roman"/>
                <w:lang w:eastAsia="en-GB"/>
              </w:rPr>
              <w:t xml:space="preserve">or </w:t>
            </w:r>
            <w:r w:rsidRPr="008D536F">
              <w:rPr>
                <w:rFonts w:ascii="Times New Roman" w:eastAsia="Times New Roman" w:hAnsi="Times New Roman"/>
                <w:lang w:eastAsia="en-GB"/>
              </w:rPr>
              <w:t>nevirapine resistance</w:t>
            </w:r>
          </w:p>
        </w:tc>
        <w:tc>
          <w:tcPr>
            <w:tcW w:w="2856" w:type="dxa"/>
            <w:tcBorders>
              <w:top w:val="nil"/>
              <w:left w:val="nil"/>
              <w:bottom w:val="nil"/>
              <w:right w:val="nil"/>
            </w:tcBorders>
            <w:shd w:val="clear" w:color="auto" w:fill="auto"/>
            <w:noWrap/>
            <w:vAlign w:val="bottom"/>
          </w:tcPr>
          <w:p w14:paraId="5D92A92B" w14:textId="30A2E282"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44/46 (96%)</w:t>
            </w:r>
          </w:p>
        </w:tc>
        <w:tc>
          <w:tcPr>
            <w:tcW w:w="2730" w:type="dxa"/>
            <w:tcBorders>
              <w:top w:val="nil"/>
              <w:left w:val="nil"/>
              <w:bottom w:val="nil"/>
              <w:right w:val="nil"/>
            </w:tcBorders>
            <w:shd w:val="clear" w:color="auto" w:fill="auto"/>
            <w:noWrap/>
            <w:vAlign w:val="bottom"/>
          </w:tcPr>
          <w:p w14:paraId="5E70D027" w14:textId="008BF5F0"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8/8 (100%)</w:t>
            </w:r>
          </w:p>
        </w:tc>
      </w:tr>
      <w:tr w:rsidR="006911DE" w:rsidRPr="008D536F" w14:paraId="3E53CE24" w14:textId="77777777" w:rsidTr="006911DE">
        <w:trPr>
          <w:trHeight w:val="300"/>
        </w:trPr>
        <w:tc>
          <w:tcPr>
            <w:tcW w:w="3774" w:type="dxa"/>
            <w:tcBorders>
              <w:top w:val="nil"/>
              <w:left w:val="nil"/>
              <w:bottom w:val="nil"/>
              <w:right w:val="nil"/>
            </w:tcBorders>
            <w:shd w:val="clear" w:color="auto" w:fill="auto"/>
            <w:noWrap/>
            <w:vAlign w:val="bottom"/>
          </w:tcPr>
          <w:p w14:paraId="57750648" w14:textId="77777777" w:rsidR="006911DE" w:rsidRPr="008D536F" w:rsidRDefault="006911DE" w:rsidP="006911DE">
            <w:pPr>
              <w:spacing w:after="0" w:line="240" w:lineRule="auto"/>
              <w:rPr>
                <w:rFonts w:ascii="Times New Roman" w:eastAsia="Times New Roman" w:hAnsi="Times New Roman"/>
                <w:lang w:eastAsia="en-GB"/>
              </w:rPr>
            </w:pPr>
          </w:p>
        </w:tc>
        <w:tc>
          <w:tcPr>
            <w:tcW w:w="2856" w:type="dxa"/>
            <w:tcBorders>
              <w:top w:val="nil"/>
              <w:left w:val="nil"/>
              <w:bottom w:val="nil"/>
              <w:right w:val="nil"/>
            </w:tcBorders>
            <w:shd w:val="clear" w:color="auto" w:fill="auto"/>
            <w:noWrap/>
            <w:vAlign w:val="bottom"/>
          </w:tcPr>
          <w:p w14:paraId="3F7EDD9C" w14:textId="77777777" w:rsidR="006911DE" w:rsidRPr="008D536F" w:rsidRDefault="006911DE" w:rsidP="006911DE">
            <w:pPr>
              <w:spacing w:after="0" w:line="240" w:lineRule="auto"/>
              <w:rPr>
                <w:rFonts w:ascii="Times New Roman" w:eastAsia="Times New Roman" w:hAnsi="Times New Roman"/>
                <w:lang w:eastAsia="en-GB"/>
              </w:rPr>
            </w:pPr>
          </w:p>
        </w:tc>
        <w:tc>
          <w:tcPr>
            <w:tcW w:w="2730" w:type="dxa"/>
            <w:tcBorders>
              <w:top w:val="nil"/>
              <w:left w:val="nil"/>
              <w:bottom w:val="nil"/>
              <w:right w:val="nil"/>
            </w:tcBorders>
            <w:shd w:val="clear" w:color="auto" w:fill="auto"/>
            <w:noWrap/>
            <w:vAlign w:val="bottom"/>
          </w:tcPr>
          <w:p w14:paraId="01088144" w14:textId="77777777" w:rsidR="006911DE" w:rsidRPr="008D536F" w:rsidRDefault="006911DE" w:rsidP="006911DE">
            <w:pPr>
              <w:spacing w:after="0" w:line="240" w:lineRule="auto"/>
              <w:rPr>
                <w:rFonts w:ascii="Times New Roman" w:eastAsia="Times New Roman" w:hAnsi="Times New Roman"/>
                <w:lang w:eastAsia="en-GB"/>
              </w:rPr>
            </w:pPr>
          </w:p>
        </w:tc>
      </w:tr>
      <w:tr w:rsidR="006911DE" w:rsidRPr="008D536F" w14:paraId="432210A3" w14:textId="77777777" w:rsidTr="006911DE">
        <w:trPr>
          <w:trHeight w:val="300"/>
        </w:trPr>
        <w:tc>
          <w:tcPr>
            <w:tcW w:w="3774" w:type="dxa"/>
            <w:tcBorders>
              <w:top w:val="nil"/>
              <w:left w:val="nil"/>
              <w:bottom w:val="nil"/>
              <w:right w:val="nil"/>
            </w:tcBorders>
            <w:shd w:val="clear" w:color="auto" w:fill="auto"/>
            <w:noWrap/>
            <w:vAlign w:val="bottom"/>
          </w:tcPr>
          <w:p w14:paraId="24F55B5D" w14:textId="18FC46A7" w:rsidR="006911DE" w:rsidRPr="008D536F" w:rsidRDefault="006911DE" w:rsidP="006911DE">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 xml:space="preserve">TFV-DP concentrations </w:t>
            </w:r>
            <w:r w:rsidR="00521562" w:rsidRPr="008D536F">
              <w:rPr>
                <w:rFonts w:ascii="Times New Roman" w:eastAsia="Times New Roman" w:hAnsi="Times New Roman"/>
                <w:b/>
                <w:bCs/>
                <w:lang w:eastAsia="en-GB"/>
              </w:rPr>
              <w:t xml:space="preserve">at week 24 </w:t>
            </w:r>
            <w:r w:rsidRPr="008D536F">
              <w:rPr>
                <w:rFonts w:ascii="Times New Roman" w:hAnsi="Times New Roman"/>
                <w:b/>
                <w:bCs/>
              </w:rPr>
              <w:t>(</w:t>
            </w:r>
            <w:proofErr w:type="spellStart"/>
            <w:r w:rsidRPr="008D536F">
              <w:rPr>
                <w:rFonts w:ascii="Times New Roman" w:hAnsi="Times New Roman"/>
                <w:b/>
                <w:bCs/>
              </w:rPr>
              <w:t>fmol</w:t>
            </w:r>
            <w:proofErr w:type="spellEnd"/>
            <w:r w:rsidRPr="008D536F">
              <w:rPr>
                <w:rFonts w:ascii="Times New Roman" w:hAnsi="Times New Roman"/>
                <w:b/>
                <w:bCs/>
              </w:rPr>
              <w:t>/punch)**</w:t>
            </w:r>
          </w:p>
        </w:tc>
        <w:tc>
          <w:tcPr>
            <w:tcW w:w="2856" w:type="dxa"/>
            <w:tcBorders>
              <w:top w:val="nil"/>
              <w:left w:val="nil"/>
              <w:bottom w:val="nil"/>
              <w:right w:val="nil"/>
            </w:tcBorders>
            <w:shd w:val="clear" w:color="auto" w:fill="auto"/>
            <w:noWrap/>
            <w:vAlign w:val="bottom"/>
          </w:tcPr>
          <w:p w14:paraId="73BEBA6D" w14:textId="77777777" w:rsidR="006911DE" w:rsidRPr="008D536F" w:rsidRDefault="006911DE" w:rsidP="006911DE">
            <w:pPr>
              <w:spacing w:after="0" w:line="240" w:lineRule="auto"/>
              <w:rPr>
                <w:rFonts w:ascii="Times New Roman" w:eastAsia="Times New Roman" w:hAnsi="Times New Roman"/>
                <w:lang w:eastAsia="en-GB"/>
              </w:rPr>
            </w:pPr>
          </w:p>
        </w:tc>
        <w:tc>
          <w:tcPr>
            <w:tcW w:w="2730" w:type="dxa"/>
            <w:tcBorders>
              <w:top w:val="nil"/>
              <w:left w:val="nil"/>
              <w:bottom w:val="nil"/>
              <w:right w:val="nil"/>
            </w:tcBorders>
            <w:shd w:val="clear" w:color="auto" w:fill="auto"/>
            <w:noWrap/>
            <w:vAlign w:val="bottom"/>
          </w:tcPr>
          <w:p w14:paraId="7702D7EA" w14:textId="77777777" w:rsidR="006911DE" w:rsidRPr="008D536F" w:rsidRDefault="006911DE" w:rsidP="006911DE">
            <w:pPr>
              <w:spacing w:after="0" w:line="240" w:lineRule="auto"/>
              <w:rPr>
                <w:rFonts w:ascii="Times New Roman" w:eastAsia="Times New Roman" w:hAnsi="Times New Roman"/>
                <w:lang w:eastAsia="en-GB"/>
              </w:rPr>
            </w:pPr>
          </w:p>
        </w:tc>
      </w:tr>
      <w:tr w:rsidR="006911DE" w:rsidRPr="008D536F" w14:paraId="3EA67080" w14:textId="77777777" w:rsidTr="006911DE">
        <w:trPr>
          <w:trHeight w:val="300"/>
        </w:trPr>
        <w:tc>
          <w:tcPr>
            <w:tcW w:w="3774" w:type="dxa"/>
            <w:tcBorders>
              <w:top w:val="nil"/>
              <w:left w:val="nil"/>
              <w:bottom w:val="nil"/>
              <w:right w:val="nil"/>
            </w:tcBorders>
            <w:shd w:val="clear" w:color="auto" w:fill="auto"/>
            <w:noWrap/>
          </w:tcPr>
          <w:p w14:paraId="5CDAD932" w14:textId="1F1555A5"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&lt;350, n (%)</w:t>
            </w:r>
          </w:p>
        </w:tc>
        <w:tc>
          <w:tcPr>
            <w:tcW w:w="2856" w:type="dxa"/>
            <w:tcBorders>
              <w:top w:val="nil"/>
              <w:left w:val="nil"/>
              <w:bottom w:val="nil"/>
              <w:right w:val="nil"/>
            </w:tcBorders>
            <w:shd w:val="clear" w:color="auto" w:fill="auto"/>
            <w:noWrap/>
          </w:tcPr>
          <w:p w14:paraId="52CB34CC" w14:textId="72F69C06"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1/4</w:t>
            </w:r>
            <w:r w:rsidR="000934FE" w:rsidRPr="008D536F">
              <w:rPr>
                <w:rFonts w:ascii="Times New Roman" w:hAnsi="Times New Roman"/>
              </w:rPr>
              <w:t>2</w:t>
            </w:r>
            <w:r w:rsidRPr="008D536F">
              <w:rPr>
                <w:rFonts w:ascii="Times New Roman" w:hAnsi="Times New Roman"/>
              </w:rPr>
              <w:t xml:space="preserve"> (2%)</w:t>
            </w:r>
          </w:p>
        </w:tc>
        <w:tc>
          <w:tcPr>
            <w:tcW w:w="2730" w:type="dxa"/>
            <w:tcBorders>
              <w:top w:val="nil"/>
              <w:left w:val="nil"/>
              <w:bottom w:val="nil"/>
              <w:right w:val="nil"/>
            </w:tcBorders>
            <w:shd w:val="clear" w:color="auto" w:fill="auto"/>
            <w:noWrap/>
          </w:tcPr>
          <w:p w14:paraId="58B54F0C" w14:textId="7CDB1705"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1/</w:t>
            </w:r>
            <w:r w:rsidR="000934FE" w:rsidRPr="008D536F">
              <w:rPr>
                <w:rFonts w:ascii="Times New Roman" w:hAnsi="Times New Roman"/>
              </w:rPr>
              <w:t>7</w:t>
            </w:r>
            <w:r w:rsidRPr="008D536F">
              <w:rPr>
                <w:rFonts w:ascii="Times New Roman" w:hAnsi="Times New Roman"/>
              </w:rPr>
              <w:t xml:space="preserve"> (1</w:t>
            </w:r>
            <w:r w:rsidR="000934FE" w:rsidRPr="008D536F">
              <w:rPr>
                <w:rFonts w:ascii="Times New Roman" w:hAnsi="Times New Roman"/>
              </w:rPr>
              <w:t>4</w:t>
            </w:r>
            <w:r w:rsidRPr="008D536F">
              <w:rPr>
                <w:rFonts w:ascii="Times New Roman" w:hAnsi="Times New Roman"/>
              </w:rPr>
              <w:t>%)</w:t>
            </w:r>
          </w:p>
        </w:tc>
      </w:tr>
      <w:tr w:rsidR="006911DE" w:rsidRPr="008D536F" w14:paraId="43F09FD3" w14:textId="77777777" w:rsidTr="006911DE">
        <w:trPr>
          <w:trHeight w:val="300"/>
        </w:trPr>
        <w:tc>
          <w:tcPr>
            <w:tcW w:w="3774" w:type="dxa"/>
            <w:tcBorders>
              <w:top w:val="nil"/>
              <w:left w:val="nil"/>
              <w:bottom w:val="nil"/>
              <w:right w:val="nil"/>
            </w:tcBorders>
            <w:shd w:val="clear" w:color="auto" w:fill="auto"/>
            <w:noWrap/>
            <w:hideMark/>
          </w:tcPr>
          <w:p w14:paraId="30F9A876" w14:textId="10834D72"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350-700, n (%)</w:t>
            </w:r>
          </w:p>
        </w:tc>
        <w:tc>
          <w:tcPr>
            <w:tcW w:w="2856" w:type="dxa"/>
            <w:tcBorders>
              <w:top w:val="nil"/>
              <w:left w:val="nil"/>
              <w:bottom w:val="nil"/>
              <w:right w:val="nil"/>
            </w:tcBorders>
            <w:shd w:val="clear" w:color="auto" w:fill="auto"/>
            <w:noWrap/>
            <w:hideMark/>
          </w:tcPr>
          <w:p w14:paraId="74C0805E" w14:textId="33A63E90"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1/4</w:t>
            </w:r>
            <w:r w:rsidR="000934FE" w:rsidRPr="008D536F">
              <w:rPr>
                <w:rFonts w:ascii="Times New Roman" w:hAnsi="Times New Roman"/>
              </w:rPr>
              <w:t>2</w:t>
            </w:r>
            <w:r w:rsidRPr="008D536F">
              <w:rPr>
                <w:rFonts w:ascii="Times New Roman" w:hAnsi="Times New Roman"/>
              </w:rPr>
              <w:t xml:space="preserve"> (2%)</w:t>
            </w:r>
          </w:p>
        </w:tc>
        <w:tc>
          <w:tcPr>
            <w:tcW w:w="2730" w:type="dxa"/>
            <w:tcBorders>
              <w:top w:val="nil"/>
              <w:left w:val="nil"/>
              <w:bottom w:val="nil"/>
              <w:right w:val="nil"/>
            </w:tcBorders>
            <w:shd w:val="clear" w:color="auto" w:fill="auto"/>
            <w:noWrap/>
            <w:hideMark/>
          </w:tcPr>
          <w:p w14:paraId="18099D9F" w14:textId="5C1130F4"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0 /</w:t>
            </w:r>
            <w:r w:rsidR="002D521B" w:rsidRPr="008D536F">
              <w:rPr>
                <w:rFonts w:ascii="Times New Roman" w:hAnsi="Times New Roman"/>
              </w:rPr>
              <w:t>7</w:t>
            </w:r>
            <w:r w:rsidRPr="008D536F">
              <w:rPr>
                <w:rFonts w:ascii="Times New Roman" w:hAnsi="Times New Roman"/>
              </w:rPr>
              <w:t xml:space="preserve"> (0%)</w:t>
            </w:r>
          </w:p>
        </w:tc>
      </w:tr>
      <w:tr w:rsidR="006911DE" w:rsidRPr="008D536F" w14:paraId="0A9C3271" w14:textId="77777777" w:rsidTr="006911DE">
        <w:trPr>
          <w:trHeight w:val="300"/>
        </w:trPr>
        <w:tc>
          <w:tcPr>
            <w:tcW w:w="3774" w:type="dxa"/>
            <w:tcBorders>
              <w:top w:val="nil"/>
              <w:left w:val="nil"/>
              <w:bottom w:val="nil"/>
              <w:right w:val="nil"/>
            </w:tcBorders>
            <w:shd w:val="clear" w:color="auto" w:fill="auto"/>
            <w:noWrap/>
          </w:tcPr>
          <w:p w14:paraId="187A503E" w14:textId="183ED23A"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701-1250, n (%)</w:t>
            </w:r>
          </w:p>
        </w:tc>
        <w:tc>
          <w:tcPr>
            <w:tcW w:w="2856" w:type="dxa"/>
            <w:tcBorders>
              <w:top w:val="nil"/>
              <w:left w:val="nil"/>
              <w:bottom w:val="nil"/>
              <w:right w:val="nil"/>
            </w:tcBorders>
            <w:shd w:val="clear" w:color="auto" w:fill="auto"/>
            <w:noWrap/>
          </w:tcPr>
          <w:p w14:paraId="27650E4D" w14:textId="7BAED599"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17/4</w:t>
            </w:r>
            <w:r w:rsidR="000934FE" w:rsidRPr="008D536F">
              <w:rPr>
                <w:rFonts w:ascii="Times New Roman" w:hAnsi="Times New Roman"/>
              </w:rPr>
              <w:t>2</w:t>
            </w:r>
            <w:r w:rsidRPr="008D536F">
              <w:rPr>
                <w:rFonts w:ascii="Times New Roman" w:hAnsi="Times New Roman"/>
              </w:rPr>
              <w:t xml:space="preserve"> (4</w:t>
            </w:r>
            <w:r w:rsidR="000934FE" w:rsidRPr="008D536F">
              <w:rPr>
                <w:rFonts w:ascii="Times New Roman" w:hAnsi="Times New Roman"/>
              </w:rPr>
              <w:t>1</w:t>
            </w:r>
            <w:r w:rsidRPr="008D536F">
              <w:rPr>
                <w:rFonts w:ascii="Times New Roman" w:hAnsi="Times New Roman"/>
              </w:rPr>
              <w:t>%)</w:t>
            </w:r>
          </w:p>
        </w:tc>
        <w:tc>
          <w:tcPr>
            <w:tcW w:w="2730" w:type="dxa"/>
            <w:tcBorders>
              <w:top w:val="nil"/>
              <w:left w:val="nil"/>
              <w:bottom w:val="nil"/>
              <w:right w:val="nil"/>
            </w:tcBorders>
            <w:shd w:val="clear" w:color="auto" w:fill="auto"/>
            <w:noWrap/>
          </w:tcPr>
          <w:p w14:paraId="6AE26727" w14:textId="79FB3531"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1/</w:t>
            </w:r>
            <w:r w:rsidR="000934FE" w:rsidRPr="008D536F">
              <w:rPr>
                <w:rFonts w:ascii="Times New Roman" w:hAnsi="Times New Roman"/>
              </w:rPr>
              <w:t>7</w:t>
            </w:r>
            <w:r w:rsidRPr="008D536F">
              <w:rPr>
                <w:rFonts w:ascii="Times New Roman" w:hAnsi="Times New Roman"/>
              </w:rPr>
              <w:t xml:space="preserve"> (1</w:t>
            </w:r>
            <w:r w:rsidR="000934FE" w:rsidRPr="008D536F">
              <w:rPr>
                <w:rFonts w:ascii="Times New Roman" w:hAnsi="Times New Roman"/>
              </w:rPr>
              <w:t>4</w:t>
            </w:r>
            <w:r w:rsidRPr="008D536F">
              <w:rPr>
                <w:rFonts w:ascii="Times New Roman" w:hAnsi="Times New Roman"/>
              </w:rPr>
              <w:t>%)</w:t>
            </w:r>
          </w:p>
        </w:tc>
      </w:tr>
      <w:tr w:rsidR="006911DE" w:rsidRPr="008D536F" w14:paraId="0F4A1CBC" w14:textId="77777777" w:rsidTr="006911DE">
        <w:trPr>
          <w:trHeight w:val="300"/>
        </w:trPr>
        <w:tc>
          <w:tcPr>
            <w:tcW w:w="3774" w:type="dxa"/>
            <w:tcBorders>
              <w:top w:val="nil"/>
              <w:left w:val="nil"/>
              <w:bottom w:val="nil"/>
              <w:right w:val="nil"/>
            </w:tcBorders>
            <w:shd w:val="clear" w:color="auto" w:fill="auto"/>
            <w:noWrap/>
          </w:tcPr>
          <w:p w14:paraId="55B0B711" w14:textId="3D13BD4F"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&gt;1250, n (%)</w:t>
            </w:r>
          </w:p>
        </w:tc>
        <w:tc>
          <w:tcPr>
            <w:tcW w:w="2856" w:type="dxa"/>
            <w:tcBorders>
              <w:top w:val="nil"/>
              <w:left w:val="nil"/>
              <w:bottom w:val="nil"/>
              <w:right w:val="nil"/>
            </w:tcBorders>
            <w:shd w:val="clear" w:color="auto" w:fill="auto"/>
            <w:noWrap/>
          </w:tcPr>
          <w:p w14:paraId="776BDE77" w14:textId="45B33BE2"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hAnsi="Times New Roman"/>
              </w:rPr>
              <w:t>2</w:t>
            </w:r>
            <w:r w:rsidR="000934FE" w:rsidRPr="008D536F">
              <w:rPr>
                <w:rFonts w:ascii="Times New Roman" w:hAnsi="Times New Roman"/>
              </w:rPr>
              <w:t>3</w:t>
            </w:r>
            <w:r w:rsidRPr="008D536F">
              <w:rPr>
                <w:rFonts w:ascii="Times New Roman" w:hAnsi="Times New Roman"/>
              </w:rPr>
              <w:t>/4</w:t>
            </w:r>
            <w:r w:rsidR="000934FE" w:rsidRPr="008D536F">
              <w:rPr>
                <w:rFonts w:ascii="Times New Roman" w:hAnsi="Times New Roman"/>
              </w:rPr>
              <w:t>2</w:t>
            </w:r>
            <w:r w:rsidRPr="008D536F">
              <w:rPr>
                <w:rFonts w:ascii="Times New Roman" w:hAnsi="Times New Roman"/>
              </w:rPr>
              <w:t xml:space="preserve"> (5</w:t>
            </w:r>
            <w:r w:rsidR="000934FE" w:rsidRPr="008D536F">
              <w:rPr>
                <w:rFonts w:ascii="Times New Roman" w:hAnsi="Times New Roman"/>
              </w:rPr>
              <w:t>5</w:t>
            </w:r>
            <w:r w:rsidRPr="008D536F">
              <w:rPr>
                <w:rFonts w:ascii="Times New Roman" w:hAnsi="Times New Roman"/>
              </w:rPr>
              <w:t>%)</w:t>
            </w:r>
          </w:p>
        </w:tc>
        <w:tc>
          <w:tcPr>
            <w:tcW w:w="2730" w:type="dxa"/>
            <w:tcBorders>
              <w:top w:val="nil"/>
              <w:left w:val="nil"/>
              <w:bottom w:val="nil"/>
              <w:right w:val="nil"/>
            </w:tcBorders>
            <w:shd w:val="clear" w:color="auto" w:fill="auto"/>
            <w:noWrap/>
          </w:tcPr>
          <w:p w14:paraId="00426C87" w14:textId="7A8F94B8" w:rsidR="006911DE" w:rsidRPr="008D536F" w:rsidRDefault="000934FE" w:rsidP="006911DE">
            <w:pPr>
              <w:spacing w:after="0" w:line="240" w:lineRule="auto"/>
              <w:rPr>
                <w:rFonts w:ascii="Times New Roman" w:eastAsia="Times New Roman" w:hAnsi="Times New Roman"/>
                <w:lang w:eastAsia="en-GB"/>
              </w:rPr>
            </w:pPr>
            <w:r w:rsidRPr="008D536F">
              <w:rPr>
                <w:rFonts w:ascii="Times New Roman" w:hAnsi="Times New Roman"/>
              </w:rPr>
              <w:t>5</w:t>
            </w:r>
            <w:r w:rsidR="006911DE" w:rsidRPr="008D536F">
              <w:rPr>
                <w:rFonts w:ascii="Times New Roman" w:hAnsi="Times New Roman"/>
              </w:rPr>
              <w:t>/</w:t>
            </w:r>
            <w:r w:rsidRPr="008D536F">
              <w:rPr>
                <w:rFonts w:ascii="Times New Roman" w:hAnsi="Times New Roman"/>
              </w:rPr>
              <w:t>7</w:t>
            </w:r>
            <w:r w:rsidR="006911DE" w:rsidRPr="008D536F">
              <w:rPr>
                <w:rFonts w:ascii="Times New Roman" w:hAnsi="Times New Roman"/>
              </w:rPr>
              <w:t xml:space="preserve"> (</w:t>
            </w:r>
            <w:r w:rsidRPr="008D536F">
              <w:rPr>
                <w:rFonts w:ascii="Times New Roman" w:hAnsi="Times New Roman"/>
              </w:rPr>
              <w:t>71</w:t>
            </w:r>
            <w:r w:rsidR="006911DE" w:rsidRPr="008D536F">
              <w:rPr>
                <w:rFonts w:ascii="Times New Roman" w:hAnsi="Times New Roman"/>
              </w:rPr>
              <w:t>%)</w:t>
            </w:r>
          </w:p>
        </w:tc>
      </w:tr>
      <w:tr w:rsidR="006911DE" w:rsidRPr="008D536F" w14:paraId="56A13E9E" w14:textId="77777777" w:rsidTr="006911DE">
        <w:trPr>
          <w:trHeight w:val="300"/>
        </w:trPr>
        <w:tc>
          <w:tcPr>
            <w:tcW w:w="3774" w:type="dxa"/>
            <w:tcBorders>
              <w:top w:val="nil"/>
              <w:left w:val="nil"/>
              <w:bottom w:val="nil"/>
              <w:right w:val="nil"/>
            </w:tcBorders>
            <w:shd w:val="clear" w:color="auto" w:fill="auto"/>
            <w:noWrap/>
            <w:vAlign w:val="bottom"/>
          </w:tcPr>
          <w:p w14:paraId="53C044E3" w14:textId="77777777" w:rsidR="006911DE" w:rsidRPr="008D536F" w:rsidRDefault="006911DE" w:rsidP="006911DE">
            <w:pPr>
              <w:spacing w:after="0" w:line="240" w:lineRule="auto"/>
              <w:rPr>
                <w:rFonts w:ascii="Times New Roman" w:eastAsia="Times New Roman" w:hAnsi="Times New Roman"/>
                <w:lang w:eastAsia="en-GB"/>
              </w:rPr>
            </w:pPr>
          </w:p>
        </w:tc>
        <w:tc>
          <w:tcPr>
            <w:tcW w:w="2856" w:type="dxa"/>
            <w:tcBorders>
              <w:top w:val="nil"/>
              <w:left w:val="nil"/>
              <w:bottom w:val="nil"/>
              <w:right w:val="nil"/>
            </w:tcBorders>
            <w:shd w:val="clear" w:color="auto" w:fill="auto"/>
            <w:noWrap/>
            <w:vAlign w:val="bottom"/>
          </w:tcPr>
          <w:p w14:paraId="121F94B4" w14:textId="77777777" w:rsidR="006911DE" w:rsidRPr="008D536F" w:rsidRDefault="006911DE" w:rsidP="006911DE">
            <w:pPr>
              <w:spacing w:after="0" w:line="240" w:lineRule="auto"/>
              <w:rPr>
                <w:rFonts w:ascii="Times New Roman" w:eastAsia="Times New Roman" w:hAnsi="Times New Roman"/>
                <w:lang w:eastAsia="en-GB"/>
              </w:rPr>
            </w:pPr>
          </w:p>
        </w:tc>
        <w:tc>
          <w:tcPr>
            <w:tcW w:w="2730" w:type="dxa"/>
            <w:tcBorders>
              <w:top w:val="nil"/>
              <w:left w:val="nil"/>
              <w:bottom w:val="nil"/>
              <w:right w:val="nil"/>
            </w:tcBorders>
            <w:shd w:val="clear" w:color="auto" w:fill="auto"/>
            <w:noWrap/>
            <w:vAlign w:val="bottom"/>
          </w:tcPr>
          <w:p w14:paraId="609887DE" w14:textId="77777777" w:rsidR="006911DE" w:rsidRPr="008D536F" w:rsidRDefault="006911DE" w:rsidP="006911DE">
            <w:pPr>
              <w:spacing w:after="0" w:line="240" w:lineRule="auto"/>
              <w:rPr>
                <w:rFonts w:ascii="Times New Roman" w:eastAsia="Times New Roman" w:hAnsi="Times New Roman"/>
                <w:lang w:eastAsia="en-GB"/>
              </w:rPr>
            </w:pPr>
          </w:p>
        </w:tc>
      </w:tr>
      <w:tr w:rsidR="006911DE" w:rsidRPr="008D536F" w14:paraId="2FEBDF07" w14:textId="77777777" w:rsidTr="000B2BF5">
        <w:trPr>
          <w:trHeight w:val="300"/>
        </w:trPr>
        <w:tc>
          <w:tcPr>
            <w:tcW w:w="9360" w:type="dxa"/>
            <w:gridSpan w:val="3"/>
            <w:tcBorders>
              <w:top w:val="single" w:sz="4" w:space="0" w:color="auto"/>
              <w:left w:val="nil"/>
              <w:bottom w:val="single" w:sz="4" w:space="0" w:color="auto"/>
              <w:right w:val="nil"/>
            </w:tcBorders>
            <w:shd w:val="clear" w:color="auto" w:fill="auto"/>
            <w:noWrap/>
            <w:vAlign w:val="bottom"/>
            <w:hideMark/>
          </w:tcPr>
          <w:p w14:paraId="629B14B2" w14:textId="35FDABD8" w:rsidR="00357F16" w:rsidRPr="008D536F" w:rsidRDefault="00357F16" w:rsidP="00357F16">
            <w:pPr>
              <w:spacing w:after="0"/>
              <w:rPr>
                <w:rFonts w:ascii="Times New Roman" w:eastAsia="Times New Roman" w:hAnsi="Times New Roman"/>
                <w:i/>
                <w:iCs/>
                <w:lang w:eastAsia="en-GB"/>
              </w:rPr>
            </w:pPr>
            <w:r w:rsidRPr="008D536F">
              <w:rPr>
                <w:rFonts w:ascii="Times New Roman" w:eastAsia="Times New Roman" w:hAnsi="Times New Roman"/>
                <w:i/>
                <w:iCs/>
                <w:lang w:eastAsia="en-GB"/>
              </w:rPr>
              <w:t>ART (antiretroviral therapy),  VL (viral load), XTC (lamivudine or emtricitabine)</w:t>
            </w:r>
          </w:p>
          <w:p w14:paraId="54DA80A4" w14:textId="6EA50A75" w:rsidR="006911DE" w:rsidRPr="008D536F" w:rsidRDefault="006911DE" w:rsidP="006911DE">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t>
            </w:r>
            <w:r w:rsidR="009C626B"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Resistance classified using Stanford interpretation, where a score &lt;15 indicates susceptible or potential low-level resistance to a drug, and ≥15 indicate low-level, intermediate, or high-level resistance to a drug</w:t>
            </w:r>
            <w:r w:rsidR="00425CE1" w:rsidRPr="008D536F">
              <w:rPr>
                <w:rFonts w:ascii="Times New Roman" w:hAnsi="Times New Roman"/>
                <w:sz w:val="18"/>
                <w:szCs w:val="18"/>
              </w:rPr>
              <w:fldChar w:fldCharType="begin" w:fldLock="1"/>
            </w:r>
            <w:r w:rsidR="00E84532" w:rsidRPr="008D536F">
              <w:rPr>
                <w:rFonts w:ascii="Times New Roman" w:hAnsi="Times New Roman"/>
                <w:sz w:val="18"/>
                <w:szCs w:val="18"/>
              </w:rPr>
              <w:instrText>ADDIN CSL_CITATION {"citationItems":[{"id":"ITEM-1","itemData":{"URL":"https://hivdb.stanford.edu/page/release-notes/","abstract":"A curated database containing nearly all published HIV RT and protease sequences: a resource designed for researchers studying evolutionary and drug-related variation in the molecular targets of anti-HIV therapy.","accessed":{"date-parts":[["2020","9","4"]]},"author":[{"dropping-particle":"","family":"Stanford University","given":"","non-dropping-particle":"","parse-names":false,"suffix":""}],"container-title":"HIV Drug Resistance Database","id":"ITEM-1","issued":{"date-parts":[["2020"]]},"title":"DRM penalty scores and resistance interpretation","type":"webpage"},"uris":["http://www.mendeley.com/documents/?uuid=dbb0776a-41b2-4e89-a3f1-7c3515e2ade7"]}],"mendeley":{"formattedCitation":"&lt;sup&gt;3&lt;/sup&gt;","plainTextFormattedCitation":"3","previouslyFormattedCitation":"&lt;sup&gt;1&lt;/sup&gt;"},"properties":{"noteIndex":0},"schema":"https://github.com/citation-style-language/schema/raw/master/csl-citation.json"}</w:instrText>
            </w:r>
            <w:r w:rsidR="00425CE1" w:rsidRPr="008D536F">
              <w:rPr>
                <w:rFonts w:ascii="Times New Roman" w:hAnsi="Times New Roman"/>
                <w:sz w:val="18"/>
                <w:szCs w:val="18"/>
              </w:rPr>
              <w:fldChar w:fldCharType="separate"/>
            </w:r>
            <w:r w:rsidR="00E84532" w:rsidRPr="008D536F">
              <w:rPr>
                <w:rFonts w:ascii="Times New Roman" w:hAnsi="Times New Roman"/>
                <w:noProof/>
                <w:sz w:val="18"/>
                <w:szCs w:val="18"/>
                <w:vertAlign w:val="superscript"/>
              </w:rPr>
              <w:t>3</w:t>
            </w:r>
            <w:r w:rsidR="00425CE1" w:rsidRPr="008D536F">
              <w:rPr>
                <w:rFonts w:ascii="Times New Roman" w:hAnsi="Times New Roman"/>
                <w:sz w:val="18"/>
                <w:szCs w:val="18"/>
              </w:rPr>
              <w:fldChar w:fldCharType="end"/>
            </w:r>
          </w:p>
          <w:p w14:paraId="01302AF0" w14:textId="16922DFC" w:rsidR="006911DE" w:rsidRPr="008D536F" w:rsidRDefault="006911DE" w:rsidP="000934FE">
            <w:pPr>
              <w:spacing w:after="0" w:line="240" w:lineRule="auto"/>
              <w:rPr>
                <w:rFonts w:ascii="Times New Roman" w:hAnsi="Times New Roman"/>
              </w:rPr>
            </w:pPr>
            <w:r w:rsidRPr="008D536F">
              <w:rPr>
                <w:rFonts w:ascii="Times New Roman" w:eastAsia="Times New Roman" w:hAnsi="Times New Roman"/>
                <w:lang w:eastAsia="en-GB"/>
              </w:rPr>
              <w:t>**</w:t>
            </w:r>
            <w:r w:rsidR="00521562" w:rsidRPr="008D536F">
              <w:rPr>
                <w:rFonts w:ascii="Times New Roman" w:hAnsi="Times New Roman"/>
              </w:rPr>
              <w:t xml:space="preserve"> </w:t>
            </w:r>
            <w:r w:rsidR="009C626B" w:rsidRPr="008D536F">
              <w:rPr>
                <w:rFonts w:ascii="Times New Roman" w:hAnsi="Times New Roman"/>
              </w:rPr>
              <w:t>T</w:t>
            </w:r>
            <w:r w:rsidR="00521562" w:rsidRPr="008D536F">
              <w:rPr>
                <w:rFonts w:ascii="Times New Roman" w:hAnsi="Times New Roman"/>
              </w:rPr>
              <w:t xml:space="preserve">enofovir diphosphate (TFV-DP) concentration categorisation: </w:t>
            </w:r>
            <w:r w:rsidRPr="008D536F">
              <w:rPr>
                <w:rFonts w:ascii="Times New Roman" w:eastAsia="Times New Roman" w:hAnsi="Times New Roman"/>
                <w:color w:val="000000"/>
                <w:lang w:val="en-US"/>
              </w:rPr>
              <w:t>&lt;350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 </w:t>
            </w:r>
            <w:r w:rsidRPr="008D536F">
              <w:rPr>
                <w:rFonts w:ascii="Times New Roman" w:eastAsia="Times New Roman" w:hAnsi="Times New Roman"/>
                <w:color w:val="000000"/>
                <w:lang w:val="en-US"/>
              </w:rPr>
              <w:t>(equivalent of - men: &lt;1.2 doses per week</w:t>
            </w:r>
            <w:r w:rsidR="006C3C9A" w:rsidRPr="008D536F">
              <w:rPr>
                <w:rFonts w:ascii="Times New Roman" w:eastAsia="Times New Roman" w:hAnsi="Times New Roman"/>
                <w:color w:val="000000"/>
                <w:lang w:val="en-US"/>
              </w:rPr>
              <w:t xml:space="preserve"> and</w:t>
            </w:r>
            <w:r w:rsidRPr="008D536F">
              <w:rPr>
                <w:rFonts w:ascii="Times New Roman" w:eastAsia="Times New Roman" w:hAnsi="Times New Roman"/>
                <w:color w:val="000000"/>
                <w:lang w:val="en-US"/>
              </w:rPr>
              <w:t xml:space="preserve"> women: &lt;0.6 doses per week), 350-700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 (men: 1.2 - 3.2 doses per week</w:t>
            </w:r>
            <w:r w:rsidR="006C3C9A"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0.6 - 2.0 doses per week), </w:t>
            </w:r>
            <w:r w:rsidRPr="008D536F">
              <w:rPr>
                <w:rFonts w:ascii="Times New Roman" w:eastAsia="Times New Roman" w:hAnsi="Times New Roman"/>
                <w:color w:val="000000"/>
                <w:lang w:val="en-US"/>
              </w:rPr>
              <w:t>700-1250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w:t>
            </w:r>
            <w:r w:rsidRPr="008D536F">
              <w:rPr>
                <w:rFonts w:ascii="Times New Roman" w:eastAsia="Times New Roman" w:hAnsi="Times New Roman"/>
                <w:color w:val="000000"/>
                <w:lang w:val="en-US"/>
              </w:rPr>
              <w:t> </w:t>
            </w:r>
            <w:r w:rsidRPr="008D536F">
              <w:rPr>
                <w:rFonts w:ascii="Times New Roman" w:eastAsia="Times New Roman" w:hAnsi="Times New Roman"/>
                <w:color w:val="000000"/>
                <w:bdr w:val="none" w:sz="0" w:space="0" w:color="auto" w:frame="1"/>
                <w:shd w:val="clear" w:color="auto" w:fill="FFFFFF"/>
                <w:lang w:val="en-US"/>
              </w:rPr>
              <w:t>(men: 3.2-6 doses per week</w:t>
            </w:r>
            <w:r w:rsidR="006C3C9A"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2.0-5.3 doses per week) and </w:t>
            </w:r>
            <w:r w:rsidRPr="008D536F">
              <w:rPr>
                <w:rFonts w:ascii="Times New Roman" w:eastAsia="Times New Roman" w:hAnsi="Times New Roman"/>
                <w:color w:val="000000"/>
                <w:lang w:val="en-US"/>
              </w:rPr>
              <w:t xml:space="preserve">&gt; 1250 </w:t>
            </w:r>
            <w:proofErr w:type="spellStart"/>
            <w:r w:rsidRPr="008D536F">
              <w:rPr>
                <w:rFonts w:ascii="Times New Roman" w:eastAsia="Times New Roman" w:hAnsi="Times New Roman"/>
                <w:color w:val="000000"/>
                <w:lang w:val="en-US"/>
              </w:rPr>
              <w:t>fmol</w:t>
            </w:r>
            <w:proofErr w:type="spellEnd"/>
            <w:r w:rsidRPr="008D536F">
              <w:rPr>
                <w:rFonts w:ascii="Times New Roman" w:eastAsia="Times New Roman" w:hAnsi="Times New Roman"/>
                <w:color w:val="000000"/>
                <w:lang w:val="en-US"/>
              </w:rPr>
              <w:t>/punch </w:t>
            </w:r>
            <w:r w:rsidRPr="008D536F">
              <w:rPr>
                <w:rFonts w:ascii="Times New Roman" w:eastAsia="Times New Roman" w:hAnsi="Times New Roman"/>
                <w:color w:val="000000"/>
                <w:bdr w:val="none" w:sz="0" w:space="0" w:color="auto" w:frame="1"/>
                <w:shd w:val="clear" w:color="auto" w:fill="FFFFFF"/>
                <w:lang w:val="en-US"/>
              </w:rPr>
              <w:t>(men: &gt;6 doses per week</w:t>
            </w:r>
            <w:r w:rsidR="006C3C9A"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&gt;5.3 doses per week)</w:t>
            </w:r>
            <w:r w:rsidR="008E1AC0" w:rsidRPr="008D536F">
              <w:rPr>
                <w:rFonts w:ascii="Times New Roman" w:hAnsi="Times New Roman"/>
              </w:rPr>
              <w:fldChar w:fldCharType="begin" w:fldLock="1"/>
            </w:r>
            <w:r w:rsidR="00E84532" w:rsidRPr="008D536F">
              <w:rPr>
                <w:rFonts w:ascii="Times New Roman" w:hAnsi="Times New Roman"/>
              </w:rPr>
              <w:instrText>ADDIN CSL_CITATION {"citationItems":[{"id":"ITEM-1","itemData":{"author":[{"dropping-particle":"","family":"Anderson","given":"Peter L","non-dropping-particle":"","parse-names":false,"suffix":""},{"dropping-particle":"","family":"Liu","given":"Albert Y","non-dropping-particle":"","parse-names":false,"suffix":""},{"dropping-particle":"","family":"Castillo-mancilla","given":"Jose R","non-dropping-particle":"","parse-names":false,"suffix":""},{"dropping-particle":"","family":"Gardner","given":"Edward M","non-dropping-particle":"","parse-names":false,"suffix":""},{"dropping-particle":"","family":"Seifert","given":"Sharon M","non-dropping-particle":"","parse-names":false,"suffix":""},{"dropping-particle":"","family":"Mchugh","given":"Cricket","non-dropping-particle":"","parse-names":false,"suffix":""},{"dropping-particle":"","family":"Wagner","given":"Theresa","non-dropping-particle":"","parse-names":false,"suffix":""},{"dropping-particle":"","family":"Campbell","given":"Kayla","non-dropping-particle":"","parse-names":false,"suffix":""},{"dropping-particle":"","family":"Morrow","given":"Mary","non-dropping-particle":"","parse-names":false,"suffix":""},{"dropping-particle":"","family":"Ibrahim","given":"Mustafa","non-dropping-particle":"","parse-names":false,"suffix":""},{"dropping-particle":"","family":"Buchbinder","given":"Susan","non-dropping-particle":"","parse-names":false,"suffix":""},{"dropping-particle":"","family":"Bushman","given":"Lane R","non-dropping-particle":"","parse-names":false,"suffix":""},{"dropping-particle":"","family":"Kiser","given":"Jennifer J","non-dropping-particle":"","parse-names":false,"suffix":""},{"dropping-particle":"","family":"MaWhinney","given":"S","non-dropping-particle":"","parse-names":false,"suffix":""}],"container-title":"Antimicrobial Agents and Chemotherapy","id":"ITEM-1","issue":"1","issued":{"date-parts":[["2018"]]},"page":"1-13","title":"Intracellular Tenofovir-Diphosphate and Emtricitabine-Triphosphate in Dried Blood Spots following Directly Observed Therapy.","type":"article-journal","volume":"62"},"uris":["http://www.mendeley.com/documents/?uuid=cd1f611b-2aef-4ef0-87f6-08fa0d4f3900","http://www.mendeley.com/documents/?uuid=fee0e90a-709f-41be-a296-a0623a3ff6ca"]}],"mendeley":{"formattedCitation":"&lt;sup&gt;4&lt;/sup&gt;","plainTextFormattedCitation":"4","previouslyFormattedCitation":"&lt;sup&gt;2&lt;/sup&gt;"},"properties":{"noteIndex":0},"schema":"https://github.com/citation-style-language/schema/raw/master/csl-citation.json"}</w:instrText>
            </w:r>
            <w:r w:rsidR="008E1AC0" w:rsidRPr="008D536F">
              <w:rPr>
                <w:rFonts w:ascii="Times New Roman" w:hAnsi="Times New Roman"/>
              </w:rPr>
              <w:fldChar w:fldCharType="separate"/>
            </w:r>
            <w:r w:rsidR="00E84532" w:rsidRPr="008D536F">
              <w:rPr>
                <w:rFonts w:ascii="Times New Roman" w:hAnsi="Times New Roman"/>
                <w:noProof/>
                <w:vertAlign w:val="superscript"/>
              </w:rPr>
              <w:t>4</w:t>
            </w:r>
            <w:r w:rsidR="008E1AC0" w:rsidRPr="008D536F">
              <w:rPr>
                <w:rFonts w:ascii="Times New Roman" w:hAnsi="Times New Roman"/>
              </w:rPr>
              <w:fldChar w:fldCharType="end"/>
            </w:r>
            <w:r w:rsidRPr="008D536F">
              <w:rPr>
                <w:rFonts w:ascii="Times New Roman" w:hAnsi="Times New Roman"/>
              </w:rPr>
              <w:t>.</w:t>
            </w:r>
          </w:p>
        </w:tc>
      </w:tr>
    </w:tbl>
    <w:p w14:paraId="520F5C54" w14:textId="3DA85669" w:rsidR="00F449BE" w:rsidRPr="008D536F" w:rsidRDefault="00F449BE">
      <w:pPr>
        <w:spacing w:after="160" w:line="259" w:lineRule="auto"/>
        <w:rPr>
          <w:rFonts w:ascii="Times New Roman" w:hAnsi="Times New Roman"/>
        </w:rPr>
      </w:pPr>
    </w:p>
    <w:p w14:paraId="47DA6D9F" w14:textId="7DF98183" w:rsidR="006B1240" w:rsidRPr="008D536F" w:rsidRDefault="006B1240">
      <w:pPr>
        <w:spacing w:after="160" w:line="259" w:lineRule="auto"/>
        <w:rPr>
          <w:rFonts w:ascii="Times New Roman" w:hAnsi="Times New Roman"/>
        </w:rPr>
      </w:pPr>
      <w:r w:rsidRPr="008D536F">
        <w:rPr>
          <w:rFonts w:ascii="Times New Roman" w:hAnsi="Times New Roman"/>
        </w:rPr>
        <w:lastRenderedPageBreak/>
        <w:t>Table</w:t>
      </w:r>
      <w:r w:rsidR="002252E1" w:rsidRPr="008D536F">
        <w:rPr>
          <w:rFonts w:ascii="Times New Roman" w:hAnsi="Times New Roman"/>
        </w:rPr>
        <w:t xml:space="preserve"> 6. Characteristics by </w:t>
      </w:r>
      <w:r w:rsidR="00422D25" w:rsidRPr="008D536F">
        <w:rPr>
          <w:rFonts w:ascii="Times New Roman" w:hAnsi="Times New Roman"/>
        </w:rPr>
        <w:t>viral load &lt;</w:t>
      </w:r>
      <w:r w:rsidR="004E58CB" w:rsidRPr="008D536F">
        <w:rPr>
          <w:rFonts w:ascii="Times New Roman" w:hAnsi="Times New Roman"/>
        </w:rPr>
        <w:t>40</w:t>
      </w:r>
      <w:r w:rsidR="002252E1" w:rsidRPr="008D536F">
        <w:rPr>
          <w:rFonts w:ascii="Times New Roman" w:hAnsi="Times New Roman"/>
        </w:rPr>
        <w:t>0 copies/mL at week 24 (m</w:t>
      </w:r>
      <w:r w:rsidR="00983A78" w:rsidRPr="008D536F">
        <w:rPr>
          <w:rFonts w:ascii="Times New Roman" w:hAnsi="Times New Roman"/>
        </w:rPr>
        <w:t xml:space="preserve">odified intention-to-treat </w:t>
      </w:r>
      <w:r w:rsidR="002252E1" w:rsidRPr="008D536F">
        <w:rPr>
          <w:rFonts w:ascii="Times New Roman" w:hAnsi="Times New Roman"/>
        </w:rPr>
        <w:t>analysis, n=60)</w:t>
      </w:r>
    </w:p>
    <w:tbl>
      <w:tblPr>
        <w:tblW w:w="9026" w:type="dxa"/>
        <w:tblLook w:val="04A0" w:firstRow="1" w:lastRow="0" w:firstColumn="1" w:lastColumn="0" w:noHBand="0" w:noVBand="1"/>
      </w:tblPr>
      <w:tblGrid>
        <w:gridCol w:w="3923"/>
        <w:gridCol w:w="2635"/>
        <w:gridCol w:w="2468"/>
      </w:tblGrid>
      <w:tr w:rsidR="00724315" w:rsidRPr="008D536F" w14:paraId="038846B5" w14:textId="77777777" w:rsidTr="00261C91">
        <w:trPr>
          <w:trHeight w:val="300"/>
        </w:trPr>
        <w:tc>
          <w:tcPr>
            <w:tcW w:w="3923" w:type="dxa"/>
            <w:tcBorders>
              <w:top w:val="single" w:sz="4" w:space="0" w:color="auto"/>
              <w:left w:val="nil"/>
              <w:bottom w:val="nil"/>
              <w:right w:val="nil"/>
            </w:tcBorders>
            <w:shd w:val="clear" w:color="auto" w:fill="auto"/>
            <w:noWrap/>
            <w:vAlign w:val="bottom"/>
            <w:hideMark/>
          </w:tcPr>
          <w:p w14:paraId="090245CC"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c>
          <w:tcPr>
            <w:tcW w:w="2635" w:type="dxa"/>
            <w:tcBorders>
              <w:top w:val="single" w:sz="4" w:space="0" w:color="auto"/>
              <w:left w:val="nil"/>
              <w:bottom w:val="nil"/>
              <w:right w:val="nil"/>
            </w:tcBorders>
            <w:shd w:val="clear" w:color="auto" w:fill="auto"/>
            <w:noWrap/>
            <w:vAlign w:val="bottom"/>
            <w:hideMark/>
          </w:tcPr>
          <w:p w14:paraId="72376C1A" w14:textId="77777777" w:rsidR="00D150BC"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Success at week 24 (VL&lt;400 copies/mL) </w:t>
            </w:r>
          </w:p>
          <w:p w14:paraId="373C461A" w14:textId="284ECDBC"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(n=57)</w:t>
            </w:r>
          </w:p>
        </w:tc>
        <w:tc>
          <w:tcPr>
            <w:tcW w:w="2468" w:type="dxa"/>
            <w:tcBorders>
              <w:top w:val="single" w:sz="4" w:space="0" w:color="auto"/>
              <w:left w:val="nil"/>
              <w:bottom w:val="nil"/>
              <w:right w:val="nil"/>
            </w:tcBorders>
            <w:shd w:val="clear" w:color="auto" w:fill="auto"/>
            <w:noWrap/>
            <w:vAlign w:val="bottom"/>
            <w:hideMark/>
          </w:tcPr>
          <w:p w14:paraId="502EA3CD" w14:textId="77777777" w:rsidR="00D150BC"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Failure at week 24 </w:t>
            </w:r>
          </w:p>
          <w:p w14:paraId="1E5A269E" w14:textId="5B6BC342"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(VL not&lt;</w:t>
            </w:r>
            <w:r w:rsidR="00AC55FE" w:rsidRPr="008D536F">
              <w:rPr>
                <w:rFonts w:ascii="Times New Roman" w:eastAsia="Times New Roman" w:hAnsi="Times New Roman"/>
                <w:lang w:eastAsia="en-GB"/>
              </w:rPr>
              <w:t>40</w:t>
            </w:r>
            <w:r w:rsidRPr="008D536F">
              <w:rPr>
                <w:rFonts w:ascii="Times New Roman" w:eastAsia="Times New Roman" w:hAnsi="Times New Roman"/>
                <w:lang w:eastAsia="en-GB"/>
              </w:rPr>
              <w:t>0 copies/mL) (n=3)</w:t>
            </w:r>
          </w:p>
        </w:tc>
      </w:tr>
      <w:tr w:rsidR="00724315" w:rsidRPr="008D536F" w14:paraId="552A3B10" w14:textId="77777777" w:rsidTr="00261C91">
        <w:trPr>
          <w:trHeight w:val="300"/>
        </w:trPr>
        <w:tc>
          <w:tcPr>
            <w:tcW w:w="3923" w:type="dxa"/>
            <w:tcBorders>
              <w:top w:val="single" w:sz="4" w:space="0" w:color="auto"/>
              <w:left w:val="nil"/>
              <w:bottom w:val="nil"/>
              <w:right w:val="nil"/>
            </w:tcBorders>
            <w:shd w:val="clear" w:color="auto" w:fill="auto"/>
            <w:noWrap/>
            <w:vAlign w:val="bottom"/>
            <w:hideMark/>
          </w:tcPr>
          <w:p w14:paraId="1E0D2FEC"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c>
          <w:tcPr>
            <w:tcW w:w="2635" w:type="dxa"/>
            <w:tcBorders>
              <w:top w:val="single" w:sz="4" w:space="0" w:color="auto"/>
              <w:left w:val="nil"/>
              <w:bottom w:val="nil"/>
              <w:right w:val="nil"/>
            </w:tcBorders>
            <w:shd w:val="clear" w:color="auto" w:fill="auto"/>
            <w:noWrap/>
            <w:vAlign w:val="bottom"/>
            <w:hideMark/>
          </w:tcPr>
          <w:p w14:paraId="7AF443FA"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c>
          <w:tcPr>
            <w:tcW w:w="2468" w:type="dxa"/>
            <w:tcBorders>
              <w:top w:val="single" w:sz="4" w:space="0" w:color="auto"/>
              <w:left w:val="nil"/>
              <w:bottom w:val="nil"/>
              <w:right w:val="nil"/>
            </w:tcBorders>
            <w:shd w:val="clear" w:color="auto" w:fill="auto"/>
            <w:noWrap/>
            <w:vAlign w:val="bottom"/>
            <w:hideMark/>
          </w:tcPr>
          <w:p w14:paraId="07E0C675"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r>
      <w:tr w:rsidR="008C2493" w:rsidRPr="008D536F" w14:paraId="4AC461BF" w14:textId="77777777" w:rsidTr="00261C91">
        <w:trPr>
          <w:trHeight w:val="300"/>
        </w:trPr>
        <w:tc>
          <w:tcPr>
            <w:tcW w:w="3923" w:type="dxa"/>
            <w:tcBorders>
              <w:top w:val="nil"/>
              <w:left w:val="nil"/>
              <w:bottom w:val="nil"/>
              <w:right w:val="nil"/>
            </w:tcBorders>
            <w:shd w:val="clear" w:color="auto" w:fill="auto"/>
            <w:noWrap/>
            <w:vAlign w:val="bottom"/>
            <w:hideMark/>
          </w:tcPr>
          <w:p w14:paraId="5028B65E" w14:textId="009611B0" w:rsidR="008C2493" w:rsidRPr="008D536F" w:rsidRDefault="008C2493" w:rsidP="008C2493">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Participant characteristics</w:t>
            </w:r>
          </w:p>
        </w:tc>
        <w:tc>
          <w:tcPr>
            <w:tcW w:w="2635" w:type="dxa"/>
            <w:tcBorders>
              <w:top w:val="nil"/>
              <w:left w:val="nil"/>
              <w:bottom w:val="nil"/>
              <w:right w:val="nil"/>
            </w:tcBorders>
            <w:shd w:val="clear" w:color="auto" w:fill="auto"/>
            <w:noWrap/>
            <w:vAlign w:val="bottom"/>
            <w:hideMark/>
          </w:tcPr>
          <w:p w14:paraId="44E92105" w14:textId="77777777" w:rsidR="008C2493" w:rsidRPr="008D536F" w:rsidRDefault="008C2493" w:rsidP="008C2493">
            <w:pPr>
              <w:spacing w:after="0" w:line="240" w:lineRule="auto"/>
              <w:rPr>
                <w:rFonts w:ascii="Times New Roman" w:eastAsia="Times New Roman" w:hAnsi="Times New Roman"/>
                <w:b/>
                <w:bCs/>
                <w:lang w:eastAsia="en-GB"/>
              </w:rPr>
            </w:pPr>
          </w:p>
        </w:tc>
        <w:tc>
          <w:tcPr>
            <w:tcW w:w="2468" w:type="dxa"/>
            <w:tcBorders>
              <w:top w:val="nil"/>
              <w:left w:val="nil"/>
              <w:bottom w:val="nil"/>
              <w:right w:val="nil"/>
            </w:tcBorders>
            <w:shd w:val="clear" w:color="auto" w:fill="auto"/>
            <w:noWrap/>
            <w:vAlign w:val="bottom"/>
            <w:hideMark/>
          </w:tcPr>
          <w:p w14:paraId="3EA493BC" w14:textId="77777777" w:rsidR="008C2493" w:rsidRPr="008D536F" w:rsidRDefault="008C2493" w:rsidP="008C2493">
            <w:pPr>
              <w:spacing w:after="0" w:line="240" w:lineRule="auto"/>
              <w:rPr>
                <w:rFonts w:ascii="Times New Roman" w:eastAsia="Times New Roman" w:hAnsi="Times New Roman"/>
                <w:sz w:val="20"/>
                <w:szCs w:val="20"/>
                <w:lang w:eastAsia="en-GB"/>
              </w:rPr>
            </w:pPr>
          </w:p>
        </w:tc>
      </w:tr>
      <w:tr w:rsidR="008C2493" w:rsidRPr="008D536F" w14:paraId="40FD7D0E" w14:textId="77777777" w:rsidTr="00261C91">
        <w:trPr>
          <w:trHeight w:val="300"/>
        </w:trPr>
        <w:tc>
          <w:tcPr>
            <w:tcW w:w="3923" w:type="dxa"/>
            <w:tcBorders>
              <w:top w:val="nil"/>
              <w:left w:val="nil"/>
              <w:bottom w:val="nil"/>
              <w:right w:val="nil"/>
            </w:tcBorders>
            <w:shd w:val="clear" w:color="auto" w:fill="auto"/>
            <w:noWrap/>
            <w:vAlign w:val="bottom"/>
            <w:hideMark/>
          </w:tcPr>
          <w:p w14:paraId="6AE6BD0B" w14:textId="31C393BD"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Female, (n/%)</w:t>
            </w:r>
          </w:p>
        </w:tc>
        <w:tc>
          <w:tcPr>
            <w:tcW w:w="2635" w:type="dxa"/>
            <w:tcBorders>
              <w:top w:val="nil"/>
              <w:left w:val="nil"/>
              <w:bottom w:val="nil"/>
              <w:right w:val="nil"/>
            </w:tcBorders>
            <w:shd w:val="clear" w:color="auto" w:fill="auto"/>
            <w:noWrap/>
            <w:vAlign w:val="bottom"/>
            <w:hideMark/>
          </w:tcPr>
          <w:p w14:paraId="30EF34FA"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39 (68)</w:t>
            </w:r>
          </w:p>
        </w:tc>
        <w:tc>
          <w:tcPr>
            <w:tcW w:w="2468" w:type="dxa"/>
            <w:tcBorders>
              <w:top w:val="nil"/>
              <w:left w:val="nil"/>
              <w:bottom w:val="nil"/>
              <w:right w:val="nil"/>
            </w:tcBorders>
            <w:shd w:val="clear" w:color="auto" w:fill="auto"/>
            <w:noWrap/>
            <w:vAlign w:val="bottom"/>
            <w:hideMark/>
          </w:tcPr>
          <w:p w14:paraId="63D01689"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 (100)</w:t>
            </w:r>
          </w:p>
        </w:tc>
      </w:tr>
      <w:tr w:rsidR="008C2493" w:rsidRPr="008D536F" w14:paraId="2F11C113" w14:textId="77777777" w:rsidTr="00261C91">
        <w:trPr>
          <w:trHeight w:val="300"/>
        </w:trPr>
        <w:tc>
          <w:tcPr>
            <w:tcW w:w="3923" w:type="dxa"/>
            <w:tcBorders>
              <w:top w:val="nil"/>
              <w:left w:val="nil"/>
              <w:bottom w:val="nil"/>
              <w:right w:val="nil"/>
            </w:tcBorders>
            <w:shd w:val="clear" w:color="auto" w:fill="auto"/>
            <w:noWrap/>
            <w:vAlign w:val="bottom"/>
            <w:hideMark/>
          </w:tcPr>
          <w:p w14:paraId="57B36284" w14:textId="35D11858"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Age in years, (median/IQR)</w:t>
            </w:r>
          </w:p>
        </w:tc>
        <w:tc>
          <w:tcPr>
            <w:tcW w:w="2635" w:type="dxa"/>
            <w:tcBorders>
              <w:top w:val="nil"/>
              <w:left w:val="nil"/>
              <w:bottom w:val="nil"/>
              <w:right w:val="nil"/>
            </w:tcBorders>
            <w:shd w:val="clear" w:color="auto" w:fill="auto"/>
            <w:noWrap/>
            <w:vAlign w:val="bottom"/>
            <w:hideMark/>
          </w:tcPr>
          <w:p w14:paraId="17D75964"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37 (31-46)</w:t>
            </w:r>
          </w:p>
        </w:tc>
        <w:tc>
          <w:tcPr>
            <w:tcW w:w="2468" w:type="dxa"/>
            <w:tcBorders>
              <w:top w:val="nil"/>
              <w:left w:val="nil"/>
              <w:bottom w:val="nil"/>
              <w:right w:val="nil"/>
            </w:tcBorders>
            <w:shd w:val="clear" w:color="auto" w:fill="auto"/>
            <w:noWrap/>
            <w:vAlign w:val="bottom"/>
            <w:hideMark/>
          </w:tcPr>
          <w:p w14:paraId="3B8D1956"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34 (28-51)</w:t>
            </w:r>
          </w:p>
        </w:tc>
      </w:tr>
      <w:tr w:rsidR="00724315" w:rsidRPr="008D536F" w14:paraId="1DE84C15" w14:textId="77777777" w:rsidTr="00261C91">
        <w:trPr>
          <w:trHeight w:val="300"/>
        </w:trPr>
        <w:tc>
          <w:tcPr>
            <w:tcW w:w="3923" w:type="dxa"/>
            <w:tcBorders>
              <w:top w:val="nil"/>
              <w:left w:val="nil"/>
              <w:bottom w:val="nil"/>
              <w:right w:val="nil"/>
            </w:tcBorders>
            <w:shd w:val="clear" w:color="auto" w:fill="auto"/>
            <w:noWrap/>
            <w:vAlign w:val="bottom"/>
            <w:hideMark/>
          </w:tcPr>
          <w:p w14:paraId="5728BEA8" w14:textId="77777777" w:rsidR="00724315" w:rsidRPr="008D536F" w:rsidRDefault="00724315" w:rsidP="00261C91">
            <w:pPr>
              <w:spacing w:after="0" w:line="240" w:lineRule="auto"/>
              <w:rPr>
                <w:rFonts w:ascii="Times New Roman" w:eastAsia="Times New Roman" w:hAnsi="Times New Roman"/>
                <w:lang w:eastAsia="en-GB"/>
              </w:rPr>
            </w:pPr>
          </w:p>
        </w:tc>
        <w:tc>
          <w:tcPr>
            <w:tcW w:w="2635" w:type="dxa"/>
            <w:tcBorders>
              <w:top w:val="nil"/>
              <w:left w:val="nil"/>
              <w:bottom w:val="nil"/>
              <w:right w:val="nil"/>
            </w:tcBorders>
            <w:shd w:val="clear" w:color="auto" w:fill="auto"/>
            <w:noWrap/>
            <w:vAlign w:val="bottom"/>
            <w:hideMark/>
          </w:tcPr>
          <w:p w14:paraId="51271B2E" w14:textId="77777777" w:rsidR="00724315" w:rsidRPr="008D536F" w:rsidRDefault="00724315" w:rsidP="00261C91">
            <w:pPr>
              <w:spacing w:after="0" w:line="240" w:lineRule="auto"/>
              <w:rPr>
                <w:rFonts w:ascii="Times New Roman" w:eastAsia="Times New Roman" w:hAnsi="Times New Roman"/>
                <w:sz w:val="20"/>
                <w:szCs w:val="20"/>
                <w:lang w:eastAsia="en-GB"/>
              </w:rPr>
            </w:pPr>
          </w:p>
        </w:tc>
        <w:tc>
          <w:tcPr>
            <w:tcW w:w="2468" w:type="dxa"/>
            <w:tcBorders>
              <w:top w:val="nil"/>
              <w:left w:val="nil"/>
              <w:bottom w:val="nil"/>
              <w:right w:val="nil"/>
            </w:tcBorders>
            <w:shd w:val="clear" w:color="auto" w:fill="auto"/>
            <w:noWrap/>
            <w:vAlign w:val="bottom"/>
            <w:hideMark/>
          </w:tcPr>
          <w:p w14:paraId="644A9FFB" w14:textId="77777777" w:rsidR="00724315" w:rsidRPr="008D536F" w:rsidRDefault="00724315" w:rsidP="00261C91">
            <w:pPr>
              <w:spacing w:after="0" w:line="240" w:lineRule="auto"/>
              <w:rPr>
                <w:rFonts w:ascii="Times New Roman" w:eastAsia="Times New Roman" w:hAnsi="Times New Roman"/>
                <w:sz w:val="20"/>
                <w:szCs w:val="20"/>
                <w:lang w:eastAsia="en-GB"/>
              </w:rPr>
            </w:pPr>
          </w:p>
        </w:tc>
      </w:tr>
      <w:tr w:rsidR="008C2493" w:rsidRPr="008D536F" w14:paraId="0B749758" w14:textId="77777777" w:rsidTr="00261C91">
        <w:trPr>
          <w:trHeight w:val="300"/>
        </w:trPr>
        <w:tc>
          <w:tcPr>
            <w:tcW w:w="3923" w:type="dxa"/>
            <w:tcBorders>
              <w:top w:val="nil"/>
              <w:left w:val="nil"/>
              <w:bottom w:val="nil"/>
              <w:right w:val="nil"/>
            </w:tcBorders>
            <w:shd w:val="clear" w:color="auto" w:fill="auto"/>
            <w:noWrap/>
            <w:vAlign w:val="bottom"/>
            <w:hideMark/>
          </w:tcPr>
          <w:p w14:paraId="73BB8AAE" w14:textId="66030DF2" w:rsidR="008C2493" w:rsidRPr="008D536F" w:rsidRDefault="008C2493" w:rsidP="008C2493">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Baseline HIV characteristics</w:t>
            </w:r>
          </w:p>
        </w:tc>
        <w:tc>
          <w:tcPr>
            <w:tcW w:w="2635" w:type="dxa"/>
            <w:tcBorders>
              <w:top w:val="nil"/>
              <w:left w:val="nil"/>
              <w:bottom w:val="nil"/>
              <w:right w:val="nil"/>
            </w:tcBorders>
            <w:shd w:val="clear" w:color="auto" w:fill="auto"/>
            <w:noWrap/>
            <w:vAlign w:val="bottom"/>
            <w:hideMark/>
          </w:tcPr>
          <w:p w14:paraId="7CC4393B" w14:textId="77777777" w:rsidR="008C2493" w:rsidRPr="008D536F" w:rsidRDefault="008C2493" w:rsidP="008C2493">
            <w:pPr>
              <w:spacing w:after="0" w:line="240" w:lineRule="auto"/>
              <w:rPr>
                <w:rFonts w:ascii="Times New Roman" w:eastAsia="Times New Roman" w:hAnsi="Times New Roman"/>
                <w:b/>
                <w:bCs/>
                <w:lang w:eastAsia="en-GB"/>
              </w:rPr>
            </w:pPr>
          </w:p>
        </w:tc>
        <w:tc>
          <w:tcPr>
            <w:tcW w:w="2468" w:type="dxa"/>
            <w:tcBorders>
              <w:top w:val="nil"/>
              <w:left w:val="nil"/>
              <w:bottom w:val="nil"/>
              <w:right w:val="nil"/>
            </w:tcBorders>
            <w:shd w:val="clear" w:color="auto" w:fill="auto"/>
            <w:noWrap/>
            <w:vAlign w:val="bottom"/>
            <w:hideMark/>
          </w:tcPr>
          <w:p w14:paraId="0ED48EBD" w14:textId="77777777" w:rsidR="008C2493" w:rsidRPr="008D536F" w:rsidRDefault="008C2493" w:rsidP="008C2493">
            <w:pPr>
              <w:spacing w:after="0" w:line="240" w:lineRule="auto"/>
              <w:rPr>
                <w:rFonts w:ascii="Times New Roman" w:eastAsia="Times New Roman" w:hAnsi="Times New Roman"/>
                <w:sz w:val="20"/>
                <w:szCs w:val="20"/>
                <w:lang w:eastAsia="en-GB"/>
              </w:rPr>
            </w:pPr>
          </w:p>
        </w:tc>
      </w:tr>
      <w:tr w:rsidR="008C2493" w:rsidRPr="008D536F" w14:paraId="1B0404A9" w14:textId="77777777" w:rsidTr="00261C91">
        <w:trPr>
          <w:trHeight w:val="300"/>
        </w:trPr>
        <w:tc>
          <w:tcPr>
            <w:tcW w:w="3923" w:type="dxa"/>
            <w:tcBorders>
              <w:top w:val="nil"/>
              <w:left w:val="nil"/>
              <w:bottom w:val="nil"/>
              <w:right w:val="nil"/>
            </w:tcBorders>
            <w:shd w:val="clear" w:color="auto" w:fill="auto"/>
            <w:noWrap/>
            <w:vAlign w:val="bottom"/>
            <w:hideMark/>
          </w:tcPr>
          <w:p w14:paraId="12DEC4AB" w14:textId="580499F5"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CD4 count in cells/mm3 (median/IQR)</w:t>
            </w:r>
          </w:p>
        </w:tc>
        <w:tc>
          <w:tcPr>
            <w:tcW w:w="2635" w:type="dxa"/>
            <w:tcBorders>
              <w:top w:val="nil"/>
              <w:left w:val="nil"/>
              <w:bottom w:val="nil"/>
              <w:right w:val="nil"/>
            </w:tcBorders>
            <w:shd w:val="clear" w:color="auto" w:fill="auto"/>
            <w:noWrap/>
            <w:vAlign w:val="bottom"/>
            <w:hideMark/>
          </w:tcPr>
          <w:p w14:paraId="072B825B"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263 (175-349)</w:t>
            </w:r>
          </w:p>
        </w:tc>
        <w:tc>
          <w:tcPr>
            <w:tcW w:w="2468" w:type="dxa"/>
            <w:tcBorders>
              <w:top w:val="nil"/>
              <w:left w:val="nil"/>
              <w:bottom w:val="nil"/>
              <w:right w:val="nil"/>
            </w:tcBorders>
            <w:shd w:val="clear" w:color="auto" w:fill="auto"/>
            <w:noWrap/>
            <w:vAlign w:val="bottom"/>
            <w:hideMark/>
          </w:tcPr>
          <w:p w14:paraId="2B34934F"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189 (110-241)</w:t>
            </w:r>
          </w:p>
        </w:tc>
      </w:tr>
      <w:tr w:rsidR="008C2493" w:rsidRPr="008D536F" w14:paraId="74100B5F" w14:textId="77777777" w:rsidTr="00261C91">
        <w:trPr>
          <w:trHeight w:val="300"/>
        </w:trPr>
        <w:tc>
          <w:tcPr>
            <w:tcW w:w="3923" w:type="dxa"/>
            <w:tcBorders>
              <w:top w:val="nil"/>
              <w:left w:val="nil"/>
              <w:bottom w:val="nil"/>
              <w:right w:val="nil"/>
            </w:tcBorders>
            <w:shd w:val="clear" w:color="auto" w:fill="auto"/>
            <w:noWrap/>
            <w:vAlign w:val="bottom"/>
            <w:hideMark/>
          </w:tcPr>
          <w:p w14:paraId="04337B66" w14:textId="00E8AC95"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Viral load in copies/mL (median/IQR)</w:t>
            </w:r>
          </w:p>
        </w:tc>
        <w:tc>
          <w:tcPr>
            <w:tcW w:w="2635" w:type="dxa"/>
            <w:tcBorders>
              <w:top w:val="nil"/>
              <w:left w:val="nil"/>
              <w:bottom w:val="nil"/>
              <w:right w:val="nil"/>
            </w:tcBorders>
            <w:shd w:val="clear" w:color="auto" w:fill="auto"/>
            <w:noWrap/>
            <w:vAlign w:val="bottom"/>
            <w:hideMark/>
          </w:tcPr>
          <w:p w14:paraId="4611ADC7" w14:textId="413750C3"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9 190 (2 827-24 971)</w:t>
            </w:r>
          </w:p>
        </w:tc>
        <w:tc>
          <w:tcPr>
            <w:tcW w:w="2468" w:type="dxa"/>
            <w:tcBorders>
              <w:top w:val="nil"/>
              <w:left w:val="nil"/>
              <w:bottom w:val="nil"/>
              <w:right w:val="nil"/>
            </w:tcBorders>
            <w:shd w:val="clear" w:color="auto" w:fill="auto"/>
            <w:noWrap/>
            <w:vAlign w:val="bottom"/>
            <w:hideMark/>
          </w:tcPr>
          <w:p w14:paraId="2F448E33" w14:textId="1D5C4B70"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57 190 (40 761-64 216)</w:t>
            </w:r>
          </w:p>
        </w:tc>
      </w:tr>
      <w:tr w:rsidR="008C2493" w:rsidRPr="008D536F" w14:paraId="258EA0F2" w14:textId="77777777" w:rsidTr="00261C91">
        <w:trPr>
          <w:trHeight w:val="300"/>
        </w:trPr>
        <w:tc>
          <w:tcPr>
            <w:tcW w:w="3923" w:type="dxa"/>
            <w:tcBorders>
              <w:top w:val="nil"/>
              <w:left w:val="nil"/>
              <w:bottom w:val="nil"/>
              <w:right w:val="nil"/>
            </w:tcBorders>
            <w:shd w:val="clear" w:color="auto" w:fill="auto"/>
            <w:noWrap/>
            <w:vAlign w:val="bottom"/>
            <w:hideMark/>
          </w:tcPr>
          <w:p w14:paraId="26913B57" w14:textId="77777777" w:rsidR="008C2493" w:rsidRPr="008D536F" w:rsidRDefault="008C2493" w:rsidP="008C2493">
            <w:pPr>
              <w:spacing w:after="0" w:line="240" w:lineRule="auto"/>
              <w:rPr>
                <w:rFonts w:ascii="Times New Roman" w:eastAsia="Times New Roman" w:hAnsi="Times New Roman"/>
                <w:lang w:eastAsia="en-GB"/>
              </w:rPr>
            </w:pPr>
          </w:p>
        </w:tc>
        <w:tc>
          <w:tcPr>
            <w:tcW w:w="2635" w:type="dxa"/>
            <w:tcBorders>
              <w:top w:val="nil"/>
              <w:left w:val="nil"/>
              <w:bottom w:val="nil"/>
              <w:right w:val="nil"/>
            </w:tcBorders>
            <w:shd w:val="clear" w:color="auto" w:fill="auto"/>
            <w:noWrap/>
            <w:vAlign w:val="bottom"/>
            <w:hideMark/>
          </w:tcPr>
          <w:p w14:paraId="2C9E4DF3" w14:textId="77777777" w:rsidR="008C2493" w:rsidRPr="008D536F" w:rsidRDefault="008C2493" w:rsidP="008C2493">
            <w:pPr>
              <w:spacing w:after="0" w:line="240" w:lineRule="auto"/>
              <w:rPr>
                <w:rFonts w:ascii="Times New Roman" w:eastAsia="Times New Roman" w:hAnsi="Times New Roman"/>
                <w:sz w:val="20"/>
                <w:szCs w:val="20"/>
                <w:lang w:eastAsia="en-GB"/>
              </w:rPr>
            </w:pPr>
          </w:p>
        </w:tc>
        <w:tc>
          <w:tcPr>
            <w:tcW w:w="2468" w:type="dxa"/>
            <w:tcBorders>
              <w:top w:val="nil"/>
              <w:left w:val="nil"/>
              <w:bottom w:val="nil"/>
              <w:right w:val="nil"/>
            </w:tcBorders>
            <w:shd w:val="clear" w:color="auto" w:fill="auto"/>
            <w:noWrap/>
            <w:vAlign w:val="bottom"/>
            <w:hideMark/>
          </w:tcPr>
          <w:p w14:paraId="502138D8" w14:textId="77777777" w:rsidR="008C2493" w:rsidRPr="008D536F" w:rsidRDefault="008C2493" w:rsidP="008C2493">
            <w:pPr>
              <w:spacing w:after="0" w:line="240" w:lineRule="auto"/>
              <w:rPr>
                <w:rFonts w:ascii="Times New Roman" w:eastAsia="Times New Roman" w:hAnsi="Times New Roman"/>
                <w:sz w:val="20"/>
                <w:szCs w:val="20"/>
                <w:lang w:eastAsia="en-GB"/>
              </w:rPr>
            </w:pPr>
          </w:p>
        </w:tc>
      </w:tr>
      <w:tr w:rsidR="008C2493" w:rsidRPr="008D536F" w14:paraId="7EA58BFA" w14:textId="77777777" w:rsidTr="00261C91">
        <w:trPr>
          <w:trHeight w:val="300"/>
        </w:trPr>
        <w:tc>
          <w:tcPr>
            <w:tcW w:w="3923" w:type="dxa"/>
            <w:tcBorders>
              <w:top w:val="nil"/>
              <w:left w:val="nil"/>
              <w:bottom w:val="nil"/>
              <w:right w:val="nil"/>
            </w:tcBorders>
            <w:shd w:val="clear" w:color="auto" w:fill="auto"/>
            <w:noWrap/>
            <w:vAlign w:val="bottom"/>
            <w:hideMark/>
          </w:tcPr>
          <w:p w14:paraId="6BC11BA9" w14:textId="7B0B890F" w:rsidR="008C2493" w:rsidRPr="008D536F" w:rsidRDefault="008C2493" w:rsidP="008C2493">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ART history</w:t>
            </w:r>
          </w:p>
        </w:tc>
        <w:tc>
          <w:tcPr>
            <w:tcW w:w="2635" w:type="dxa"/>
            <w:tcBorders>
              <w:top w:val="nil"/>
              <w:left w:val="nil"/>
              <w:bottom w:val="nil"/>
              <w:right w:val="nil"/>
            </w:tcBorders>
            <w:shd w:val="clear" w:color="auto" w:fill="auto"/>
            <w:noWrap/>
            <w:vAlign w:val="bottom"/>
            <w:hideMark/>
          </w:tcPr>
          <w:p w14:paraId="6A4F01A0" w14:textId="77777777" w:rsidR="008C2493" w:rsidRPr="008D536F" w:rsidRDefault="008C2493" w:rsidP="008C2493">
            <w:pPr>
              <w:spacing w:after="0" w:line="240" w:lineRule="auto"/>
              <w:rPr>
                <w:rFonts w:ascii="Times New Roman" w:eastAsia="Times New Roman" w:hAnsi="Times New Roman"/>
                <w:b/>
                <w:bCs/>
                <w:lang w:eastAsia="en-GB"/>
              </w:rPr>
            </w:pPr>
          </w:p>
        </w:tc>
        <w:tc>
          <w:tcPr>
            <w:tcW w:w="2468" w:type="dxa"/>
            <w:tcBorders>
              <w:top w:val="nil"/>
              <w:left w:val="nil"/>
              <w:bottom w:val="nil"/>
              <w:right w:val="nil"/>
            </w:tcBorders>
            <w:shd w:val="clear" w:color="auto" w:fill="auto"/>
            <w:noWrap/>
            <w:vAlign w:val="bottom"/>
            <w:hideMark/>
          </w:tcPr>
          <w:p w14:paraId="73FE523B" w14:textId="77777777" w:rsidR="008C2493" w:rsidRPr="008D536F" w:rsidRDefault="008C2493" w:rsidP="008C2493">
            <w:pPr>
              <w:spacing w:after="0" w:line="240" w:lineRule="auto"/>
              <w:rPr>
                <w:rFonts w:ascii="Times New Roman" w:eastAsia="Times New Roman" w:hAnsi="Times New Roman"/>
                <w:sz w:val="20"/>
                <w:szCs w:val="20"/>
                <w:lang w:eastAsia="en-GB"/>
              </w:rPr>
            </w:pPr>
          </w:p>
        </w:tc>
      </w:tr>
      <w:tr w:rsidR="008C2493" w:rsidRPr="008D536F" w14:paraId="70C1C26D" w14:textId="77777777" w:rsidTr="00261C91">
        <w:trPr>
          <w:trHeight w:val="300"/>
        </w:trPr>
        <w:tc>
          <w:tcPr>
            <w:tcW w:w="3923" w:type="dxa"/>
            <w:tcBorders>
              <w:top w:val="nil"/>
              <w:left w:val="nil"/>
              <w:bottom w:val="nil"/>
              <w:right w:val="nil"/>
            </w:tcBorders>
            <w:shd w:val="clear" w:color="auto" w:fill="auto"/>
            <w:noWrap/>
            <w:vAlign w:val="bottom"/>
            <w:hideMark/>
          </w:tcPr>
          <w:p w14:paraId="2FF8016A" w14:textId="0671B821"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Previous ART duration in years (median/IQR)</w:t>
            </w:r>
          </w:p>
        </w:tc>
        <w:tc>
          <w:tcPr>
            <w:tcW w:w="2635" w:type="dxa"/>
            <w:tcBorders>
              <w:top w:val="nil"/>
              <w:left w:val="nil"/>
              <w:bottom w:val="nil"/>
              <w:right w:val="nil"/>
            </w:tcBorders>
            <w:shd w:val="clear" w:color="auto" w:fill="auto"/>
            <w:noWrap/>
            <w:vAlign w:val="bottom"/>
            <w:hideMark/>
          </w:tcPr>
          <w:p w14:paraId="585B0245"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6.3 (3.0-8.3)</w:t>
            </w:r>
          </w:p>
        </w:tc>
        <w:tc>
          <w:tcPr>
            <w:tcW w:w="2468" w:type="dxa"/>
            <w:tcBorders>
              <w:top w:val="nil"/>
              <w:left w:val="nil"/>
              <w:bottom w:val="nil"/>
              <w:right w:val="nil"/>
            </w:tcBorders>
            <w:shd w:val="clear" w:color="auto" w:fill="auto"/>
            <w:noWrap/>
            <w:vAlign w:val="bottom"/>
            <w:hideMark/>
          </w:tcPr>
          <w:p w14:paraId="3672E4D6"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2.7 (1.2-5.1)</w:t>
            </w:r>
          </w:p>
        </w:tc>
      </w:tr>
      <w:tr w:rsidR="008C2493" w:rsidRPr="008D536F" w14:paraId="5396A25D" w14:textId="77777777" w:rsidTr="00261C91">
        <w:trPr>
          <w:trHeight w:val="300"/>
        </w:trPr>
        <w:tc>
          <w:tcPr>
            <w:tcW w:w="3923" w:type="dxa"/>
            <w:tcBorders>
              <w:top w:val="nil"/>
              <w:left w:val="nil"/>
              <w:bottom w:val="nil"/>
              <w:right w:val="nil"/>
            </w:tcBorders>
            <w:shd w:val="clear" w:color="auto" w:fill="auto"/>
            <w:noWrap/>
            <w:vAlign w:val="bottom"/>
            <w:hideMark/>
          </w:tcPr>
          <w:p w14:paraId="544CC3E3" w14:textId="5DE7503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Ever on </w:t>
            </w:r>
            <w:r w:rsidRPr="008D536F">
              <w:rPr>
                <w:rFonts w:ascii="Times New Roman" w:hAnsi="Times New Roman"/>
              </w:rPr>
              <w:t xml:space="preserve">zidovudine or stavudine </w:t>
            </w:r>
            <w:r w:rsidRPr="008D536F">
              <w:rPr>
                <w:rFonts w:ascii="Times New Roman" w:eastAsia="Times New Roman" w:hAnsi="Times New Roman"/>
                <w:lang w:eastAsia="en-GB"/>
              </w:rPr>
              <w:t>(n/%)</w:t>
            </w:r>
          </w:p>
        </w:tc>
        <w:tc>
          <w:tcPr>
            <w:tcW w:w="2635" w:type="dxa"/>
            <w:tcBorders>
              <w:top w:val="nil"/>
              <w:left w:val="nil"/>
              <w:bottom w:val="nil"/>
              <w:right w:val="nil"/>
            </w:tcBorders>
            <w:shd w:val="clear" w:color="auto" w:fill="auto"/>
            <w:noWrap/>
            <w:vAlign w:val="bottom"/>
            <w:hideMark/>
          </w:tcPr>
          <w:p w14:paraId="2003B1B6"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10 (18)</w:t>
            </w:r>
          </w:p>
        </w:tc>
        <w:tc>
          <w:tcPr>
            <w:tcW w:w="2468" w:type="dxa"/>
            <w:tcBorders>
              <w:top w:val="nil"/>
              <w:left w:val="nil"/>
              <w:bottom w:val="nil"/>
              <w:right w:val="nil"/>
            </w:tcBorders>
            <w:shd w:val="clear" w:color="auto" w:fill="auto"/>
            <w:noWrap/>
            <w:vAlign w:val="bottom"/>
            <w:hideMark/>
          </w:tcPr>
          <w:p w14:paraId="48C54937" w14:textId="77777777" w:rsidR="008C2493" w:rsidRPr="008D536F" w:rsidRDefault="008C2493" w:rsidP="008C2493">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0 (0)</w:t>
            </w:r>
          </w:p>
        </w:tc>
      </w:tr>
      <w:tr w:rsidR="00724315" w:rsidRPr="008D536F" w14:paraId="15211574" w14:textId="77777777" w:rsidTr="00261C91">
        <w:trPr>
          <w:trHeight w:val="300"/>
        </w:trPr>
        <w:tc>
          <w:tcPr>
            <w:tcW w:w="3923" w:type="dxa"/>
            <w:tcBorders>
              <w:top w:val="nil"/>
              <w:left w:val="nil"/>
              <w:bottom w:val="nil"/>
              <w:right w:val="nil"/>
            </w:tcBorders>
            <w:shd w:val="clear" w:color="auto" w:fill="auto"/>
            <w:noWrap/>
            <w:vAlign w:val="bottom"/>
            <w:hideMark/>
          </w:tcPr>
          <w:p w14:paraId="54DFAC64" w14:textId="77777777" w:rsidR="00724315" w:rsidRPr="008D536F" w:rsidRDefault="00724315" w:rsidP="00261C91">
            <w:pPr>
              <w:spacing w:after="0" w:line="240" w:lineRule="auto"/>
              <w:rPr>
                <w:rFonts w:ascii="Times New Roman" w:eastAsia="Times New Roman" w:hAnsi="Times New Roman"/>
                <w:lang w:eastAsia="en-GB"/>
              </w:rPr>
            </w:pPr>
          </w:p>
        </w:tc>
        <w:tc>
          <w:tcPr>
            <w:tcW w:w="2635" w:type="dxa"/>
            <w:tcBorders>
              <w:top w:val="nil"/>
              <w:left w:val="nil"/>
              <w:bottom w:val="nil"/>
              <w:right w:val="nil"/>
            </w:tcBorders>
            <w:shd w:val="clear" w:color="auto" w:fill="auto"/>
            <w:noWrap/>
            <w:vAlign w:val="bottom"/>
            <w:hideMark/>
          </w:tcPr>
          <w:p w14:paraId="23E553AB" w14:textId="77777777" w:rsidR="00724315" w:rsidRPr="008D536F" w:rsidRDefault="00724315" w:rsidP="00261C91">
            <w:pPr>
              <w:spacing w:after="0" w:line="240" w:lineRule="auto"/>
              <w:rPr>
                <w:rFonts w:ascii="Times New Roman" w:eastAsia="Times New Roman" w:hAnsi="Times New Roman"/>
                <w:sz w:val="20"/>
                <w:szCs w:val="20"/>
                <w:lang w:eastAsia="en-GB"/>
              </w:rPr>
            </w:pPr>
          </w:p>
        </w:tc>
        <w:tc>
          <w:tcPr>
            <w:tcW w:w="2468" w:type="dxa"/>
            <w:tcBorders>
              <w:top w:val="nil"/>
              <w:left w:val="nil"/>
              <w:bottom w:val="nil"/>
              <w:right w:val="nil"/>
            </w:tcBorders>
            <w:shd w:val="clear" w:color="auto" w:fill="auto"/>
            <w:noWrap/>
            <w:vAlign w:val="bottom"/>
            <w:hideMark/>
          </w:tcPr>
          <w:p w14:paraId="2FC78AB5" w14:textId="77777777" w:rsidR="00724315" w:rsidRPr="008D536F" w:rsidRDefault="00724315" w:rsidP="00261C91">
            <w:pPr>
              <w:spacing w:after="0" w:line="240" w:lineRule="auto"/>
              <w:rPr>
                <w:rFonts w:ascii="Times New Roman" w:eastAsia="Times New Roman" w:hAnsi="Times New Roman"/>
                <w:sz w:val="20"/>
                <w:szCs w:val="20"/>
                <w:lang w:eastAsia="en-GB"/>
              </w:rPr>
            </w:pPr>
          </w:p>
        </w:tc>
      </w:tr>
      <w:tr w:rsidR="0072747F" w:rsidRPr="008D536F" w14:paraId="11F10189" w14:textId="77777777" w:rsidTr="00261C91">
        <w:trPr>
          <w:trHeight w:val="300"/>
        </w:trPr>
        <w:tc>
          <w:tcPr>
            <w:tcW w:w="3923" w:type="dxa"/>
            <w:tcBorders>
              <w:top w:val="nil"/>
              <w:left w:val="nil"/>
              <w:bottom w:val="nil"/>
              <w:right w:val="nil"/>
            </w:tcBorders>
            <w:shd w:val="clear" w:color="auto" w:fill="auto"/>
            <w:noWrap/>
            <w:vAlign w:val="bottom"/>
            <w:hideMark/>
          </w:tcPr>
          <w:p w14:paraId="3140B27F" w14:textId="35095CB3" w:rsidR="0072747F" w:rsidRPr="008D536F" w:rsidRDefault="0072747F" w:rsidP="0072747F">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Baseline resistance*, n(%)</w:t>
            </w:r>
          </w:p>
        </w:tc>
        <w:tc>
          <w:tcPr>
            <w:tcW w:w="2635" w:type="dxa"/>
            <w:tcBorders>
              <w:top w:val="nil"/>
              <w:left w:val="nil"/>
              <w:bottom w:val="nil"/>
              <w:right w:val="nil"/>
            </w:tcBorders>
            <w:shd w:val="clear" w:color="auto" w:fill="auto"/>
            <w:noWrap/>
            <w:vAlign w:val="bottom"/>
            <w:hideMark/>
          </w:tcPr>
          <w:p w14:paraId="1A0C8430"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(n=52)</w:t>
            </w:r>
          </w:p>
        </w:tc>
        <w:tc>
          <w:tcPr>
            <w:tcW w:w="2468" w:type="dxa"/>
            <w:tcBorders>
              <w:top w:val="nil"/>
              <w:left w:val="nil"/>
              <w:bottom w:val="nil"/>
              <w:right w:val="nil"/>
            </w:tcBorders>
            <w:shd w:val="clear" w:color="auto" w:fill="auto"/>
            <w:noWrap/>
            <w:vAlign w:val="bottom"/>
            <w:hideMark/>
          </w:tcPr>
          <w:p w14:paraId="6D37D4F1"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(n=2)</w:t>
            </w:r>
          </w:p>
        </w:tc>
      </w:tr>
      <w:tr w:rsidR="0072747F" w:rsidRPr="008D536F" w14:paraId="5C8813CC" w14:textId="77777777" w:rsidTr="00261C91">
        <w:trPr>
          <w:trHeight w:val="300"/>
        </w:trPr>
        <w:tc>
          <w:tcPr>
            <w:tcW w:w="3923" w:type="dxa"/>
            <w:tcBorders>
              <w:top w:val="nil"/>
              <w:left w:val="nil"/>
              <w:bottom w:val="nil"/>
              <w:right w:val="nil"/>
            </w:tcBorders>
            <w:shd w:val="clear" w:color="auto" w:fill="auto"/>
            <w:noWrap/>
            <w:vAlign w:val="bottom"/>
            <w:hideMark/>
          </w:tcPr>
          <w:p w14:paraId="65D4B278" w14:textId="0D28710A"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Tenofovir/ XTC resistance</w:t>
            </w:r>
          </w:p>
        </w:tc>
        <w:tc>
          <w:tcPr>
            <w:tcW w:w="2635" w:type="dxa"/>
            <w:tcBorders>
              <w:top w:val="nil"/>
              <w:left w:val="nil"/>
              <w:bottom w:val="nil"/>
              <w:right w:val="nil"/>
            </w:tcBorders>
            <w:shd w:val="clear" w:color="auto" w:fill="auto"/>
            <w:noWrap/>
            <w:vAlign w:val="bottom"/>
            <w:hideMark/>
          </w:tcPr>
          <w:p w14:paraId="2BCF8D4C" w14:textId="77777777" w:rsidR="0072747F" w:rsidRPr="008D536F" w:rsidRDefault="0072747F" w:rsidP="0072747F">
            <w:pPr>
              <w:spacing w:after="0" w:line="240" w:lineRule="auto"/>
              <w:rPr>
                <w:rFonts w:ascii="Times New Roman" w:eastAsia="Times New Roman" w:hAnsi="Times New Roman"/>
                <w:lang w:eastAsia="en-GB"/>
              </w:rPr>
            </w:pPr>
          </w:p>
        </w:tc>
        <w:tc>
          <w:tcPr>
            <w:tcW w:w="2468" w:type="dxa"/>
            <w:tcBorders>
              <w:top w:val="nil"/>
              <w:left w:val="nil"/>
              <w:bottom w:val="nil"/>
              <w:right w:val="nil"/>
            </w:tcBorders>
            <w:shd w:val="clear" w:color="auto" w:fill="auto"/>
            <w:noWrap/>
            <w:vAlign w:val="bottom"/>
            <w:hideMark/>
          </w:tcPr>
          <w:p w14:paraId="546C5F12" w14:textId="77777777" w:rsidR="0072747F" w:rsidRPr="008D536F" w:rsidRDefault="0072747F" w:rsidP="0072747F">
            <w:pPr>
              <w:spacing w:after="0" w:line="240" w:lineRule="auto"/>
              <w:rPr>
                <w:rFonts w:ascii="Times New Roman" w:eastAsia="Times New Roman" w:hAnsi="Times New Roman"/>
                <w:sz w:val="20"/>
                <w:szCs w:val="20"/>
                <w:lang w:eastAsia="en-GB"/>
              </w:rPr>
            </w:pPr>
          </w:p>
        </w:tc>
      </w:tr>
      <w:tr w:rsidR="0072747F" w:rsidRPr="008D536F" w14:paraId="254A86A9" w14:textId="77777777" w:rsidTr="00261C91">
        <w:trPr>
          <w:trHeight w:val="300"/>
        </w:trPr>
        <w:tc>
          <w:tcPr>
            <w:tcW w:w="3923" w:type="dxa"/>
            <w:tcBorders>
              <w:top w:val="nil"/>
              <w:left w:val="nil"/>
              <w:bottom w:val="nil"/>
              <w:right w:val="nil"/>
            </w:tcBorders>
            <w:shd w:val="clear" w:color="auto" w:fill="auto"/>
            <w:noWrap/>
            <w:vAlign w:val="bottom"/>
            <w:hideMark/>
          </w:tcPr>
          <w:p w14:paraId="6B6C6647" w14:textId="0B6093AE"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Both &lt;15</w:t>
            </w:r>
          </w:p>
        </w:tc>
        <w:tc>
          <w:tcPr>
            <w:tcW w:w="2635" w:type="dxa"/>
            <w:tcBorders>
              <w:top w:val="nil"/>
              <w:left w:val="nil"/>
              <w:bottom w:val="nil"/>
              <w:right w:val="nil"/>
            </w:tcBorders>
            <w:shd w:val="clear" w:color="auto" w:fill="auto"/>
            <w:noWrap/>
            <w:vAlign w:val="bottom"/>
            <w:hideMark/>
          </w:tcPr>
          <w:p w14:paraId="389CA495"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6 (12)</w:t>
            </w:r>
          </w:p>
        </w:tc>
        <w:tc>
          <w:tcPr>
            <w:tcW w:w="2468" w:type="dxa"/>
            <w:tcBorders>
              <w:top w:val="nil"/>
              <w:left w:val="nil"/>
              <w:bottom w:val="nil"/>
              <w:right w:val="nil"/>
            </w:tcBorders>
            <w:shd w:val="clear" w:color="auto" w:fill="auto"/>
            <w:noWrap/>
            <w:vAlign w:val="bottom"/>
            <w:hideMark/>
          </w:tcPr>
          <w:p w14:paraId="6C62CC75"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0 (0)</w:t>
            </w:r>
          </w:p>
        </w:tc>
      </w:tr>
      <w:tr w:rsidR="0072747F" w:rsidRPr="008D536F" w14:paraId="2850DEE8" w14:textId="77777777" w:rsidTr="00261C91">
        <w:trPr>
          <w:trHeight w:val="300"/>
        </w:trPr>
        <w:tc>
          <w:tcPr>
            <w:tcW w:w="3923" w:type="dxa"/>
            <w:tcBorders>
              <w:top w:val="nil"/>
              <w:left w:val="nil"/>
              <w:bottom w:val="nil"/>
              <w:right w:val="nil"/>
            </w:tcBorders>
            <w:shd w:val="clear" w:color="auto" w:fill="auto"/>
            <w:noWrap/>
            <w:vAlign w:val="bottom"/>
            <w:hideMark/>
          </w:tcPr>
          <w:p w14:paraId="371CD970" w14:textId="2534857F"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Only tenofovir ≥15</w:t>
            </w:r>
          </w:p>
        </w:tc>
        <w:tc>
          <w:tcPr>
            <w:tcW w:w="2635" w:type="dxa"/>
            <w:tcBorders>
              <w:top w:val="nil"/>
              <w:left w:val="nil"/>
              <w:bottom w:val="nil"/>
              <w:right w:val="nil"/>
            </w:tcBorders>
            <w:shd w:val="clear" w:color="auto" w:fill="auto"/>
            <w:noWrap/>
            <w:vAlign w:val="bottom"/>
            <w:hideMark/>
          </w:tcPr>
          <w:p w14:paraId="68CE6192"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0 (0)</w:t>
            </w:r>
          </w:p>
        </w:tc>
        <w:tc>
          <w:tcPr>
            <w:tcW w:w="2468" w:type="dxa"/>
            <w:tcBorders>
              <w:top w:val="nil"/>
              <w:left w:val="nil"/>
              <w:bottom w:val="nil"/>
              <w:right w:val="nil"/>
            </w:tcBorders>
            <w:shd w:val="clear" w:color="auto" w:fill="auto"/>
            <w:noWrap/>
            <w:vAlign w:val="bottom"/>
            <w:hideMark/>
          </w:tcPr>
          <w:p w14:paraId="50820D9B"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0 (0)</w:t>
            </w:r>
          </w:p>
        </w:tc>
      </w:tr>
      <w:tr w:rsidR="0072747F" w:rsidRPr="008D536F" w14:paraId="777D772C" w14:textId="77777777" w:rsidTr="00261C91">
        <w:trPr>
          <w:trHeight w:val="300"/>
        </w:trPr>
        <w:tc>
          <w:tcPr>
            <w:tcW w:w="3923" w:type="dxa"/>
            <w:tcBorders>
              <w:top w:val="nil"/>
              <w:left w:val="nil"/>
              <w:bottom w:val="nil"/>
              <w:right w:val="nil"/>
            </w:tcBorders>
            <w:shd w:val="clear" w:color="auto" w:fill="auto"/>
            <w:noWrap/>
            <w:vAlign w:val="bottom"/>
            <w:hideMark/>
          </w:tcPr>
          <w:p w14:paraId="41843DD4" w14:textId="63C38A3B"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Only XTC ≥15</w:t>
            </w:r>
          </w:p>
        </w:tc>
        <w:tc>
          <w:tcPr>
            <w:tcW w:w="2635" w:type="dxa"/>
            <w:tcBorders>
              <w:top w:val="nil"/>
              <w:left w:val="nil"/>
              <w:bottom w:val="nil"/>
              <w:right w:val="nil"/>
            </w:tcBorders>
            <w:shd w:val="clear" w:color="auto" w:fill="auto"/>
            <w:noWrap/>
            <w:vAlign w:val="bottom"/>
            <w:hideMark/>
          </w:tcPr>
          <w:p w14:paraId="0944B5CD"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12 (23)</w:t>
            </w:r>
          </w:p>
        </w:tc>
        <w:tc>
          <w:tcPr>
            <w:tcW w:w="2468" w:type="dxa"/>
            <w:tcBorders>
              <w:top w:val="nil"/>
              <w:left w:val="nil"/>
              <w:bottom w:val="nil"/>
              <w:right w:val="nil"/>
            </w:tcBorders>
            <w:shd w:val="clear" w:color="auto" w:fill="auto"/>
            <w:noWrap/>
            <w:vAlign w:val="bottom"/>
            <w:hideMark/>
          </w:tcPr>
          <w:p w14:paraId="2BFF2D66"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 (50)</w:t>
            </w:r>
          </w:p>
        </w:tc>
      </w:tr>
      <w:tr w:rsidR="0072747F" w:rsidRPr="008D536F" w14:paraId="5E71014C" w14:textId="77777777" w:rsidTr="00261C91">
        <w:trPr>
          <w:trHeight w:val="300"/>
        </w:trPr>
        <w:tc>
          <w:tcPr>
            <w:tcW w:w="3923" w:type="dxa"/>
            <w:tcBorders>
              <w:top w:val="nil"/>
              <w:left w:val="nil"/>
              <w:bottom w:val="nil"/>
              <w:right w:val="nil"/>
            </w:tcBorders>
            <w:shd w:val="clear" w:color="auto" w:fill="auto"/>
            <w:noWrap/>
            <w:vAlign w:val="bottom"/>
            <w:hideMark/>
          </w:tcPr>
          <w:p w14:paraId="2351BA03" w14:textId="535162F6"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Both ≥15</w:t>
            </w:r>
          </w:p>
        </w:tc>
        <w:tc>
          <w:tcPr>
            <w:tcW w:w="2635" w:type="dxa"/>
            <w:tcBorders>
              <w:top w:val="nil"/>
              <w:left w:val="nil"/>
              <w:bottom w:val="nil"/>
              <w:right w:val="nil"/>
            </w:tcBorders>
            <w:shd w:val="clear" w:color="auto" w:fill="auto"/>
            <w:noWrap/>
            <w:vAlign w:val="bottom"/>
            <w:hideMark/>
          </w:tcPr>
          <w:p w14:paraId="1159D5A4"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34 (65)</w:t>
            </w:r>
          </w:p>
        </w:tc>
        <w:tc>
          <w:tcPr>
            <w:tcW w:w="2468" w:type="dxa"/>
            <w:tcBorders>
              <w:top w:val="nil"/>
              <w:left w:val="nil"/>
              <w:bottom w:val="nil"/>
              <w:right w:val="nil"/>
            </w:tcBorders>
            <w:shd w:val="clear" w:color="auto" w:fill="auto"/>
            <w:noWrap/>
            <w:vAlign w:val="bottom"/>
            <w:hideMark/>
          </w:tcPr>
          <w:p w14:paraId="3E65B22B"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 (50)</w:t>
            </w:r>
          </w:p>
        </w:tc>
      </w:tr>
      <w:tr w:rsidR="0072747F" w:rsidRPr="008D536F" w14:paraId="3E541A56" w14:textId="77777777" w:rsidTr="00261C91">
        <w:trPr>
          <w:trHeight w:val="300"/>
        </w:trPr>
        <w:tc>
          <w:tcPr>
            <w:tcW w:w="3923" w:type="dxa"/>
            <w:tcBorders>
              <w:top w:val="nil"/>
              <w:left w:val="nil"/>
              <w:bottom w:val="nil"/>
              <w:right w:val="nil"/>
            </w:tcBorders>
            <w:shd w:val="clear" w:color="auto" w:fill="auto"/>
            <w:noWrap/>
            <w:vAlign w:val="bottom"/>
            <w:hideMark/>
          </w:tcPr>
          <w:p w14:paraId="304BAD1B" w14:textId="7C1269F9"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Efavirenz and/or nevirapine resistance</w:t>
            </w:r>
          </w:p>
        </w:tc>
        <w:tc>
          <w:tcPr>
            <w:tcW w:w="2635" w:type="dxa"/>
            <w:tcBorders>
              <w:top w:val="nil"/>
              <w:left w:val="nil"/>
              <w:bottom w:val="nil"/>
              <w:right w:val="nil"/>
            </w:tcBorders>
            <w:shd w:val="clear" w:color="auto" w:fill="auto"/>
            <w:noWrap/>
            <w:vAlign w:val="bottom"/>
            <w:hideMark/>
          </w:tcPr>
          <w:p w14:paraId="623CBF3F"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50 (96)</w:t>
            </w:r>
          </w:p>
        </w:tc>
        <w:tc>
          <w:tcPr>
            <w:tcW w:w="2468" w:type="dxa"/>
            <w:tcBorders>
              <w:top w:val="nil"/>
              <w:left w:val="nil"/>
              <w:bottom w:val="nil"/>
              <w:right w:val="nil"/>
            </w:tcBorders>
            <w:shd w:val="clear" w:color="auto" w:fill="auto"/>
            <w:noWrap/>
            <w:vAlign w:val="bottom"/>
            <w:hideMark/>
          </w:tcPr>
          <w:p w14:paraId="4F81B6F1" w14:textId="77777777" w:rsidR="0072747F" w:rsidRPr="008D536F" w:rsidRDefault="0072747F" w:rsidP="0072747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 (100)</w:t>
            </w:r>
          </w:p>
        </w:tc>
      </w:tr>
      <w:tr w:rsidR="00724315" w:rsidRPr="008D536F" w14:paraId="4B8C87B1" w14:textId="77777777" w:rsidTr="00261C91">
        <w:trPr>
          <w:trHeight w:val="300"/>
        </w:trPr>
        <w:tc>
          <w:tcPr>
            <w:tcW w:w="3923" w:type="dxa"/>
            <w:tcBorders>
              <w:top w:val="nil"/>
              <w:left w:val="nil"/>
              <w:bottom w:val="nil"/>
              <w:right w:val="nil"/>
            </w:tcBorders>
            <w:shd w:val="clear" w:color="auto" w:fill="auto"/>
            <w:noWrap/>
            <w:vAlign w:val="bottom"/>
          </w:tcPr>
          <w:p w14:paraId="3B832677" w14:textId="77777777" w:rsidR="00724315" w:rsidRPr="008D536F" w:rsidRDefault="00724315" w:rsidP="00261C91">
            <w:pPr>
              <w:spacing w:after="0" w:line="240" w:lineRule="auto"/>
              <w:rPr>
                <w:rFonts w:ascii="Times New Roman" w:eastAsia="Times New Roman" w:hAnsi="Times New Roman"/>
                <w:lang w:eastAsia="en-GB"/>
              </w:rPr>
            </w:pPr>
          </w:p>
        </w:tc>
        <w:tc>
          <w:tcPr>
            <w:tcW w:w="2635" w:type="dxa"/>
            <w:tcBorders>
              <w:top w:val="nil"/>
              <w:left w:val="nil"/>
              <w:bottom w:val="nil"/>
              <w:right w:val="nil"/>
            </w:tcBorders>
            <w:shd w:val="clear" w:color="auto" w:fill="auto"/>
            <w:noWrap/>
            <w:vAlign w:val="bottom"/>
          </w:tcPr>
          <w:p w14:paraId="3167792D" w14:textId="77777777" w:rsidR="00724315" w:rsidRPr="008D536F" w:rsidRDefault="00724315" w:rsidP="00261C91">
            <w:pPr>
              <w:spacing w:after="0" w:line="240" w:lineRule="auto"/>
              <w:rPr>
                <w:rFonts w:ascii="Times New Roman" w:eastAsia="Times New Roman" w:hAnsi="Times New Roman"/>
                <w:lang w:eastAsia="en-GB"/>
              </w:rPr>
            </w:pPr>
          </w:p>
        </w:tc>
        <w:tc>
          <w:tcPr>
            <w:tcW w:w="2468" w:type="dxa"/>
            <w:tcBorders>
              <w:top w:val="nil"/>
              <w:left w:val="nil"/>
              <w:bottom w:val="nil"/>
              <w:right w:val="nil"/>
            </w:tcBorders>
            <w:shd w:val="clear" w:color="auto" w:fill="auto"/>
            <w:noWrap/>
            <w:vAlign w:val="bottom"/>
          </w:tcPr>
          <w:p w14:paraId="69A073EF" w14:textId="77777777" w:rsidR="00724315" w:rsidRPr="008D536F" w:rsidRDefault="00724315" w:rsidP="00261C91">
            <w:pPr>
              <w:spacing w:after="0" w:line="240" w:lineRule="auto"/>
              <w:rPr>
                <w:rFonts w:ascii="Times New Roman" w:eastAsia="Times New Roman" w:hAnsi="Times New Roman"/>
                <w:lang w:eastAsia="en-GB"/>
              </w:rPr>
            </w:pPr>
          </w:p>
        </w:tc>
      </w:tr>
      <w:tr w:rsidR="00724315" w:rsidRPr="008D536F" w14:paraId="66AFD6F8" w14:textId="77777777" w:rsidTr="00261C91">
        <w:trPr>
          <w:trHeight w:val="300"/>
        </w:trPr>
        <w:tc>
          <w:tcPr>
            <w:tcW w:w="3923" w:type="dxa"/>
            <w:tcBorders>
              <w:top w:val="nil"/>
              <w:left w:val="nil"/>
              <w:bottom w:val="nil"/>
              <w:right w:val="nil"/>
            </w:tcBorders>
            <w:shd w:val="clear" w:color="auto" w:fill="auto"/>
            <w:noWrap/>
            <w:vAlign w:val="bottom"/>
          </w:tcPr>
          <w:p w14:paraId="693E7268" w14:textId="4F64AC4A"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b/>
                <w:bCs/>
                <w:lang w:eastAsia="en-GB"/>
              </w:rPr>
              <w:t xml:space="preserve">TFV-DP concentrations </w:t>
            </w:r>
            <w:r w:rsidR="00521562" w:rsidRPr="008D536F">
              <w:rPr>
                <w:rFonts w:ascii="Times New Roman" w:eastAsia="Times New Roman" w:hAnsi="Times New Roman"/>
                <w:b/>
                <w:bCs/>
                <w:lang w:eastAsia="en-GB"/>
              </w:rPr>
              <w:t xml:space="preserve">at week 24 </w:t>
            </w:r>
            <w:r w:rsidRPr="008D536F">
              <w:rPr>
                <w:rFonts w:ascii="Times New Roman" w:hAnsi="Times New Roman"/>
                <w:b/>
                <w:bCs/>
              </w:rPr>
              <w:t>(</w:t>
            </w:r>
            <w:proofErr w:type="spellStart"/>
            <w:r w:rsidRPr="008D536F">
              <w:rPr>
                <w:rFonts w:ascii="Times New Roman" w:hAnsi="Times New Roman"/>
                <w:b/>
                <w:bCs/>
              </w:rPr>
              <w:t>fmol</w:t>
            </w:r>
            <w:proofErr w:type="spellEnd"/>
            <w:r w:rsidRPr="008D536F">
              <w:rPr>
                <w:rFonts w:ascii="Times New Roman" w:hAnsi="Times New Roman"/>
                <w:b/>
                <w:bCs/>
              </w:rPr>
              <w:t>/punch)**</w:t>
            </w:r>
          </w:p>
        </w:tc>
        <w:tc>
          <w:tcPr>
            <w:tcW w:w="2635" w:type="dxa"/>
            <w:tcBorders>
              <w:top w:val="nil"/>
              <w:left w:val="nil"/>
              <w:bottom w:val="nil"/>
              <w:right w:val="nil"/>
            </w:tcBorders>
            <w:shd w:val="clear" w:color="auto" w:fill="auto"/>
            <w:noWrap/>
            <w:vAlign w:val="bottom"/>
          </w:tcPr>
          <w:p w14:paraId="1BB7E935" w14:textId="77777777" w:rsidR="00724315" w:rsidRPr="008D536F" w:rsidRDefault="00724315" w:rsidP="00261C91">
            <w:pPr>
              <w:spacing w:after="0" w:line="240" w:lineRule="auto"/>
              <w:rPr>
                <w:rFonts w:ascii="Times New Roman" w:eastAsia="Times New Roman" w:hAnsi="Times New Roman"/>
                <w:lang w:eastAsia="en-GB"/>
              </w:rPr>
            </w:pPr>
          </w:p>
        </w:tc>
        <w:tc>
          <w:tcPr>
            <w:tcW w:w="2468" w:type="dxa"/>
            <w:tcBorders>
              <w:top w:val="nil"/>
              <w:left w:val="nil"/>
              <w:bottom w:val="nil"/>
              <w:right w:val="nil"/>
            </w:tcBorders>
            <w:shd w:val="clear" w:color="auto" w:fill="auto"/>
            <w:noWrap/>
            <w:vAlign w:val="bottom"/>
          </w:tcPr>
          <w:p w14:paraId="797A5F88" w14:textId="77777777" w:rsidR="00724315" w:rsidRPr="008D536F" w:rsidRDefault="00724315" w:rsidP="00261C91">
            <w:pPr>
              <w:spacing w:after="0" w:line="240" w:lineRule="auto"/>
              <w:rPr>
                <w:rFonts w:ascii="Times New Roman" w:eastAsia="Times New Roman" w:hAnsi="Times New Roman"/>
                <w:lang w:eastAsia="en-GB"/>
              </w:rPr>
            </w:pPr>
          </w:p>
        </w:tc>
      </w:tr>
      <w:tr w:rsidR="00724315" w:rsidRPr="008D536F" w14:paraId="095C001A" w14:textId="77777777" w:rsidTr="00261C91">
        <w:trPr>
          <w:trHeight w:val="300"/>
        </w:trPr>
        <w:tc>
          <w:tcPr>
            <w:tcW w:w="3923" w:type="dxa"/>
            <w:tcBorders>
              <w:top w:val="nil"/>
              <w:left w:val="nil"/>
              <w:bottom w:val="nil"/>
              <w:right w:val="nil"/>
            </w:tcBorders>
            <w:shd w:val="clear" w:color="auto" w:fill="auto"/>
            <w:noWrap/>
          </w:tcPr>
          <w:p w14:paraId="02D6DDF6"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&lt;350, n (%)</w:t>
            </w:r>
          </w:p>
        </w:tc>
        <w:tc>
          <w:tcPr>
            <w:tcW w:w="2635" w:type="dxa"/>
            <w:tcBorders>
              <w:top w:val="nil"/>
              <w:left w:val="nil"/>
              <w:bottom w:val="nil"/>
              <w:right w:val="nil"/>
            </w:tcBorders>
            <w:shd w:val="clear" w:color="auto" w:fill="auto"/>
            <w:noWrap/>
          </w:tcPr>
          <w:p w14:paraId="080DCF22"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1/48 (4%)</w:t>
            </w:r>
          </w:p>
        </w:tc>
        <w:tc>
          <w:tcPr>
            <w:tcW w:w="2468" w:type="dxa"/>
            <w:tcBorders>
              <w:top w:val="nil"/>
              <w:left w:val="nil"/>
              <w:bottom w:val="nil"/>
              <w:right w:val="nil"/>
            </w:tcBorders>
            <w:shd w:val="clear" w:color="auto" w:fill="auto"/>
            <w:noWrap/>
          </w:tcPr>
          <w:p w14:paraId="14CFF7A4"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1/1 (100%)</w:t>
            </w:r>
          </w:p>
        </w:tc>
      </w:tr>
      <w:tr w:rsidR="00724315" w:rsidRPr="008D536F" w14:paraId="25452DA4" w14:textId="77777777" w:rsidTr="00261C91">
        <w:trPr>
          <w:trHeight w:val="300"/>
        </w:trPr>
        <w:tc>
          <w:tcPr>
            <w:tcW w:w="3923" w:type="dxa"/>
            <w:tcBorders>
              <w:top w:val="nil"/>
              <w:left w:val="nil"/>
              <w:bottom w:val="nil"/>
              <w:right w:val="nil"/>
            </w:tcBorders>
            <w:shd w:val="clear" w:color="auto" w:fill="auto"/>
            <w:noWrap/>
          </w:tcPr>
          <w:p w14:paraId="297C8C26"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350-700, n (%)</w:t>
            </w:r>
          </w:p>
        </w:tc>
        <w:tc>
          <w:tcPr>
            <w:tcW w:w="2635" w:type="dxa"/>
            <w:tcBorders>
              <w:top w:val="nil"/>
              <w:left w:val="nil"/>
              <w:bottom w:val="nil"/>
              <w:right w:val="nil"/>
            </w:tcBorders>
            <w:shd w:val="clear" w:color="auto" w:fill="auto"/>
            <w:noWrap/>
          </w:tcPr>
          <w:p w14:paraId="2A194D75"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1/48 (4%)</w:t>
            </w:r>
          </w:p>
        </w:tc>
        <w:tc>
          <w:tcPr>
            <w:tcW w:w="2468" w:type="dxa"/>
            <w:tcBorders>
              <w:top w:val="nil"/>
              <w:left w:val="nil"/>
              <w:bottom w:val="nil"/>
              <w:right w:val="nil"/>
            </w:tcBorders>
            <w:shd w:val="clear" w:color="auto" w:fill="auto"/>
            <w:noWrap/>
          </w:tcPr>
          <w:p w14:paraId="27BD53D0" w14:textId="1B273940"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0/1 (0%)</w:t>
            </w:r>
          </w:p>
        </w:tc>
      </w:tr>
      <w:tr w:rsidR="00724315" w:rsidRPr="008D536F" w14:paraId="38677171" w14:textId="77777777" w:rsidTr="00261C91">
        <w:trPr>
          <w:trHeight w:val="300"/>
        </w:trPr>
        <w:tc>
          <w:tcPr>
            <w:tcW w:w="3923" w:type="dxa"/>
            <w:tcBorders>
              <w:top w:val="nil"/>
              <w:left w:val="nil"/>
              <w:bottom w:val="nil"/>
              <w:right w:val="nil"/>
            </w:tcBorders>
            <w:shd w:val="clear" w:color="auto" w:fill="auto"/>
            <w:noWrap/>
          </w:tcPr>
          <w:p w14:paraId="69F4AAF4"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701-1250, n (%)</w:t>
            </w:r>
          </w:p>
        </w:tc>
        <w:tc>
          <w:tcPr>
            <w:tcW w:w="2635" w:type="dxa"/>
            <w:tcBorders>
              <w:top w:val="nil"/>
              <w:left w:val="nil"/>
              <w:bottom w:val="nil"/>
              <w:right w:val="nil"/>
            </w:tcBorders>
            <w:shd w:val="clear" w:color="auto" w:fill="auto"/>
            <w:noWrap/>
          </w:tcPr>
          <w:p w14:paraId="6A4F47F0"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18/48 (38%)</w:t>
            </w:r>
          </w:p>
        </w:tc>
        <w:tc>
          <w:tcPr>
            <w:tcW w:w="2468" w:type="dxa"/>
            <w:tcBorders>
              <w:top w:val="nil"/>
              <w:left w:val="nil"/>
              <w:bottom w:val="nil"/>
              <w:right w:val="nil"/>
            </w:tcBorders>
            <w:shd w:val="clear" w:color="auto" w:fill="auto"/>
            <w:noWrap/>
          </w:tcPr>
          <w:p w14:paraId="7E87BCEB"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0/1 (0%)</w:t>
            </w:r>
          </w:p>
        </w:tc>
      </w:tr>
      <w:tr w:rsidR="00724315" w:rsidRPr="008D536F" w14:paraId="15E7979E" w14:textId="77777777" w:rsidTr="00261C91">
        <w:trPr>
          <w:trHeight w:val="300"/>
        </w:trPr>
        <w:tc>
          <w:tcPr>
            <w:tcW w:w="3923" w:type="dxa"/>
            <w:tcBorders>
              <w:top w:val="nil"/>
              <w:left w:val="nil"/>
              <w:bottom w:val="nil"/>
              <w:right w:val="nil"/>
            </w:tcBorders>
            <w:shd w:val="clear" w:color="auto" w:fill="auto"/>
            <w:noWrap/>
          </w:tcPr>
          <w:p w14:paraId="7377CF71"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&gt;1250, n (%)</w:t>
            </w:r>
          </w:p>
        </w:tc>
        <w:tc>
          <w:tcPr>
            <w:tcW w:w="2635" w:type="dxa"/>
            <w:tcBorders>
              <w:top w:val="nil"/>
              <w:left w:val="nil"/>
              <w:bottom w:val="nil"/>
              <w:right w:val="nil"/>
            </w:tcBorders>
            <w:shd w:val="clear" w:color="auto" w:fill="auto"/>
            <w:noWrap/>
          </w:tcPr>
          <w:p w14:paraId="565E289F"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28/48 (58%)</w:t>
            </w:r>
          </w:p>
        </w:tc>
        <w:tc>
          <w:tcPr>
            <w:tcW w:w="2468" w:type="dxa"/>
            <w:tcBorders>
              <w:top w:val="nil"/>
              <w:left w:val="nil"/>
              <w:bottom w:val="nil"/>
              <w:right w:val="nil"/>
            </w:tcBorders>
            <w:shd w:val="clear" w:color="auto" w:fill="auto"/>
            <w:noWrap/>
          </w:tcPr>
          <w:p w14:paraId="75493E4A" w14:textId="77777777"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hAnsi="Times New Roman"/>
              </w:rPr>
              <w:t>0/1 (0%)</w:t>
            </w:r>
          </w:p>
        </w:tc>
      </w:tr>
      <w:tr w:rsidR="00724315" w:rsidRPr="008D536F" w14:paraId="13205DDF" w14:textId="77777777" w:rsidTr="00261C91">
        <w:trPr>
          <w:trHeight w:val="300"/>
        </w:trPr>
        <w:tc>
          <w:tcPr>
            <w:tcW w:w="3923" w:type="dxa"/>
            <w:tcBorders>
              <w:top w:val="nil"/>
              <w:left w:val="nil"/>
              <w:bottom w:val="nil"/>
              <w:right w:val="nil"/>
            </w:tcBorders>
            <w:shd w:val="clear" w:color="auto" w:fill="auto"/>
            <w:noWrap/>
            <w:vAlign w:val="bottom"/>
            <w:hideMark/>
          </w:tcPr>
          <w:p w14:paraId="70B05041" w14:textId="77777777" w:rsidR="00724315" w:rsidRPr="008D536F" w:rsidRDefault="00724315" w:rsidP="00261C91">
            <w:pPr>
              <w:spacing w:after="0" w:line="240" w:lineRule="auto"/>
              <w:rPr>
                <w:rFonts w:ascii="Times New Roman" w:eastAsia="Times New Roman" w:hAnsi="Times New Roman"/>
                <w:lang w:eastAsia="en-GB"/>
              </w:rPr>
            </w:pPr>
          </w:p>
        </w:tc>
        <w:tc>
          <w:tcPr>
            <w:tcW w:w="2635" w:type="dxa"/>
            <w:tcBorders>
              <w:top w:val="nil"/>
              <w:left w:val="nil"/>
              <w:bottom w:val="nil"/>
              <w:right w:val="nil"/>
            </w:tcBorders>
            <w:shd w:val="clear" w:color="auto" w:fill="auto"/>
            <w:noWrap/>
            <w:vAlign w:val="bottom"/>
            <w:hideMark/>
          </w:tcPr>
          <w:p w14:paraId="3703AEDF" w14:textId="77777777" w:rsidR="00724315" w:rsidRPr="008D536F" w:rsidRDefault="00724315" w:rsidP="00261C91">
            <w:pPr>
              <w:spacing w:after="0" w:line="240" w:lineRule="auto"/>
              <w:rPr>
                <w:rFonts w:ascii="Times New Roman" w:eastAsia="Times New Roman" w:hAnsi="Times New Roman"/>
                <w:sz w:val="20"/>
                <w:szCs w:val="20"/>
                <w:lang w:eastAsia="en-GB"/>
              </w:rPr>
            </w:pPr>
          </w:p>
        </w:tc>
        <w:tc>
          <w:tcPr>
            <w:tcW w:w="2468" w:type="dxa"/>
            <w:tcBorders>
              <w:top w:val="nil"/>
              <w:left w:val="nil"/>
              <w:bottom w:val="nil"/>
              <w:right w:val="nil"/>
            </w:tcBorders>
            <w:shd w:val="clear" w:color="auto" w:fill="auto"/>
            <w:noWrap/>
            <w:vAlign w:val="bottom"/>
            <w:hideMark/>
          </w:tcPr>
          <w:p w14:paraId="23587229" w14:textId="77777777" w:rsidR="00724315" w:rsidRPr="008D536F" w:rsidRDefault="00724315" w:rsidP="00261C91">
            <w:pPr>
              <w:spacing w:after="0" w:line="240" w:lineRule="auto"/>
              <w:rPr>
                <w:rFonts w:ascii="Times New Roman" w:eastAsia="Times New Roman" w:hAnsi="Times New Roman"/>
                <w:sz w:val="20"/>
                <w:szCs w:val="20"/>
                <w:lang w:eastAsia="en-GB"/>
              </w:rPr>
            </w:pPr>
          </w:p>
        </w:tc>
      </w:tr>
      <w:tr w:rsidR="00724315" w:rsidRPr="008D536F" w14:paraId="4C5CB9DF" w14:textId="77777777" w:rsidTr="000B2BF5">
        <w:trPr>
          <w:trHeight w:val="300"/>
        </w:trPr>
        <w:tc>
          <w:tcPr>
            <w:tcW w:w="9026" w:type="dxa"/>
            <w:gridSpan w:val="3"/>
            <w:tcBorders>
              <w:top w:val="single" w:sz="4" w:space="0" w:color="auto"/>
              <w:left w:val="nil"/>
              <w:bottom w:val="single" w:sz="4" w:space="0" w:color="auto"/>
              <w:right w:val="nil"/>
            </w:tcBorders>
            <w:shd w:val="clear" w:color="auto" w:fill="auto"/>
            <w:noWrap/>
            <w:vAlign w:val="bottom"/>
            <w:hideMark/>
          </w:tcPr>
          <w:p w14:paraId="533B143C" w14:textId="77777777" w:rsidR="00D150BC" w:rsidRPr="008D536F" w:rsidRDefault="00D150BC" w:rsidP="00D150BC">
            <w:pPr>
              <w:spacing w:after="0"/>
              <w:rPr>
                <w:rFonts w:ascii="Times New Roman" w:eastAsia="Times New Roman" w:hAnsi="Times New Roman"/>
                <w:i/>
                <w:iCs/>
                <w:lang w:eastAsia="en-GB"/>
              </w:rPr>
            </w:pPr>
            <w:r w:rsidRPr="008D536F">
              <w:rPr>
                <w:rFonts w:ascii="Times New Roman" w:eastAsia="Times New Roman" w:hAnsi="Times New Roman"/>
                <w:i/>
                <w:iCs/>
                <w:lang w:eastAsia="en-GB"/>
              </w:rPr>
              <w:t>ART (antiretroviral therapy),  VL (viral load), XTC (lamivudine or emtricitabine)</w:t>
            </w:r>
          </w:p>
          <w:p w14:paraId="5BBDF8B8" w14:textId="556806A2"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t>
            </w:r>
            <w:r w:rsidR="009C626B" w:rsidRPr="008D536F">
              <w:rPr>
                <w:rFonts w:ascii="Times New Roman" w:eastAsia="Times New Roman" w:hAnsi="Times New Roman"/>
                <w:lang w:eastAsia="en-GB"/>
              </w:rPr>
              <w:t xml:space="preserve"> </w:t>
            </w:r>
            <w:r w:rsidRPr="008D536F">
              <w:rPr>
                <w:rFonts w:ascii="Times New Roman" w:eastAsia="Times New Roman" w:hAnsi="Times New Roman"/>
                <w:lang w:eastAsia="en-GB"/>
              </w:rPr>
              <w:t>Resistance classified using Stanford interpretation, where a score &lt;15 indicates susceptible or potential low-level resistance to a drug, and ≥15 indicate low-level, intermediate, or high-level resistance to a drug</w:t>
            </w:r>
            <w:r w:rsidR="00F15144" w:rsidRPr="008D536F">
              <w:rPr>
                <w:rFonts w:ascii="Times New Roman" w:hAnsi="Times New Roman"/>
                <w:sz w:val="18"/>
                <w:szCs w:val="18"/>
              </w:rPr>
              <w:fldChar w:fldCharType="begin" w:fldLock="1"/>
            </w:r>
            <w:r w:rsidR="00E84532" w:rsidRPr="008D536F">
              <w:rPr>
                <w:rFonts w:ascii="Times New Roman" w:hAnsi="Times New Roman"/>
                <w:sz w:val="18"/>
                <w:szCs w:val="18"/>
              </w:rPr>
              <w:instrText>ADDIN CSL_CITATION {"citationItems":[{"id":"ITEM-1","itemData":{"URL":"https://hivdb.stanford.edu/page/release-notes/","abstract":"A curated database containing nearly all published HIV RT and protease sequences: a resource designed for researchers studying evolutionary and drug-related variation in the molecular targets of anti-HIV therapy.","accessed":{"date-parts":[["2020","9","4"]]},"author":[{"dropping-particle":"","family":"Stanford University","given":"","non-dropping-particle":"","parse-names":false,"suffix":""}],"container-title":"HIV Drug Resistance Database","id":"ITEM-1","issued":{"date-parts":[["2020"]]},"title":"DRM penalty scores and resistance interpretation","type":"webpage"},"uris":["http://www.mendeley.com/documents/?uuid=dbb0776a-41b2-4e89-a3f1-7c3515e2ade7"]}],"mendeley":{"formattedCitation":"&lt;sup&gt;3&lt;/sup&gt;","plainTextFormattedCitation":"3","previouslyFormattedCitation":"&lt;sup&gt;1&lt;/sup&gt;"},"properties":{"noteIndex":0},"schema":"https://github.com/citation-style-language/schema/raw/master/csl-citation.json"}</w:instrText>
            </w:r>
            <w:r w:rsidR="00F15144" w:rsidRPr="008D536F">
              <w:rPr>
                <w:rFonts w:ascii="Times New Roman" w:hAnsi="Times New Roman"/>
                <w:sz w:val="18"/>
                <w:szCs w:val="18"/>
              </w:rPr>
              <w:fldChar w:fldCharType="separate"/>
            </w:r>
            <w:r w:rsidR="00E84532" w:rsidRPr="008D536F">
              <w:rPr>
                <w:rFonts w:ascii="Times New Roman" w:hAnsi="Times New Roman"/>
                <w:noProof/>
                <w:sz w:val="18"/>
                <w:szCs w:val="18"/>
                <w:vertAlign w:val="superscript"/>
              </w:rPr>
              <w:t>3</w:t>
            </w:r>
            <w:r w:rsidR="00F15144" w:rsidRPr="008D536F">
              <w:rPr>
                <w:rFonts w:ascii="Times New Roman" w:hAnsi="Times New Roman"/>
                <w:sz w:val="18"/>
                <w:szCs w:val="18"/>
              </w:rPr>
              <w:fldChar w:fldCharType="end"/>
            </w:r>
          </w:p>
          <w:p w14:paraId="21FB9A57" w14:textId="7057C1D1" w:rsidR="00724315" w:rsidRPr="008D536F" w:rsidRDefault="00724315" w:rsidP="00261C91">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w:t>
            </w:r>
            <w:r w:rsidR="00521562" w:rsidRPr="008D536F">
              <w:rPr>
                <w:rFonts w:ascii="Times New Roman" w:hAnsi="Times New Roman"/>
              </w:rPr>
              <w:t xml:space="preserve"> </w:t>
            </w:r>
            <w:r w:rsidR="009C626B" w:rsidRPr="008D536F">
              <w:rPr>
                <w:rFonts w:ascii="Times New Roman" w:hAnsi="Times New Roman"/>
              </w:rPr>
              <w:t>T</w:t>
            </w:r>
            <w:r w:rsidR="00521562" w:rsidRPr="008D536F">
              <w:rPr>
                <w:rFonts w:ascii="Times New Roman" w:hAnsi="Times New Roman"/>
              </w:rPr>
              <w:t xml:space="preserve">enofovir diphosphate (TFV-DP) concentration categorisation: </w:t>
            </w:r>
            <w:r w:rsidRPr="008D536F">
              <w:rPr>
                <w:rFonts w:ascii="Times New Roman" w:eastAsia="Times New Roman" w:hAnsi="Times New Roman"/>
                <w:color w:val="000000"/>
                <w:lang w:val="en-US"/>
              </w:rPr>
              <w:t>&lt;350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 </w:t>
            </w:r>
            <w:r w:rsidRPr="008D536F">
              <w:rPr>
                <w:rFonts w:ascii="Times New Roman" w:eastAsia="Times New Roman" w:hAnsi="Times New Roman"/>
                <w:color w:val="000000"/>
                <w:lang w:val="en-US"/>
              </w:rPr>
              <w:t>(equivalent of - men: &lt;1.2 doses per week</w:t>
            </w:r>
            <w:r w:rsidR="00DF0F6B" w:rsidRPr="008D536F">
              <w:rPr>
                <w:rFonts w:ascii="Times New Roman" w:eastAsia="Times New Roman" w:hAnsi="Times New Roman"/>
                <w:color w:val="000000"/>
                <w:lang w:val="en-US"/>
              </w:rPr>
              <w:t xml:space="preserve"> and</w:t>
            </w:r>
            <w:r w:rsidRPr="008D536F">
              <w:rPr>
                <w:rFonts w:ascii="Times New Roman" w:eastAsia="Times New Roman" w:hAnsi="Times New Roman"/>
                <w:color w:val="000000"/>
                <w:lang w:val="en-US"/>
              </w:rPr>
              <w:t xml:space="preserve"> women: &lt;0.6 doses per week), 350-700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 (men: 1.2 - 3.2 doses per week</w:t>
            </w:r>
            <w:r w:rsidR="00DF0F6B"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0.6 - 2.0 doses per week), </w:t>
            </w:r>
            <w:r w:rsidRPr="008D536F">
              <w:rPr>
                <w:rFonts w:ascii="Times New Roman" w:eastAsia="Times New Roman" w:hAnsi="Times New Roman"/>
                <w:color w:val="000000"/>
                <w:lang w:val="en-US"/>
              </w:rPr>
              <w:t>700-1250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w:t>
            </w:r>
            <w:r w:rsidRPr="008D536F">
              <w:rPr>
                <w:rFonts w:ascii="Times New Roman" w:eastAsia="Times New Roman" w:hAnsi="Times New Roman"/>
                <w:color w:val="000000"/>
                <w:lang w:val="en-US"/>
              </w:rPr>
              <w:t> </w:t>
            </w:r>
            <w:r w:rsidRPr="008D536F">
              <w:rPr>
                <w:rFonts w:ascii="Times New Roman" w:eastAsia="Times New Roman" w:hAnsi="Times New Roman"/>
                <w:color w:val="000000"/>
                <w:bdr w:val="none" w:sz="0" w:space="0" w:color="auto" w:frame="1"/>
                <w:shd w:val="clear" w:color="auto" w:fill="FFFFFF"/>
                <w:lang w:val="en-US"/>
              </w:rPr>
              <w:t>(men: 3.2-6 doses per week</w:t>
            </w:r>
            <w:r w:rsidR="00DF0F6B"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2.0-5.3 doses per week) and </w:t>
            </w:r>
            <w:r w:rsidRPr="008D536F">
              <w:rPr>
                <w:rFonts w:ascii="Times New Roman" w:eastAsia="Times New Roman" w:hAnsi="Times New Roman"/>
                <w:color w:val="000000"/>
                <w:lang w:val="en-US"/>
              </w:rPr>
              <w:t xml:space="preserve">&gt; 1250 </w:t>
            </w:r>
            <w:proofErr w:type="spellStart"/>
            <w:r w:rsidRPr="008D536F">
              <w:rPr>
                <w:rFonts w:ascii="Times New Roman" w:eastAsia="Times New Roman" w:hAnsi="Times New Roman"/>
                <w:color w:val="000000"/>
                <w:lang w:val="en-US"/>
              </w:rPr>
              <w:t>fmol</w:t>
            </w:r>
            <w:proofErr w:type="spellEnd"/>
            <w:r w:rsidRPr="008D536F">
              <w:rPr>
                <w:rFonts w:ascii="Times New Roman" w:eastAsia="Times New Roman" w:hAnsi="Times New Roman"/>
                <w:color w:val="000000"/>
                <w:lang w:val="en-US"/>
              </w:rPr>
              <w:t>/punch </w:t>
            </w:r>
            <w:r w:rsidRPr="008D536F">
              <w:rPr>
                <w:rFonts w:ascii="Times New Roman" w:eastAsia="Times New Roman" w:hAnsi="Times New Roman"/>
                <w:color w:val="000000"/>
                <w:bdr w:val="none" w:sz="0" w:space="0" w:color="auto" w:frame="1"/>
                <w:shd w:val="clear" w:color="auto" w:fill="FFFFFF"/>
                <w:lang w:val="en-US"/>
              </w:rPr>
              <w:t>(men: &gt;6 doses per week</w:t>
            </w:r>
            <w:r w:rsidR="00DF0F6B"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&gt;5.3 doses per week)</w:t>
            </w:r>
            <w:r w:rsidR="008E1AC0" w:rsidRPr="008D536F">
              <w:rPr>
                <w:rFonts w:ascii="Times New Roman" w:hAnsi="Times New Roman"/>
              </w:rPr>
              <w:fldChar w:fldCharType="begin" w:fldLock="1"/>
            </w:r>
            <w:r w:rsidR="00E84532" w:rsidRPr="008D536F">
              <w:rPr>
                <w:rFonts w:ascii="Times New Roman" w:hAnsi="Times New Roman"/>
              </w:rPr>
              <w:instrText>ADDIN CSL_CITATION {"citationItems":[{"id":"ITEM-1","itemData":{"author":[{"dropping-particle":"","family":"Anderson","given":"Peter L","non-dropping-particle":"","parse-names":false,"suffix":""},{"dropping-particle":"","family":"Liu","given":"Albert Y","non-dropping-particle":"","parse-names":false,"suffix":""},{"dropping-particle":"","family":"Castillo-mancilla","given":"Jose R","non-dropping-particle":"","parse-names":false,"suffix":""},{"dropping-particle":"","family":"Gardner","given":"Edward M","non-dropping-particle":"","parse-names":false,"suffix":""},{"dropping-particle":"","family":"Seifert","given":"Sharon M","non-dropping-particle":"","parse-names":false,"suffix":""},{"dropping-particle":"","family":"Mchugh","given":"Cricket","non-dropping-particle":"","parse-names":false,"suffix":""},{"dropping-particle":"","family":"Wagner","given":"Theresa","non-dropping-particle":"","parse-names":false,"suffix":""},{"dropping-particle":"","family":"Campbell","given":"Kayla","non-dropping-particle":"","parse-names":false,"suffix":""},{"dropping-particle":"","family":"Morrow","given":"Mary","non-dropping-particle":"","parse-names":false,"suffix":""},{"dropping-particle":"","family":"Ibrahim","given":"Mustafa","non-dropping-particle":"","parse-names":false,"suffix":""},{"dropping-particle":"","family":"Buchbinder","given":"Susan","non-dropping-particle":"","parse-names":false,"suffix":""},{"dropping-particle":"","family":"Bushman","given":"Lane R","non-dropping-particle":"","parse-names":false,"suffix":""},{"dropping-particle":"","family":"Kiser","given":"Jennifer J","non-dropping-particle":"","parse-names":false,"suffix":""},{"dropping-particle":"","family":"MaWhinney","given":"S","non-dropping-particle":"","parse-names":false,"suffix":""}],"container-title":"Antimicrobial Agents and Chemotherapy","id":"ITEM-1","issue":"1","issued":{"date-parts":[["2018"]]},"page":"1-13","title":"Intracellular Tenofovir-Diphosphate and Emtricitabine-Triphosphate in Dried Blood Spots following Directly Observed Therapy.","type":"article-journal","volume":"62"},"uris":["http://www.mendeley.com/documents/?uuid=cd1f611b-2aef-4ef0-87f6-08fa0d4f3900","http://www.mendeley.com/documents/?uuid=fee0e90a-709f-41be-a296-a0623a3ff6ca"]}],"mendeley":{"formattedCitation":"&lt;sup&gt;4&lt;/sup&gt;","plainTextFormattedCitation":"4","previouslyFormattedCitation":"&lt;sup&gt;2&lt;/sup&gt;"},"properties":{"noteIndex":0},"schema":"https://github.com/citation-style-language/schema/raw/master/csl-citation.json"}</w:instrText>
            </w:r>
            <w:r w:rsidR="008E1AC0" w:rsidRPr="008D536F">
              <w:rPr>
                <w:rFonts w:ascii="Times New Roman" w:hAnsi="Times New Roman"/>
              </w:rPr>
              <w:fldChar w:fldCharType="separate"/>
            </w:r>
            <w:r w:rsidR="00E84532" w:rsidRPr="008D536F">
              <w:rPr>
                <w:rFonts w:ascii="Times New Roman" w:hAnsi="Times New Roman"/>
                <w:noProof/>
                <w:vertAlign w:val="superscript"/>
              </w:rPr>
              <w:t>4</w:t>
            </w:r>
            <w:r w:rsidR="008E1AC0" w:rsidRPr="008D536F">
              <w:rPr>
                <w:rFonts w:ascii="Times New Roman" w:hAnsi="Times New Roman"/>
              </w:rPr>
              <w:fldChar w:fldCharType="end"/>
            </w:r>
            <w:r w:rsidRPr="008D536F">
              <w:rPr>
                <w:rFonts w:ascii="Times New Roman" w:hAnsi="Times New Roman"/>
              </w:rPr>
              <w:t>.</w:t>
            </w:r>
          </w:p>
        </w:tc>
      </w:tr>
    </w:tbl>
    <w:p w14:paraId="3B005683" w14:textId="5A32420E" w:rsidR="00BC4B71" w:rsidRPr="008D536F" w:rsidRDefault="00BC4B71">
      <w:pPr>
        <w:spacing w:after="160" w:line="259" w:lineRule="auto"/>
        <w:rPr>
          <w:rFonts w:ascii="Times New Roman" w:hAnsi="Times New Roman"/>
        </w:rPr>
      </w:pPr>
      <w:bookmarkStart w:id="8" w:name="_Hlk59021990"/>
      <w:r w:rsidRPr="008D536F">
        <w:rPr>
          <w:rFonts w:ascii="Times New Roman" w:hAnsi="Times New Roman"/>
        </w:rPr>
        <w:lastRenderedPageBreak/>
        <w:t>Figure 2. Subgroup analysis of primary endpoint stratified by baseline characteristics and adherence (tenofovir diphosphate concentration) at week 24 (VL &lt; 50 copies/mL at week 24, modified intention-to-treat analysis)</w:t>
      </w:r>
      <w:bookmarkEnd w:id="8"/>
      <w:r w:rsidRPr="008D536F">
        <w:rPr>
          <w:rFonts w:ascii="Times New Roman" w:hAnsi="Times New Roman"/>
          <w:noProof/>
        </w:rPr>
        <w:drawing>
          <wp:inline distT="0" distB="0" distL="0" distR="0" wp14:anchorId="7C56CEEA" wp14:editId="294CDAA0">
            <wp:extent cx="6404610" cy="5123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5123815"/>
                    </a:xfrm>
                    <a:prstGeom prst="rect">
                      <a:avLst/>
                    </a:prstGeom>
                    <a:noFill/>
                    <a:ln>
                      <a:noFill/>
                    </a:ln>
                  </pic:spPr>
                </pic:pic>
              </a:graphicData>
            </a:graphic>
          </wp:inline>
        </w:drawing>
      </w:r>
    </w:p>
    <w:p w14:paraId="0B508D38" w14:textId="60A29A46" w:rsidR="00C3364F" w:rsidRPr="008D536F" w:rsidRDefault="00853B8E" w:rsidP="00C3364F">
      <w:pPr>
        <w:spacing w:after="0"/>
        <w:rPr>
          <w:rFonts w:ascii="Times New Roman" w:eastAsia="Times New Roman" w:hAnsi="Times New Roman"/>
          <w:i/>
          <w:iCs/>
          <w:lang w:eastAsia="en-GB"/>
        </w:rPr>
      </w:pPr>
      <w:r w:rsidRPr="008D536F">
        <w:rPr>
          <w:rFonts w:ascii="Times New Roman" w:eastAsia="Times New Roman" w:hAnsi="Times New Roman"/>
          <w:i/>
          <w:iCs/>
          <w:lang w:eastAsia="en-GB"/>
        </w:rPr>
        <w:t xml:space="preserve">AZT (zidovudine), D4T (stavudine), </w:t>
      </w:r>
      <w:r w:rsidR="00AD0390" w:rsidRPr="008D536F">
        <w:rPr>
          <w:rFonts w:ascii="Times New Roman" w:eastAsia="Times New Roman" w:hAnsi="Times New Roman"/>
          <w:i/>
          <w:iCs/>
          <w:lang w:eastAsia="en-GB"/>
        </w:rPr>
        <w:t xml:space="preserve">NRTI (nucleoside reverse transcriptase inhibitor), </w:t>
      </w:r>
      <w:r w:rsidRPr="008D536F">
        <w:rPr>
          <w:rFonts w:ascii="Times New Roman" w:hAnsi="Times New Roman"/>
        </w:rPr>
        <w:t xml:space="preserve">TFV-DP (tenofovir diphosphate), </w:t>
      </w:r>
      <w:r w:rsidR="00C3364F" w:rsidRPr="008D536F">
        <w:rPr>
          <w:rFonts w:ascii="Times New Roman" w:eastAsia="Times New Roman" w:hAnsi="Times New Roman"/>
          <w:i/>
          <w:iCs/>
          <w:lang w:eastAsia="en-GB"/>
        </w:rPr>
        <w:t>VL (viral load), XTC (lamivudine or emtricitabine)</w:t>
      </w:r>
    </w:p>
    <w:p w14:paraId="04A2C600" w14:textId="77777777" w:rsidR="00BC4B71" w:rsidRPr="008D536F" w:rsidRDefault="00BC4B71">
      <w:pPr>
        <w:spacing w:after="160" w:line="259" w:lineRule="auto"/>
        <w:rPr>
          <w:rFonts w:ascii="Times New Roman" w:hAnsi="Times New Roman"/>
        </w:rPr>
      </w:pPr>
      <w:r w:rsidRPr="008D536F">
        <w:rPr>
          <w:rFonts w:ascii="Times New Roman" w:hAnsi="Times New Roman"/>
        </w:rPr>
        <w:br w:type="page"/>
      </w:r>
    </w:p>
    <w:p w14:paraId="0A35A0E2" w14:textId="1361C861" w:rsidR="00232FB3" w:rsidRPr="008D536F" w:rsidRDefault="006B1240">
      <w:pPr>
        <w:spacing w:after="160" w:line="259" w:lineRule="auto"/>
        <w:rPr>
          <w:rFonts w:ascii="Times New Roman" w:hAnsi="Times New Roman"/>
        </w:rPr>
      </w:pPr>
      <w:r w:rsidRPr="008D536F">
        <w:rPr>
          <w:rFonts w:ascii="Times New Roman" w:hAnsi="Times New Roman"/>
        </w:rPr>
        <w:lastRenderedPageBreak/>
        <w:t>Figure</w:t>
      </w:r>
      <w:r w:rsidR="00232FB3" w:rsidRPr="008D536F">
        <w:rPr>
          <w:rFonts w:ascii="Times New Roman" w:hAnsi="Times New Roman"/>
        </w:rPr>
        <w:t xml:space="preserve"> 3</w:t>
      </w:r>
      <w:r w:rsidR="002252E1" w:rsidRPr="008D536F">
        <w:rPr>
          <w:rFonts w:ascii="Times New Roman" w:hAnsi="Times New Roman"/>
        </w:rPr>
        <w:t>.</w:t>
      </w:r>
      <w:r w:rsidR="00232FB3" w:rsidRPr="008D536F">
        <w:rPr>
          <w:rFonts w:ascii="Times New Roman" w:hAnsi="Times New Roman"/>
        </w:rPr>
        <w:t xml:space="preserve"> Subgroup analysis of participants with </w:t>
      </w:r>
      <w:r w:rsidR="005B153A" w:rsidRPr="008D536F">
        <w:rPr>
          <w:rFonts w:ascii="Times New Roman" w:hAnsi="Times New Roman"/>
        </w:rPr>
        <w:t>viral load</w:t>
      </w:r>
      <w:r w:rsidR="00232FB3" w:rsidRPr="008D536F">
        <w:rPr>
          <w:rFonts w:ascii="Times New Roman" w:hAnsi="Times New Roman"/>
        </w:rPr>
        <w:t xml:space="preserve"> &lt;</w:t>
      </w:r>
      <w:r w:rsidR="002252E1" w:rsidRPr="008D536F">
        <w:rPr>
          <w:rFonts w:ascii="Times New Roman" w:hAnsi="Times New Roman"/>
        </w:rPr>
        <w:t>40</w:t>
      </w:r>
      <w:r w:rsidR="00232FB3" w:rsidRPr="008D536F">
        <w:rPr>
          <w:rFonts w:ascii="Times New Roman" w:hAnsi="Times New Roman"/>
        </w:rPr>
        <w:t>0 copies/mL at week</w:t>
      </w:r>
      <w:r w:rsidR="006D22A7" w:rsidRPr="008D536F">
        <w:rPr>
          <w:rFonts w:ascii="Times New Roman" w:hAnsi="Times New Roman"/>
        </w:rPr>
        <w:t xml:space="preserve"> 24</w:t>
      </w:r>
      <w:r w:rsidR="007A7F5A" w:rsidRPr="008D536F">
        <w:rPr>
          <w:rFonts w:ascii="Times New Roman" w:hAnsi="Times New Roman"/>
        </w:rPr>
        <w:t xml:space="preserve"> stratified by baseline characteristics</w:t>
      </w:r>
      <w:r w:rsidR="00016C12" w:rsidRPr="008D536F">
        <w:rPr>
          <w:rFonts w:ascii="Times New Roman" w:hAnsi="Times New Roman"/>
        </w:rPr>
        <w:t xml:space="preserve"> and </w:t>
      </w:r>
      <w:r w:rsidR="00521562" w:rsidRPr="008D536F">
        <w:rPr>
          <w:rFonts w:ascii="Times New Roman" w:hAnsi="Times New Roman"/>
        </w:rPr>
        <w:t xml:space="preserve">adherence (tenofovir diphosphate concentration) </w:t>
      </w:r>
      <w:r w:rsidR="00016C12" w:rsidRPr="008D536F">
        <w:rPr>
          <w:rFonts w:ascii="Times New Roman" w:hAnsi="Times New Roman"/>
        </w:rPr>
        <w:t>at week 24</w:t>
      </w:r>
      <w:r w:rsidR="00232FB3" w:rsidRPr="008D536F">
        <w:rPr>
          <w:rFonts w:ascii="Times New Roman" w:hAnsi="Times New Roman"/>
        </w:rPr>
        <w:t xml:space="preserve"> (m</w:t>
      </w:r>
      <w:r w:rsidR="00983A78" w:rsidRPr="008D536F">
        <w:rPr>
          <w:rFonts w:ascii="Times New Roman" w:hAnsi="Times New Roman"/>
        </w:rPr>
        <w:t>odified intention-to-treat</w:t>
      </w:r>
      <w:r w:rsidR="00232FB3" w:rsidRPr="008D536F">
        <w:rPr>
          <w:rFonts w:ascii="Times New Roman" w:hAnsi="Times New Roman"/>
        </w:rPr>
        <w:t xml:space="preserve"> analysis)</w:t>
      </w:r>
    </w:p>
    <w:p w14:paraId="31FDC771" w14:textId="77777777" w:rsidR="00AD0390" w:rsidRPr="008D536F" w:rsidRDefault="00016C12">
      <w:pPr>
        <w:spacing w:after="160" w:line="259" w:lineRule="auto"/>
        <w:rPr>
          <w:rFonts w:ascii="Times New Roman" w:hAnsi="Times New Roman"/>
        </w:rPr>
      </w:pPr>
      <w:r w:rsidRPr="008D536F">
        <w:rPr>
          <w:rFonts w:ascii="Times New Roman" w:hAnsi="Times New Roman"/>
          <w:noProof/>
        </w:rPr>
        <w:drawing>
          <wp:inline distT="0" distB="0" distL="0" distR="0" wp14:anchorId="79EFCE7E" wp14:editId="79B9233B">
            <wp:extent cx="6404610" cy="51238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5123815"/>
                    </a:xfrm>
                    <a:prstGeom prst="rect">
                      <a:avLst/>
                    </a:prstGeom>
                    <a:noFill/>
                    <a:ln>
                      <a:noFill/>
                    </a:ln>
                  </pic:spPr>
                </pic:pic>
              </a:graphicData>
            </a:graphic>
          </wp:inline>
        </w:drawing>
      </w:r>
    </w:p>
    <w:p w14:paraId="6FD91024" w14:textId="77777777" w:rsidR="00AD0390" w:rsidRPr="008D536F" w:rsidRDefault="00AD0390" w:rsidP="00AD0390">
      <w:pPr>
        <w:spacing w:after="0"/>
        <w:rPr>
          <w:rFonts w:ascii="Times New Roman" w:eastAsia="Times New Roman" w:hAnsi="Times New Roman"/>
          <w:i/>
          <w:iCs/>
          <w:lang w:eastAsia="en-GB"/>
        </w:rPr>
      </w:pPr>
      <w:r w:rsidRPr="008D536F">
        <w:rPr>
          <w:rFonts w:ascii="Times New Roman" w:eastAsia="Times New Roman" w:hAnsi="Times New Roman"/>
          <w:i/>
          <w:iCs/>
          <w:lang w:eastAsia="en-GB"/>
        </w:rPr>
        <w:t xml:space="preserve">AZT (zidovudine), D4T (stavudine), NRTI (nucleoside reverse transcriptase inhibitor), </w:t>
      </w:r>
      <w:r w:rsidRPr="008D536F">
        <w:rPr>
          <w:rFonts w:ascii="Times New Roman" w:hAnsi="Times New Roman"/>
        </w:rPr>
        <w:t xml:space="preserve">TFV-DP (tenofovir diphosphate), </w:t>
      </w:r>
      <w:r w:rsidRPr="008D536F">
        <w:rPr>
          <w:rFonts w:ascii="Times New Roman" w:eastAsia="Times New Roman" w:hAnsi="Times New Roman"/>
          <w:i/>
          <w:iCs/>
          <w:lang w:eastAsia="en-GB"/>
        </w:rPr>
        <w:t>VL (viral load), XTC (lamivudine or emtricitabine)</w:t>
      </w:r>
    </w:p>
    <w:p w14:paraId="1885B31F" w14:textId="4EB5DD76" w:rsidR="0072384C" w:rsidRPr="008D536F" w:rsidRDefault="0072384C">
      <w:pPr>
        <w:spacing w:after="160" w:line="259" w:lineRule="auto"/>
        <w:rPr>
          <w:rFonts w:ascii="Times New Roman" w:hAnsi="Times New Roman"/>
        </w:rPr>
      </w:pPr>
      <w:r w:rsidRPr="008D536F">
        <w:rPr>
          <w:rFonts w:ascii="Times New Roman" w:hAnsi="Times New Roman"/>
        </w:rPr>
        <w:br w:type="page"/>
      </w:r>
    </w:p>
    <w:p w14:paraId="07326CC4" w14:textId="5FD8D99C" w:rsidR="0072384C" w:rsidRPr="008D536F" w:rsidRDefault="0072384C" w:rsidP="0072384C">
      <w:pPr>
        <w:rPr>
          <w:rFonts w:ascii="Times New Roman" w:hAnsi="Times New Roman"/>
        </w:rPr>
      </w:pPr>
      <w:r w:rsidRPr="008D536F">
        <w:rPr>
          <w:rFonts w:ascii="Times New Roman" w:hAnsi="Times New Roman"/>
        </w:rPr>
        <w:lastRenderedPageBreak/>
        <w:t xml:space="preserve">Table </w:t>
      </w:r>
      <w:r w:rsidR="00AF4192" w:rsidRPr="008D536F">
        <w:rPr>
          <w:rFonts w:ascii="Times New Roman" w:hAnsi="Times New Roman"/>
        </w:rPr>
        <w:t>7</w:t>
      </w:r>
      <w:r w:rsidRPr="008D536F">
        <w:rPr>
          <w:rFonts w:ascii="Times New Roman" w:hAnsi="Times New Roman"/>
        </w:rPr>
        <w:t xml:space="preserve">. Categorised </w:t>
      </w:r>
      <w:r w:rsidR="00521562" w:rsidRPr="008D536F">
        <w:rPr>
          <w:rFonts w:ascii="Times New Roman" w:hAnsi="Times New Roman"/>
        </w:rPr>
        <w:t>tenofovir diphosphate (</w:t>
      </w:r>
      <w:r w:rsidRPr="008D536F">
        <w:rPr>
          <w:rFonts w:ascii="Times New Roman" w:hAnsi="Times New Roman"/>
        </w:rPr>
        <w:t>TFV-DP</w:t>
      </w:r>
      <w:r w:rsidR="00521562" w:rsidRPr="008D536F">
        <w:rPr>
          <w:rFonts w:ascii="Times New Roman" w:hAnsi="Times New Roman"/>
        </w:rPr>
        <w:t>)</w:t>
      </w:r>
      <w:r w:rsidRPr="008D536F">
        <w:rPr>
          <w:rFonts w:ascii="Times New Roman" w:hAnsi="Times New Roman"/>
        </w:rPr>
        <w:t xml:space="preserve"> concentrations at baseline, week 12, and week 24, stratified by sex</w:t>
      </w:r>
    </w:p>
    <w:tbl>
      <w:tblPr>
        <w:tblStyle w:val="TableGrid"/>
        <w:tblW w:w="0" w:type="auto"/>
        <w:tblLook w:val="04A0" w:firstRow="1" w:lastRow="0" w:firstColumn="1" w:lastColumn="0" w:noHBand="0" w:noVBand="1"/>
      </w:tblPr>
      <w:tblGrid>
        <w:gridCol w:w="2337"/>
        <w:gridCol w:w="1168"/>
        <w:gridCol w:w="1169"/>
        <w:gridCol w:w="1169"/>
        <w:gridCol w:w="1169"/>
        <w:gridCol w:w="1169"/>
        <w:gridCol w:w="1169"/>
      </w:tblGrid>
      <w:tr w:rsidR="0072384C" w:rsidRPr="008D536F" w14:paraId="3F8DD609" w14:textId="77777777" w:rsidTr="00627FD9">
        <w:tc>
          <w:tcPr>
            <w:tcW w:w="2337" w:type="dxa"/>
            <w:tcBorders>
              <w:left w:val="single" w:sz="4" w:space="0" w:color="FFFFFF" w:themeColor="background1"/>
              <w:right w:val="single" w:sz="4" w:space="0" w:color="FFFFFF" w:themeColor="background1"/>
            </w:tcBorders>
          </w:tcPr>
          <w:p w14:paraId="34835161" w14:textId="77777777" w:rsidR="0072384C" w:rsidRPr="008D536F" w:rsidRDefault="0072384C" w:rsidP="00627FD9">
            <w:pPr>
              <w:spacing w:after="0"/>
              <w:rPr>
                <w:rFonts w:ascii="Times New Roman" w:hAnsi="Times New Roman"/>
                <w:b/>
                <w:bCs/>
              </w:rPr>
            </w:pPr>
            <w:r w:rsidRPr="008D536F">
              <w:rPr>
                <w:rFonts w:ascii="Times New Roman" w:hAnsi="Times New Roman"/>
                <w:b/>
                <w:bCs/>
              </w:rPr>
              <w:t>TFV-DP (</w:t>
            </w:r>
            <w:proofErr w:type="spellStart"/>
            <w:r w:rsidRPr="008D536F">
              <w:rPr>
                <w:rFonts w:ascii="Times New Roman" w:hAnsi="Times New Roman"/>
                <w:b/>
                <w:bCs/>
              </w:rPr>
              <w:t>fmol</w:t>
            </w:r>
            <w:proofErr w:type="spellEnd"/>
            <w:r w:rsidRPr="008D536F">
              <w:rPr>
                <w:rFonts w:ascii="Times New Roman" w:hAnsi="Times New Roman"/>
                <w:b/>
                <w:bCs/>
              </w:rPr>
              <w:t>/punch)*</w:t>
            </w:r>
          </w:p>
        </w:tc>
        <w:tc>
          <w:tcPr>
            <w:tcW w:w="2337" w:type="dxa"/>
            <w:gridSpan w:val="2"/>
            <w:tcBorders>
              <w:left w:val="single" w:sz="4" w:space="0" w:color="FFFFFF" w:themeColor="background1"/>
              <w:right w:val="single" w:sz="4" w:space="0" w:color="FFFFFF" w:themeColor="background1"/>
            </w:tcBorders>
          </w:tcPr>
          <w:p w14:paraId="2CD5B63B" w14:textId="77777777" w:rsidR="0072384C" w:rsidRPr="008D536F" w:rsidRDefault="0072384C" w:rsidP="00627FD9">
            <w:pPr>
              <w:spacing w:after="0"/>
              <w:rPr>
                <w:rFonts w:ascii="Times New Roman" w:hAnsi="Times New Roman"/>
                <w:b/>
                <w:bCs/>
              </w:rPr>
            </w:pPr>
            <w:r w:rsidRPr="008D536F">
              <w:rPr>
                <w:rFonts w:ascii="Times New Roman" w:hAnsi="Times New Roman"/>
                <w:b/>
                <w:bCs/>
              </w:rPr>
              <w:t>Baseline (N=60), n (%)</w:t>
            </w:r>
          </w:p>
        </w:tc>
        <w:tc>
          <w:tcPr>
            <w:tcW w:w="2338" w:type="dxa"/>
            <w:gridSpan w:val="2"/>
            <w:tcBorders>
              <w:left w:val="single" w:sz="4" w:space="0" w:color="FFFFFF" w:themeColor="background1"/>
              <w:right w:val="single" w:sz="4" w:space="0" w:color="FFFFFF" w:themeColor="background1"/>
            </w:tcBorders>
          </w:tcPr>
          <w:p w14:paraId="1DBCAD8F" w14:textId="77777777" w:rsidR="0072384C" w:rsidRPr="008D536F" w:rsidRDefault="0072384C" w:rsidP="00627FD9">
            <w:pPr>
              <w:spacing w:after="0"/>
              <w:rPr>
                <w:rFonts w:ascii="Times New Roman" w:hAnsi="Times New Roman"/>
                <w:b/>
                <w:bCs/>
              </w:rPr>
            </w:pPr>
            <w:r w:rsidRPr="008D536F">
              <w:rPr>
                <w:rFonts w:ascii="Times New Roman" w:hAnsi="Times New Roman"/>
                <w:b/>
                <w:bCs/>
              </w:rPr>
              <w:t>Week 12 (N=55), n (%)</w:t>
            </w:r>
          </w:p>
        </w:tc>
        <w:tc>
          <w:tcPr>
            <w:tcW w:w="2338" w:type="dxa"/>
            <w:gridSpan w:val="2"/>
            <w:tcBorders>
              <w:left w:val="single" w:sz="4" w:space="0" w:color="FFFFFF" w:themeColor="background1"/>
              <w:right w:val="single" w:sz="4" w:space="0" w:color="FFFFFF" w:themeColor="background1"/>
            </w:tcBorders>
          </w:tcPr>
          <w:p w14:paraId="6A5AFC4C" w14:textId="77777777" w:rsidR="0072384C" w:rsidRPr="008D536F" w:rsidRDefault="0072384C" w:rsidP="00627FD9">
            <w:pPr>
              <w:spacing w:after="0"/>
              <w:rPr>
                <w:rFonts w:ascii="Times New Roman" w:hAnsi="Times New Roman"/>
                <w:b/>
                <w:bCs/>
              </w:rPr>
            </w:pPr>
            <w:r w:rsidRPr="008D536F">
              <w:rPr>
                <w:rFonts w:ascii="Times New Roman" w:hAnsi="Times New Roman"/>
                <w:b/>
                <w:bCs/>
              </w:rPr>
              <w:t>Week 24 (N=49), n (%)</w:t>
            </w:r>
          </w:p>
        </w:tc>
      </w:tr>
      <w:tr w:rsidR="0072384C" w:rsidRPr="008D536F" w14:paraId="360BF609" w14:textId="77777777" w:rsidTr="00627FD9">
        <w:tc>
          <w:tcPr>
            <w:tcW w:w="2337" w:type="dxa"/>
            <w:tcBorders>
              <w:left w:val="single" w:sz="4" w:space="0" w:color="FFFFFF" w:themeColor="background1"/>
              <w:right w:val="single" w:sz="4" w:space="0" w:color="FFFFFF" w:themeColor="background1"/>
            </w:tcBorders>
          </w:tcPr>
          <w:p w14:paraId="3F58FCB9" w14:textId="77777777" w:rsidR="0072384C" w:rsidRPr="008D536F" w:rsidRDefault="0072384C" w:rsidP="00627FD9">
            <w:pPr>
              <w:spacing w:after="0" w:line="240" w:lineRule="auto"/>
              <w:rPr>
                <w:rFonts w:ascii="Times New Roman" w:hAnsi="Times New Roman"/>
              </w:rPr>
            </w:pPr>
          </w:p>
        </w:tc>
        <w:tc>
          <w:tcPr>
            <w:tcW w:w="1168" w:type="dxa"/>
            <w:tcBorders>
              <w:left w:val="single" w:sz="4" w:space="0" w:color="FFFFFF" w:themeColor="background1"/>
              <w:right w:val="single" w:sz="4" w:space="0" w:color="FFFFFF" w:themeColor="background1"/>
            </w:tcBorders>
            <w:shd w:val="clear" w:color="auto" w:fill="F2F2F2" w:themeFill="background1" w:themeFillShade="F2"/>
          </w:tcPr>
          <w:p w14:paraId="53E41CCC"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Women (N=42)</w:t>
            </w:r>
          </w:p>
        </w:tc>
        <w:tc>
          <w:tcPr>
            <w:tcW w:w="1169" w:type="dxa"/>
            <w:tcBorders>
              <w:left w:val="single" w:sz="4" w:space="0" w:color="FFFFFF" w:themeColor="background1"/>
              <w:right w:val="single" w:sz="4" w:space="0" w:color="FFFFFF" w:themeColor="background1"/>
            </w:tcBorders>
          </w:tcPr>
          <w:p w14:paraId="7131A4E9"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Men (N=18)</w:t>
            </w:r>
          </w:p>
        </w:tc>
        <w:tc>
          <w:tcPr>
            <w:tcW w:w="1169" w:type="dxa"/>
            <w:tcBorders>
              <w:left w:val="single" w:sz="4" w:space="0" w:color="FFFFFF" w:themeColor="background1"/>
              <w:right w:val="single" w:sz="4" w:space="0" w:color="FFFFFF" w:themeColor="background1"/>
            </w:tcBorders>
            <w:shd w:val="clear" w:color="auto" w:fill="F2F2F2" w:themeFill="background1" w:themeFillShade="F2"/>
          </w:tcPr>
          <w:p w14:paraId="18906094"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Women</w:t>
            </w:r>
          </w:p>
          <w:p w14:paraId="75D5D0D3"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(N=38)</w:t>
            </w:r>
          </w:p>
        </w:tc>
        <w:tc>
          <w:tcPr>
            <w:tcW w:w="1169" w:type="dxa"/>
            <w:tcBorders>
              <w:left w:val="single" w:sz="4" w:space="0" w:color="FFFFFF" w:themeColor="background1"/>
              <w:right w:val="single" w:sz="4" w:space="0" w:color="FFFFFF" w:themeColor="background1"/>
            </w:tcBorders>
          </w:tcPr>
          <w:p w14:paraId="26B91E4C"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Men</w:t>
            </w:r>
          </w:p>
          <w:p w14:paraId="26CC15F7"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(N=17)</w:t>
            </w:r>
          </w:p>
        </w:tc>
        <w:tc>
          <w:tcPr>
            <w:tcW w:w="1169" w:type="dxa"/>
            <w:tcBorders>
              <w:left w:val="single" w:sz="4" w:space="0" w:color="FFFFFF" w:themeColor="background1"/>
              <w:right w:val="single" w:sz="4" w:space="0" w:color="FFFFFF" w:themeColor="background1"/>
            </w:tcBorders>
            <w:shd w:val="clear" w:color="auto" w:fill="F2F2F2" w:themeFill="background1" w:themeFillShade="F2"/>
          </w:tcPr>
          <w:p w14:paraId="7E735BB9"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Women</w:t>
            </w:r>
          </w:p>
          <w:p w14:paraId="2A92D4D9"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(N=34)</w:t>
            </w:r>
          </w:p>
        </w:tc>
        <w:tc>
          <w:tcPr>
            <w:tcW w:w="1169" w:type="dxa"/>
            <w:tcBorders>
              <w:left w:val="single" w:sz="4" w:space="0" w:color="FFFFFF" w:themeColor="background1"/>
              <w:right w:val="single" w:sz="4" w:space="0" w:color="FFFFFF" w:themeColor="background1"/>
            </w:tcBorders>
          </w:tcPr>
          <w:p w14:paraId="5DFC606C" w14:textId="77777777" w:rsidR="0072384C" w:rsidRPr="008D536F" w:rsidRDefault="0072384C" w:rsidP="00627FD9">
            <w:pPr>
              <w:spacing w:after="0" w:line="240" w:lineRule="auto"/>
              <w:rPr>
                <w:rFonts w:ascii="Times New Roman" w:hAnsi="Times New Roman"/>
              </w:rPr>
            </w:pPr>
            <w:r w:rsidRPr="008D536F">
              <w:rPr>
                <w:rFonts w:ascii="Times New Roman" w:hAnsi="Times New Roman"/>
              </w:rPr>
              <w:t xml:space="preserve">Men (N=15) </w:t>
            </w:r>
          </w:p>
        </w:tc>
      </w:tr>
      <w:tr w:rsidR="003B405F" w:rsidRPr="008D536F" w14:paraId="31D9164A" w14:textId="77777777" w:rsidTr="00627FD9">
        <w:tc>
          <w:tcPr>
            <w:tcW w:w="2337" w:type="dxa"/>
            <w:tcBorders>
              <w:left w:val="single" w:sz="4" w:space="0" w:color="FFFFFF" w:themeColor="background1"/>
              <w:bottom w:val="single" w:sz="4" w:space="0" w:color="FFFFFF" w:themeColor="background1"/>
              <w:right w:val="single" w:sz="4" w:space="0" w:color="FFFFFF" w:themeColor="background1"/>
            </w:tcBorders>
          </w:tcPr>
          <w:p w14:paraId="03EA9934" w14:textId="77777777" w:rsidR="0072384C" w:rsidRPr="008D536F" w:rsidRDefault="0072384C" w:rsidP="006911DE">
            <w:pPr>
              <w:rPr>
                <w:rFonts w:ascii="Times New Roman" w:hAnsi="Times New Roman"/>
              </w:rPr>
            </w:pPr>
            <w:r w:rsidRPr="008D536F">
              <w:rPr>
                <w:rFonts w:ascii="Times New Roman" w:hAnsi="Times New Roman"/>
                <w:b/>
                <w:bCs/>
              </w:rPr>
              <w:t>&lt;350, n (%)</w:t>
            </w:r>
          </w:p>
        </w:tc>
        <w:tc>
          <w:tcPr>
            <w:tcW w:w="1168" w:type="dxa"/>
            <w:tcBorders>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5A0422E0" w14:textId="77777777" w:rsidR="0072384C" w:rsidRPr="008D536F" w:rsidRDefault="0072384C" w:rsidP="006911DE">
            <w:pPr>
              <w:rPr>
                <w:rFonts w:ascii="Times New Roman" w:hAnsi="Times New Roman"/>
              </w:rPr>
            </w:pPr>
            <w:r w:rsidRPr="008D536F">
              <w:rPr>
                <w:rFonts w:ascii="Times New Roman" w:hAnsi="Times New Roman"/>
              </w:rPr>
              <w:t>7 (16.7)</w:t>
            </w:r>
          </w:p>
        </w:tc>
        <w:tc>
          <w:tcPr>
            <w:tcW w:w="1169" w:type="dxa"/>
            <w:tcBorders>
              <w:left w:val="single" w:sz="4" w:space="0" w:color="FFFFFF" w:themeColor="background1"/>
              <w:bottom w:val="single" w:sz="4" w:space="0" w:color="FFFFFF" w:themeColor="background1"/>
              <w:right w:val="single" w:sz="4" w:space="0" w:color="FFFFFF" w:themeColor="background1"/>
            </w:tcBorders>
          </w:tcPr>
          <w:p w14:paraId="6BBAD40C" w14:textId="77777777" w:rsidR="0072384C" w:rsidRPr="008D536F" w:rsidRDefault="0072384C" w:rsidP="006911DE">
            <w:pPr>
              <w:rPr>
                <w:rFonts w:ascii="Times New Roman" w:hAnsi="Times New Roman"/>
              </w:rPr>
            </w:pPr>
            <w:r w:rsidRPr="008D536F">
              <w:rPr>
                <w:rFonts w:ascii="Times New Roman" w:hAnsi="Times New Roman"/>
              </w:rPr>
              <w:t>1 (5.6)</w:t>
            </w:r>
          </w:p>
        </w:tc>
        <w:tc>
          <w:tcPr>
            <w:tcW w:w="1169" w:type="dxa"/>
            <w:tcBorders>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7965C70B" w14:textId="77777777" w:rsidR="0072384C" w:rsidRPr="008D536F" w:rsidRDefault="0072384C" w:rsidP="006911DE">
            <w:pPr>
              <w:rPr>
                <w:rFonts w:ascii="Times New Roman" w:hAnsi="Times New Roman"/>
              </w:rPr>
            </w:pPr>
            <w:r w:rsidRPr="008D536F">
              <w:rPr>
                <w:rFonts w:ascii="Times New Roman" w:hAnsi="Times New Roman"/>
              </w:rPr>
              <w:t>0</w:t>
            </w:r>
          </w:p>
        </w:tc>
        <w:tc>
          <w:tcPr>
            <w:tcW w:w="1169" w:type="dxa"/>
            <w:tcBorders>
              <w:left w:val="single" w:sz="4" w:space="0" w:color="FFFFFF" w:themeColor="background1"/>
              <w:bottom w:val="single" w:sz="4" w:space="0" w:color="FFFFFF" w:themeColor="background1"/>
              <w:right w:val="single" w:sz="4" w:space="0" w:color="FFFFFF" w:themeColor="background1"/>
            </w:tcBorders>
          </w:tcPr>
          <w:p w14:paraId="5091E668" w14:textId="77777777" w:rsidR="0072384C" w:rsidRPr="008D536F" w:rsidRDefault="0072384C" w:rsidP="006911DE">
            <w:pPr>
              <w:rPr>
                <w:rFonts w:ascii="Times New Roman" w:hAnsi="Times New Roman"/>
              </w:rPr>
            </w:pPr>
            <w:r w:rsidRPr="008D536F">
              <w:rPr>
                <w:rFonts w:ascii="Times New Roman" w:hAnsi="Times New Roman"/>
              </w:rPr>
              <w:t>0</w:t>
            </w:r>
          </w:p>
        </w:tc>
        <w:tc>
          <w:tcPr>
            <w:tcW w:w="1169" w:type="dxa"/>
            <w:tcBorders>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084115E7" w14:textId="77777777" w:rsidR="0072384C" w:rsidRPr="008D536F" w:rsidRDefault="0072384C" w:rsidP="006911DE">
            <w:pPr>
              <w:rPr>
                <w:rFonts w:ascii="Times New Roman" w:hAnsi="Times New Roman"/>
              </w:rPr>
            </w:pPr>
            <w:r w:rsidRPr="008D536F">
              <w:rPr>
                <w:rFonts w:ascii="Times New Roman" w:hAnsi="Times New Roman"/>
              </w:rPr>
              <w:t>2 (5.9)</w:t>
            </w:r>
          </w:p>
        </w:tc>
        <w:tc>
          <w:tcPr>
            <w:tcW w:w="1169" w:type="dxa"/>
            <w:tcBorders>
              <w:left w:val="single" w:sz="4" w:space="0" w:color="FFFFFF" w:themeColor="background1"/>
              <w:bottom w:val="single" w:sz="4" w:space="0" w:color="FFFFFF" w:themeColor="background1"/>
              <w:right w:val="single" w:sz="4" w:space="0" w:color="FFFFFF" w:themeColor="background1"/>
            </w:tcBorders>
          </w:tcPr>
          <w:p w14:paraId="43F1E488" w14:textId="77777777" w:rsidR="0072384C" w:rsidRPr="008D536F" w:rsidRDefault="0072384C" w:rsidP="006911DE">
            <w:pPr>
              <w:rPr>
                <w:rFonts w:ascii="Times New Roman" w:hAnsi="Times New Roman"/>
              </w:rPr>
            </w:pPr>
            <w:r w:rsidRPr="008D536F">
              <w:rPr>
                <w:rFonts w:ascii="Times New Roman" w:hAnsi="Times New Roman"/>
              </w:rPr>
              <w:t>0</w:t>
            </w:r>
          </w:p>
        </w:tc>
      </w:tr>
      <w:tr w:rsidR="003B405F" w:rsidRPr="008D536F" w14:paraId="14D426F3" w14:textId="77777777" w:rsidTr="00627FD9">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8E966" w14:textId="77777777" w:rsidR="0072384C" w:rsidRPr="008D536F" w:rsidRDefault="0072384C" w:rsidP="006911DE">
            <w:pPr>
              <w:rPr>
                <w:rFonts w:ascii="Times New Roman" w:hAnsi="Times New Roman"/>
              </w:rPr>
            </w:pPr>
            <w:r w:rsidRPr="008D536F">
              <w:rPr>
                <w:rFonts w:ascii="Times New Roman" w:hAnsi="Times New Roman"/>
                <w:b/>
                <w:bCs/>
              </w:rPr>
              <w:t>350-700, n (%)</w:t>
            </w:r>
          </w:p>
        </w:tc>
        <w:tc>
          <w:tcPr>
            <w:tcW w:w="1168" w:type="dxa"/>
            <w:tcBorders>
              <w:top w:val="single" w:sz="4" w:space="0" w:color="F2F2F2" w:themeColor="background1" w:themeShade="F2"/>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525EEA0F" w14:textId="77777777" w:rsidR="0072384C" w:rsidRPr="008D536F" w:rsidRDefault="0072384C" w:rsidP="006911DE">
            <w:pPr>
              <w:rPr>
                <w:rFonts w:ascii="Times New Roman" w:hAnsi="Times New Roman"/>
              </w:rPr>
            </w:pPr>
            <w:r w:rsidRPr="008D536F">
              <w:rPr>
                <w:rFonts w:ascii="Times New Roman" w:hAnsi="Times New Roman"/>
              </w:rPr>
              <w:t>0</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632F8" w14:textId="77777777" w:rsidR="0072384C" w:rsidRPr="008D536F" w:rsidRDefault="0072384C" w:rsidP="006911DE">
            <w:pPr>
              <w:rPr>
                <w:rFonts w:ascii="Times New Roman" w:hAnsi="Times New Roman"/>
              </w:rPr>
            </w:pPr>
            <w:r w:rsidRPr="008D536F">
              <w:rPr>
                <w:rFonts w:ascii="Times New Roman" w:hAnsi="Times New Roman"/>
              </w:rPr>
              <w:t>2 (11.1)</w:t>
            </w:r>
          </w:p>
        </w:tc>
        <w:tc>
          <w:tcPr>
            <w:tcW w:w="1169" w:type="dxa"/>
            <w:tcBorders>
              <w:top w:val="single" w:sz="4" w:space="0" w:color="F2F2F2" w:themeColor="background1" w:themeShade="F2"/>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061E0EB1" w14:textId="77777777" w:rsidR="0072384C" w:rsidRPr="008D536F" w:rsidRDefault="0072384C" w:rsidP="006911DE">
            <w:pPr>
              <w:rPr>
                <w:rFonts w:ascii="Times New Roman" w:hAnsi="Times New Roman"/>
              </w:rPr>
            </w:pPr>
            <w:r w:rsidRPr="008D536F">
              <w:rPr>
                <w:rFonts w:ascii="Times New Roman" w:hAnsi="Times New Roman"/>
              </w:rPr>
              <w:t>1 (2.6)</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6516D" w14:textId="77777777" w:rsidR="0072384C" w:rsidRPr="008D536F" w:rsidRDefault="0072384C" w:rsidP="006911DE">
            <w:pPr>
              <w:rPr>
                <w:rFonts w:ascii="Times New Roman" w:hAnsi="Times New Roman"/>
              </w:rPr>
            </w:pPr>
            <w:r w:rsidRPr="008D536F">
              <w:rPr>
                <w:rFonts w:ascii="Times New Roman" w:hAnsi="Times New Roman"/>
              </w:rPr>
              <w:t>0</w:t>
            </w:r>
          </w:p>
        </w:tc>
        <w:tc>
          <w:tcPr>
            <w:tcW w:w="1169" w:type="dxa"/>
            <w:tcBorders>
              <w:top w:val="single" w:sz="4" w:space="0" w:color="F2F2F2" w:themeColor="background1" w:themeShade="F2"/>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3B0E941F" w14:textId="77777777" w:rsidR="0072384C" w:rsidRPr="008D536F" w:rsidRDefault="0072384C" w:rsidP="006911DE">
            <w:pPr>
              <w:rPr>
                <w:rFonts w:ascii="Times New Roman" w:hAnsi="Times New Roman"/>
              </w:rPr>
            </w:pPr>
            <w:r w:rsidRPr="008D536F">
              <w:rPr>
                <w:rFonts w:ascii="Times New Roman" w:hAnsi="Times New Roman"/>
              </w:rPr>
              <w:t>1 (2.9)</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534B7" w14:textId="77777777" w:rsidR="0072384C" w:rsidRPr="008D536F" w:rsidRDefault="0072384C" w:rsidP="006911DE">
            <w:pPr>
              <w:rPr>
                <w:rFonts w:ascii="Times New Roman" w:hAnsi="Times New Roman"/>
              </w:rPr>
            </w:pPr>
            <w:r w:rsidRPr="008D536F">
              <w:rPr>
                <w:rFonts w:ascii="Times New Roman" w:hAnsi="Times New Roman"/>
              </w:rPr>
              <w:t>0</w:t>
            </w:r>
          </w:p>
        </w:tc>
      </w:tr>
      <w:tr w:rsidR="003B405F" w:rsidRPr="008D536F" w14:paraId="55A296FB" w14:textId="77777777" w:rsidTr="00627FD9">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70348" w14:textId="77777777" w:rsidR="0072384C" w:rsidRPr="008D536F" w:rsidRDefault="0072384C" w:rsidP="006911DE">
            <w:pPr>
              <w:rPr>
                <w:rFonts w:ascii="Times New Roman" w:hAnsi="Times New Roman"/>
              </w:rPr>
            </w:pPr>
            <w:r w:rsidRPr="008D536F">
              <w:rPr>
                <w:rFonts w:ascii="Times New Roman" w:hAnsi="Times New Roman"/>
                <w:b/>
                <w:bCs/>
              </w:rPr>
              <w:t>701-1250, n (%)</w:t>
            </w:r>
          </w:p>
        </w:tc>
        <w:tc>
          <w:tcPr>
            <w:tcW w:w="1168" w:type="dxa"/>
            <w:tcBorders>
              <w:top w:val="single" w:sz="4" w:space="0" w:color="F2F2F2" w:themeColor="background1" w:themeShade="F2"/>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1E75B42E" w14:textId="77777777" w:rsidR="0072384C" w:rsidRPr="008D536F" w:rsidRDefault="0072384C" w:rsidP="006911DE">
            <w:pPr>
              <w:rPr>
                <w:rFonts w:ascii="Times New Roman" w:hAnsi="Times New Roman"/>
              </w:rPr>
            </w:pPr>
            <w:r w:rsidRPr="008D536F">
              <w:rPr>
                <w:rFonts w:ascii="Times New Roman" w:hAnsi="Times New Roman"/>
              </w:rPr>
              <w:t>18 (42.8)</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E0614" w14:textId="77777777" w:rsidR="0072384C" w:rsidRPr="008D536F" w:rsidRDefault="0072384C" w:rsidP="006911DE">
            <w:pPr>
              <w:rPr>
                <w:rFonts w:ascii="Times New Roman" w:hAnsi="Times New Roman"/>
              </w:rPr>
            </w:pPr>
            <w:r w:rsidRPr="008D536F">
              <w:rPr>
                <w:rFonts w:ascii="Times New Roman" w:hAnsi="Times New Roman"/>
              </w:rPr>
              <w:t>6 (33.3)</w:t>
            </w:r>
          </w:p>
        </w:tc>
        <w:tc>
          <w:tcPr>
            <w:tcW w:w="1169" w:type="dxa"/>
            <w:tcBorders>
              <w:top w:val="single" w:sz="4" w:space="0" w:color="F2F2F2" w:themeColor="background1" w:themeShade="F2"/>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778BFE09" w14:textId="77777777" w:rsidR="0072384C" w:rsidRPr="008D536F" w:rsidRDefault="0072384C" w:rsidP="006911DE">
            <w:pPr>
              <w:rPr>
                <w:rFonts w:ascii="Times New Roman" w:hAnsi="Times New Roman"/>
              </w:rPr>
            </w:pPr>
            <w:r w:rsidRPr="008D536F">
              <w:rPr>
                <w:rFonts w:ascii="Times New Roman" w:hAnsi="Times New Roman"/>
              </w:rPr>
              <w:t>11 (29)</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D9821" w14:textId="77777777" w:rsidR="0072384C" w:rsidRPr="008D536F" w:rsidRDefault="0072384C" w:rsidP="006911DE">
            <w:pPr>
              <w:rPr>
                <w:rFonts w:ascii="Times New Roman" w:hAnsi="Times New Roman"/>
              </w:rPr>
            </w:pPr>
            <w:r w:rsidRPr="008D536F">
              <w:rPr>
                <w:rFonts w:ascii="Times New Roman" w:hAnsi="Times New Roman"/>
              </w:rPr>
              <w:t>4 (23.5)</w:t>
            </w:r>
          </w:p>
        </w:tc>
        <w:tc>
          <w:tcPr>
            <w:tcW w:w="1169" w:type="dxa"/>
            <w:tcBorders>
              <w:top w:val="single" w:sz="4" w:space="0" w:color="F2F2F2" w:themeColor="background1" w:themeShade="F2"/>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48E20361" w14:textId="77777777" w:rsidR="0072384C" w:rsidRPr="008D536F" w:rsidRDefault="0072384C" w:rsidP="006911DE">
            <w:pPr>
              <w:rPr>
                <w:rFonts w:ascii="Times New Roman" w:hAnsi="Times New Roman"/>
              </w:rPr>
            </w:pPr>
            <w:r w:rsidRPr="008D536F">
              <w:rPr>
                <w:rFonts w:ascii="Times New Roman" w:hAnsi="Times New Roman"/>
              </w:rPr>
              <w:t>14 (41.2)</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86E77" w14:textId="77777777" w:rsidR="0072384C" w:rsidRPr="008D536F" w:rsidRDefault="0072384C" w:rsidP="006911DE">
            <w:pPr>
              <w:rPr>
                <w:rFonts w:ascii="Times New Roman" w:hAnsi="Times New Roman"/>
              </w:rPr>
            </w:pPr>
            <w:r w:rsidRPr="008D536F">
              <w:rPr>
                <w:rFonts w:ascii="Times New Roman" w:hAnsi="Times New Roman"/>
              </w:rPr>
              <w:t>4 (26.7)</w:t>
            </w:r>
          </w:p>
        </w:tc>
      </w:tr>
      <w:tr w:rsidR="0072384C" w:rsidRPr="008D536F" w14:paraId="0E31D68A" w14:textId="77777777" w:rsidTr="00627FD9">
        <w:tc>
          <w:tcPr>
            <w:tcW w:w="2337" w:type="dxa"/>
            <w:tcBorders>
              <w:top w:val="single" w:sz="4" w:space="0" w:color="FFFFFF" w:themeColor="background1"/>
              <w:left w:val="single" w:sz="4" w:space="0" w:color="FFFFFF" w:themeColor="background1"/>
              <w:right w:val="single" w:sz="4" w:space="0" w:color="FFFFFF" w:themeColor="background1"/>
            </w:tcBorders>
          </w:tcPr>
          <w:p w14:paraId="59870D86" w14:textId="77777777" w:rsidR="0072384C" w:rsidRPr="008D536F" w:rsidRDefault="0072384C" w:rsidP="006911DE">
            <w:pPr>
              <w:rPr>
                <w:rFonts w:ascii="Times New Roman" w:hAnsi="Times New Roman"/>
              </w:rPr>
            </w:pPr>
            <w:r w:rsidRPr="008D536F">
              <w:rPr>
                <w:rFonts w:ascii="Times New Roman" w:hAnsi="Times New Roman"/>
                <w:b/>
                <w:bCs/>
              </w:rPr>
              <w:t>&gt;1250, n (%)</w:t>
            </w:r>
          </w:p>
        </w:tc>
        <w:tc>
          <w:tcPr>
            <w:tcW w:w="1168" w:type="dxa"/>
            <w:tcBorders>
              <w:top w:val="single" w:sz="4" w:space="0" w:color="F2F2F2" w:themeColor="background1" w:themeShade="F2"/>
              <w:left w:val="single" w:sz="4" w:space="0" w:color="FFFFFF" w:themeColor="background1"/>
              <w:right w:val="single" w:sz="4" w:space="0" w:color="FFFFFF" w:themeColor="background1"/>
            </w:tcBorders>
            <w:shd w:val="clear" w:color="auto" w:fill="F2F2F2" w:themeFill="background1" w:themeFillShade="F2"/>
          </w:tcPr>
          <w:p w14:paraId="2D1EAE90" w14:textId="77777777" w:rsidR="0072384C" w:rsidRPr="008D536F" w:rsidRDefault="0072384C" w:rsidP="006911DE">
            <w:pPr>
              <w:rPr>
                <w:rFonts w:ascii="Times New Roman" w:hAnsi="Times New Roman"/>
              </w:rPr>
            </w:pPr>
            <w:r w:rsidRPr="008D536F">
              <w:rPr>
                <w:rFonts w:ascii="Times New Roman" w:hAnsi="Times New Roman"/>
              </w:rPr>
              <w:t>17 (40.5)</w:t>
            </w:r>
          </w:p>
        </w:tc>
        <w:tc>
          <w:tcPr>
            <w:tcW w:w="1169" w:type="dxa"/>
            <w:tcBorders>
              <w:top w:val="single" w:sz="4" w:space="0" w:color="FFFFFF" w:themeColor="background1"/>
              <w:left w:val="single" w:sz="4" w:space="0" w:color="FFFFFF" w:themeColor="background1"/>
              <w:right w:val="single" w:sz="4" w:space="0" w:color="FFFFFF" w:themeColor="background1"/>
            </w:tcBorders>
          </w:tcPr>
          <w:p w14:paraId="0D1B9ED6" w14:textId="77777777" w:rsidR="0072384C" w:rsidRPr="008D536F" w:rsidRDefault="0072384C" w:rsidP="006911DE">
            <w:pPr>
              <w:rPr>
                <w:rFonts w:ascii="Times New Roman" w:hAnsi="Times New Roman"/>
              </w:rPr>
            </w:pPr>
            <w:r w:rsidRPr="008D536F">
              <w:rPr>
                <w:rFonts w:ascii="Times New Roman" w:hAnsi="Times New Roman"/>
              </w:rPr>
              <w:t>9 (50)</w:t>
            </w:r>
          </w:p>
        </w:tc>
        <w:tc>
          <w:tcPr>
            <w:tcW w:w="1169" w:type="dxa"/>
            <w:tcBorders>
              <w:top w:val="single" w:sz="4" w:space="0" w:color="F2F2F2" w:themeColor="background1" w:themeShade="F2"/>
              <w:left w:val="single" w:sz="4" w:space="0" w:color="FFFFFF" w:themeColor="background1"/>
              <w:right w:val="single" w:sz="4" w:space="0" w:color="FFFFFF" w:themeColor="background1"/>
            </w:tcBorders>
            <w:shd w:val="clear" w:color="auto" w:fill="F2F2F2" w:themeFill="background1" w:themeFillShade="F2"/>
          </w:tcPr>
          <w:p w14:paraId="77A92705" w14:textId="77777777" w:rsidR="0072384C" w:rsidRPr="008D536F" w:rsidRDefault="0072384C" w:rsidP="006911DE">
            <w:pPr>
              <w:rPr>
                <w:rFonts w:ascii="Times New Roman" w:hAnsi="Times New Roman"/>
              </w:rPr>
            </w:pPr>
            <w:r w:rsidRPr="008D536F">
              <w:rPr>
                <w:rFonts w:ascii="Times New Roman" w:hAnsi="Times New Roman"/>
              </w:rPr>
              <w:t>26 (68.4)</w:t>
            </w:r>
          </w:p>
        </w:tc>
        <w:tc>
          <w:tcPr>
            <w:tcW w:w="1169" w:type="dxa"/>
            <w:tcBorders>
              <w:top w:val="single" w:sz="4" w:space="0" w:color="FFFFFF" w:themeColor="background1"/>
              <w:left w:val="single" w:sz="4" w:space="0" w:color="FFFFFF" w:themeColor="background1"/>
              <w:right w:val="single" w:sz="4" w:space="0" w:color="FFFFFF" w:themeColor="background1"/>
            </w:tcBorders>
          </w:tcPr>
          <w:p w14:paraId="2F4ADC42" w14:textId="77777777" w:rsidR="0072384C" w:rsidRPr="008D536F" w:rsidRDefault="0072384C" w:rsidP="006911DE">
            <w:pPr>
              <w:rPr>
                <w:rFonts w:ascii="Times New Roman" w:hAnsi="Times New Roman"/>
              </w:rPr>
            </w:pPr>
            <w:r w:rsidRPr="008D536F">
              <w:rPr>
                <w:rFonts w:ascii="Times New Roman" w:hAnsi="Times New Roman"/>
              </w:rPr>
              <w:t>13 (76.5)</w:t>
            </w:r>
          </w:p>
        </w:tc>
        <w:tc>
          <w:tcPr>
            <w:tcW w:w="1169" w:type="dxa"/>
            <w:tcBorders>
              <w:top w:val="single" w:sz="4" w:space="0" w:color="F2F2F2" w:themeColor="background1" w:themeShade="F2"/>
              <w:left w:val="single" w:sz="4" w:space="0" w:color="FFFFFF" w:themeColor="background1"/>
              <w:right w:val="single" w:sz="4" w:space="0" w:color="FFFFFF" w:themeColor="background1"/>
            </w:tcBorders>
            <w:shd w:val="clear" w:color="auto" w:fill="F2F2F2" w:themeFill="background1" w:themeFillShade="F2"/>
          </w:tcPr>
          <w:p w14:paraId="65F0AA1D" w14:textId="77777777" w:rsidR="0072384C" w:rsidRPr="008D536F" w:rsidRDefault="0072384C" w:rsidP="006911DE">
            <w:pPr>
              <w:rPr>
                <w:rFonts w:ascii="Times New Roman" w:hAnsi="Times New Roman"/>
              </w:rPr>
            </w:pPr>
            <w:r w:rsidRPr="008D536F">
              <w:rPr>
                <w:rFonts w:ascii="Times New Roman" w:hAnsi="Times New Roman"/>
              </w:rPr>
              <w:t>17 (50)</w:t>
            </w:r>
          </w:p>
        </w:tc>
        <w:tc>
          <w:tcPr>
            <w:tcW w:w="1169" w:type="dxa"/>
            <w:tcBorders>
              <w:top w:val="single" w:sz="4" w:space="0" w:color="FFFFFF" w:themeColor="background1"/>
              <w:left w:val="single" w:sz="4" w:space="0" w:color="FFFFFF" w:themeColor="background1"/>
              <w:right w:val="single" w:sz="4" w:space="0" w:color="FFFFFF" w:themeColor="background1"/>
            </w:tcBorders>
          </w:tcPr>
          <w:p w14:paraId="5CBB0814" w14:textId="77777777" w:rsidR="0072384C" w:rsidRPr="008D536F" w:rsidRDefault="0072384C" w:rsidP="006911DE">
            <w:pPr>
              <w:rPr>
                <w:rFonts w:ascii="Times New Roman" w:hAnsi="Times New Roman"/>
              </w:rPr>
            </w:pPr>
            <w:r w:rsidRPr="008D536F">
              <w:rPr>
                <w:rFonts w:ascii="Times New Roman" w:hAnsi="Times New Roman"/>
              </w:rPr>
              <w:t>11 (73.3)</w:t>
            </w:r>
          </w:p>
        </w:tc>
      </w:tr>
    </w:tbl>
    <w:p w14:paraId="2900157F" w14:textId="08B02D43" w:rsidR="0072384C" w:rsidRPr="008D536F" w:rsidRDefault="0072384C" w:rsidP="0072384C">
      <w:pPr>
        <w:spacing w:after="300"/>
        <w:rPr>
          <w:rFonts w:ascii="Times New Roman" w:hAnsi="Times New Roman"/>
        </w:rPr>
      </w:pPr>
      <w:r w:rsidRPr="008D536F">
        <w:rPr>
          <w:rFonts w:ascii="Times New Roman" w:hAnsi="Times New Roman"/>
        </w:rPr>
        <w:t>*</w:t>
      </w:r>
      <w:r w:rsidR="00521562" w:rsidRPr="008D536F">
        <w:rPr>
          <w:rFonts w:ascii="Times New Roman" w:hAnsi="Times New Roman"/>
        </w:rPr>
        <w:t xml:space="preserve"> TFV-DP concentration categorisation: </w:t>
      </w:r>
      <w:r w:rsidRPr="008D536F">
        <w:rPr>
          <w:rFonts w:ascii="Times New Roman" w:eastAsia="Times New Roman" w:hAnsi="Times New Roman"/>
          <w:color w:val="000000"/>
          <w:lang w:val="en-US"/>
        </w:rPr>
        <w:t>&lt;350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 </w:t>
      </w:r>
      <w:r w:rsidRPr="008D536F">
        <w:rPr>
          <w:rFonts w:ascii="Times New Roman" w:eastAsia="Times New Roman" w:hAnsi="Times New Roman"/>
          <w:color w:val="000000"/>
          <w:lang w:val="en-US"/>
        </w:rPr>
        <w:t>(equivalent of - men: &lt;1.2 doses per week</w:t>
      </w:r>
      <w:r w:rsidR="006C60BE" w:rsidRPr="008D536F">
        <w:rPr>
          <w:rFonts w:ascii="Times New Roman" w:eastAsia="Times New Roman" w:hAnsi="Times New Roman"/>
          <w:color w:val="000000"/>
          <w:lang w:val="en-US"/>
        </w:rPr>
        <w:t xml:space="preserve"> and</w:t>
      </w:r>
      <w:r w:rsidRPr="008D536F">
        <w:rPr>
          <w:rFonts w:ascii="Times New Roman" w:eastAsia="Times New Roman" w:hAnsi="Times New Roman"/>
          <w:color w:val="000000"/>
          <w:lang w:val="en-US"/>
        </w:rPr>
        <w:t xml:space="preserve"> women: &lt;0.6 doses per week), 350-700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 (men: 1.2 - 3.2 doses per week</w:t>
      </w:r>
      <w:r w:rsidR="006C60BE"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0.6 - 2.0 doses per week), </w:t>
      </w:r>
      <w:r w:rsidRPr="008D536F">
        <w:rPr>
          <w:rFonts w:ascii="Times New Roman" w:eastAsia="Times New Roman" w:hAnsi="Times New Roman"/>
          <w:color w:val="000000"/>
          <w:lang w:val="en-US"/>
        </w:rPr>
        <w:t>700-1250 </w:t>
      </w:r>
      <w:proofErr w:type="spellStart"/>
      <w:r w:rsidRPr="008D536F">
        <w:rPr>
          <w:rFonts w:ascii="Times New Roman" w:eastAsia="Times New Roman" w:hAnsi="Times New Roman"/>
          <w:color w:val="000000"/>
          <w:bdr w:val="none" w:sz="0" w:space="0" w:color="auto" w:frame="1"/>
          <w:shd w:val="clear" w:color="auto" w:fill="FFFFFF"/>
          <w:lang w:val="en-US"/>
        </w:rPr>
        <w:t>fmol</w:t>
      </w:r>
      <w:proofErr w:type="spellEnd"/>
      <w:r w:rsidRPr="008D536F">
        <w:rPr>
          <w:rFonts w:ascii="Times New Roman" w:eastAsia="Times New Roman" w:hAnsi="Times New Roman"/>
          <w:color w:val="000000"/>
          <w:bdr w:val="none" w:sz="0" w:space="0" w:color="auto" w:frame="1"/>
          <w:shd w:val="clear" w:color="auto" w:fill="FFFFFF"/>
          <w:lang w:val="en-US"/>
        </w:rPr>
        <w:t>/punch</w:t>
      </w:r>
      <w:r w:rsidRPr="008D536F">
        <w:rPr>
          <w:rFonts w:ascii="Times New Roman" w:eastAsia="Times New Roman" w:hAnsi="Times New Roman"/>
          <w:color w:val="000000"/>
          <w:lang w:val="en-US"/>
        </w:rPr>
        <w:t> </w:t>
      </w:r>
      <w:r w:rsidRPr="008D536F">
        <w:rPr>
          <w:rFonts w:ascii="Times New Roman" w:eastAsia="Times New Roman" w:hAnsi="Times New Roman"/>
          <w:color w:val="000000"/>
          <w:bdr w:val="none" w:sz="0" w:space="0" w:color="auto" w:frame="1"/>
          <w:shd w:val="clear" w:color="auto" w:fill="FFFFFF"/>
          <w:lang w:val="en-US"/>
        </w:rPr>
        <w:t>(men: 3.2-6 doses per week</w:t>
      </w:r>
      <w:r w:rsidR="006C60BE"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2.0-5.3 doses per week) and </w:t>
      </w:r>
      <w:r w:rsidRPr="008D536F">
        <w:rPr>
          <w:rFonts w:ascii="Times New Roman" w:eastAsia="Times New Roman" w:hAnsi="Times New Roman"/>
          <w:color w:val="000000"/>
          <w:lang w:val="en-US"/>
        </w:rPr>
        <w:t xml:space="preserve">&gt; 1250 </w:t>
      </w:r>
      <w:proofErr w:type="spellStart"/>
      <w:r w:rsidRPr="008D536F">
        <w:rPr>
          <w:rFonts w:ascii="Times New Roman" w:eastAsia="Times New Roman" w:hAnsi="Times New Roman"/>
          <w:color w:val="000000"/>
          <w:lang w:val="en-US"/>
        </w:rPr>
        <w:t>fmol</w:t>
      </w:r>
      <w:proofErr w:type="spellEnd"/>
      <w:r w:rsidRPr="008D536F">
        <w:rPr>
          <w:rFonts w:ascii="Times New Roman" w:eastAsia="Times New Roman" w:hAnsi="Times New Roman"/>
          <w:color w:val="000000"/>
          <w:lang w:val="en-US"/>
        </w:rPr>
        <w:t>/punch </w:t>
      </w:r>
      <w:r w:rsidRPr="008D536F">
        <w:rPr>
          <w:rFonts w:ascii="Times New Roman" w:eastAsia="Times New Roman" w:hAnsi="Times New Roman"/>
          <w:color w:val="000000"/>
          <w:bdr w:val="none" w:sz="0" w:space="0" w:color="auto" w:frame="1"/>
          <w:shd w:val="clear" w:color="auto" w:fill="FFFFFF"/>
          <w:lang w:val="en-US"/>
        </w:rPr>
        <w:t>(men: &gt;6 doses per week</w:t>
      </w:r>
      <w:r w:rsidR="006C60BE" w:rsidRPr="008D536F">
        <w:rPr>
          <w:rFonts w:ascii="Times New Roman" w:eastAsia="Times New Roman" w:hAnsi="Times New Roman"/>
          <w:color w:val="000000"/>
          <w:bdr w:val="none" w:sz="0" w:space="0" w:color="auto" w:frame="1"/>
          <w:shd w:val="clear" w:color="auto" w:fill="FFFFFF"/>
          <w:lang w:val="en-US"/>
        </w:rPr>
        <w:t xml:space="preserve"> and</w:t>
      </w:r>
      <w:r w:rsidRPr="008D536F">
        <w:rPr>
          <w:rFonts w:ascii="Times New Roman" w:eastAsia="Times New Roman" w:hAnsi="Times New Roman"/>
          <w:color w:val="000000"/>
          <w:bdr w:val="none" w:sz="0" w:space="0" w:color="auto" w:frame="1"/>
          <w:shd w:val="clear" w:color="auto" w:fill="FFFFFF"/>
          <w:lang w:val="en-US"/>
        </w:rPr>
        <w:t xml:space="preserve"> women: &gt;5.3 doses per week)</w:t>
      </w:r>
      <w:r w:rsidR="00E84532" w:rsidRPr="008D536F">
        <w:rPr>
          <w:rFonts w:ascii="Times New Roman" w:hAnsi="Times New Roman"/>
        </w:rPr>
        <w:fldChar w:fldCharType="begin" w:fldLock="1"/>
      </w:r>
      <w:r w:rsidR="00E84532" w:rsidRPr="008D536F">
        <w:rPr>
          <w:rFonts w:ascii="Times New Roman" w:hAnsi="Times New Roman"/>
        </w:rPr>
        <w:instrText>ADDIN CSL_CITATION {"citationItems":[{"id":"ITEM-1","itemData":{"author":[{"dropping-particle":"","family":"Anderson","given":"Peter L","non-dropping-particle":"","parse-names":false,"suffix":""},{"dropping-particle":"","family":"Liu","given":"Albert Y","non-dropping-particle":"","parse-names":false,"suffix":""},{"dropping-particle":"","family":"Castillo-mancilla","given":"Jose R","non-dropping-particle":"","parse-names":false,"suffix":""},{"dropping-particle":"","family":"Gardner","given":"Edward M","non-dropping-particle":"","parse-names":false,"suffix":""},{"dropping-particle":"","family":"Seifert","given":"Sharon M","non-dropping-particle":"","parse-names":false,"suffix":""},{"dropping-particle":"","family":"Mchugh","given":"Cricket","non-dropping-particle":"","parse-names":false,"suffix":""},{"dropping-particle":"","family":"Wagner","given":"Theresa","non-dropping-particle":"","parse-names":false,"suffix":""},{"dropping-particle":"","family":"Campbell","given":"Kayla","non-dropping-particle":"","parse-names":false,"suffix":""},{"dropping-particle":"","family":"Morrow","given":"Mary","non-dropping-particle":"","parse-names":false,"suffix":""},{"dropping-particle":"","family":"Ibrahim","given":"Mustafa","non-dropping-particle":"","parse-names":false,"suffix":""},{"dropping-particle":"","family":"Buchbinder","given":"Susan","non-dropping-particle":"","parse-names":false,"suffix":""},{"dropping-particle":"","family":"Bushman","given":"Lane R","non-dropping-particle":"","parse-names":false,"suffix":""},{"dropping-particle":"","family":"Kiser","given":"Jennifer J","non-dropping-particle":"","parse-names":false,"suffix":""},{"dropping-particle":"","family":"MaWhinney","given":"S","non-dropping-particle":"","parse-names":false,"suffix":""}],"container-title":"Antimicrobial Agents and Chemotherapy","id":"ITEM-1","issue":"1","issued":{"date-parts":[["2018"]]},"page":"1-13","title":"Intracellular Tenofovir-Diphosphate and Emtricitabine-Triphosphate in Dried Blood Spots following Directly Observed Therapy.","type":"article-journal","volume":"62"},"uris":["http://www.mendeley.com/documents/?uuid=cd1f611b-2aef-4ef0-87f6-08fa0d4f3900","http://www.mendeley.com/documents/?uuid=fee0e90a-709f-41be-a296-a0623a3ff6ca"]}],"mendeley":{"formattedCitation":"&lt;sup&gt;4&lt;/sup&gt;","plainTextFormattedCitation":"4","previouslyFormattedCitation":"&lt;sup&gt;2&lt;/sup&gt;"},"properties":{"noteIndex":0},"schema":"https://github.com/citation-style-language/schema/raw/master/csl-citation.json"}</w:instrText>
      </w:r>
      <w:r w:rsidR="00E84532" w:rsidRPr="008D536F">
        <w:rPr>
          <w:rFonts w:ascii="Times New Roman" w:hAnsi="Times New Roman"/>
        </w:rPr>
        <w:fldChar w:fldCharType="separate"/>
      </w:r>
      <w:r w:rsidR="00E84532" w:rsidRPr="008D536F">
        <w:rPr>
          <w:rFonts w:ascii="Times New Roman" w:hAnsi="Times New Roman"/>
          <w:noProof/>
          <w:vertAlign w:val="superscript"/>
        </w:rPr>
        <w:t>4</w:t>
      </w:r>
      <w:r w:rsidR="00E84532" w:rsidRPr="008D536F">
        <w:rPr>
          <w:rFonts w:ascii="Times New Roman" w:hAnsi="Times New Roman"/>
        </w:rPr>
        <w:fldChar w:fldCharType="end"/>
      </w:r>
      <w:r w:rsidRPr="008D536F">
        <w:rPr>
          <w:rFonts w:ascii="Times New Roman" w:hAnsi="Times New Roman"/>
        </w:rPr>
        <w:t xml:space="preserve">. </w:t>
      </w:r>
    </w:p>
    <w:p w14:paraId="7FF8CF37" w14:textId="77777777" w:rsidR="0072384C" w:rsidRPr="008D536F" w:rsidRDefault="0072384C" w:rsidP="0072384C">
      <w:pPr>
        <w:rPr>
          <w:rFonts w:ascii="Times New Roman" w:hAnsi="Times New Roman"/>
          <w:highlight w:val="cyan"/>
        </w:rPr>
      </w:pPr>
    </w:p>
    <w:p w14:paraId="71A7DF69" w14:textId="5EE3F19F" w:rsidR="00C330CB" w:rsidRPr="008D536F" w:rsidRDefault="000B00ED" w:rsidP="00C330CB">
      <w:pPr>
        <w:pStyle w:val="Caption"/>
        <w:keepNext/>
        <w:rPr>
          <w:rFonts w:ascii="Times New Roman" w:hAnsi="Times New Roman"/>
          <w:b w:val="0"/>
          <w:bCs w:val="0"/>
          <w:sz w:val="22"/>
          <w:szCs w:val="22"/>
        </w:rPr>
      </w:pPr>
      <w:r w:rsidRPr="008D536F">
        <w:rPr>
          <w:rFonts w:ascii="Times New Roman" w:hAnsi="Times New Roman"/>
          <w:sz w:val="22"/>
          <w:szCs w:val="22"/>
          <w:highlight w:val="cyan"/>
          <w:u w:val="single"/>
        </w:rPr>
        <w:br w:type="page"/>
      </w:r>
      <w:bookmarkStart w:id="9" w:name="_Toc54940395"/>
      <w:r w:rsidR="00C330CB" w:rsidRPr="008D536F">
        <w:rPr>
          <w:rFonts w:ascii="Times New Roman" w:hAnsi="Times New Roman"/>
          <w:b w:val="0"/>
          <w:bCs w:val="0"/>
          <w:sz w:val="22"/>
          <w:szCs w:val="22"/>
        </w:rPr>
        <w:lastRenderedPageBreak/>
        <w:t xml:space="preserve">Table </w:t>
      </w:r>
      <w:r w:rsidR="00AF4192" w:rsidRPr="008D536F">
        <w:rPr>
          <w:rFonts w:ascii="Times New Roman" w:hAnsi="Times New Roman"/>
          <w:b w:val="0"/>
          <w:bCs w:val="0"/>
          <w:sz w:val="22"/>
          <w:szCs w:val="22"/>
        </w:rPr>
        <w:t>8</w:t>
      </w:r>
      <w:r w:rsidR="005B5638" w:rsidRPr="008D536F">
        <w:rPr>
          <w:rFonts w:ascii="Times New Roman" w:hAnsi="Times New Roman"/>
          <w:b w:val="0"/>
          <w:bCs w:val="0"/>
          <w:sz w:val="22"/>
          <w:szCs w:val="22"/>
        </w:rPr>
        <w:t>.</w:t>
      </w:r>
      <w:r w:rsidR="00C330CB" w:rsidRPr="008D536F">
        <w:rPr>
          <w:rFonts w:ascii="Times New Roman" w:hAnsi="Times New Roman"/>
          <w:b w:val="0"/>
          <w:bCs w:val="0"/>
          <w:sz w:val="22"/>
          <w:szCs w:val="22"/>
        </w:rPr>
        <w:t xml:space="preserve"> Summary of adverse events</w:t>
      </w:r>
      <w:bookmarkEnd w:id="9"/>
      <w:r w:rsidR="00391345" w:rsidRPr="008D536F">
        <w:rPr>
          <w:rFonts w:ascii="Times New Roman" w:hAnsi="Times New Roman"/>
          <w:b w:val="0"/>
          <w:bCs w:val="0"/>
          <w:sz w:val="22"/>
          <w:szCs w:val="22"/>
        </w:rPr>
        <w:t xml:space="preserve"> </w:t>
      </w:r>
      <w:r w:rsidR="009C626B" w:rsidRPr="008D536F">
        <w:rPr>
          <w:rFonts w:ascii="Times New Roman" w:hAnsi="Times New Roman"/>
          <w:b w:val="0"/>
          <w:bCs w:val="0"/>
          <w:sz w:val="22"/>
          <w:szCs w:val="22"/>
        </w:rPr>
        <w:t xml:space="preserve">(AE) </w:t>
      </w:r>
      <w:r w:rsidR="00391345" w:rsidRPr="008D536F">
        <w:rPr>
          <w:rFonts w:ascii="Times New Roman" w:hAnsi="Times New Roman"/>
          <w:b w:val="0"/>
          <w:bCs w:val="0"/>
          <w:sz w:val="22"/>
          <w:szCs w:val="22"/>
        </w:rPr>
        <w:t>from baseline to week 24</w:t>
      </w:r>
    </w:p>
    <w:tbl>
      <w:tblPr>
        <w:tblW w:w="9923" w:type="dxa"/>
        <w:tblLook w:val="04A0" w:firstRow="1" w:lastRow="0" w:firstColumn="1" w:lastColumn="0" w:noHBand="0" w:noVBand="1"/>
      </w:tblPr>
      <w:tblGrid>
        <w:gridCol w:w="4253"/>
        <w:gridCol w:w="2977"/>
        <w:gridCol w:w="2693"/>
      </w:tblGrid>
      <w:tr w:rsidR="00391345" w:rsidRPr="008D536F" w14:paraId="15F5DC5F" w14:textId="77777777" w:rsidTr="00912A34">
        <w:trPr>
          <w:trHeight w:val="340"/>
        </w:trPr>
        <w:tc>
          <w:tcPr>
            <w:tcW w:w="4253" w:type="dxa"/>
            <w:tcBorders>
              <w:top w:val="single" w:sz="4" w:space="0" w:color="auto"/>
              <w:bottom w:val="single" w:sz="4" w:space="0" w:color="auto"/>
            </w:tcBorders>
            <w:shd w:val="clear" w:color="auto" w:fill="auto"/>
            <w:vAlign w:val="center"/>
          </w:tcPr>
          <w:p w14:paraId="42FCFCDC" w14:textId="77777777" w:rsidR="00391345" w:rsidRPr="008D536F" w:rsidRDefault="00391345" w:rsidP="003B405F">
            <w:pPr>
              <w:spacing w:after="0"/>
              <w:rPr>
                <w:rFonts w:ascii="Times New Roman" w:hAnsi="Times New Roman"/>
              </w:rPr>
            </w:pPr>
          </w:p>
        </w:tc>
        <w:tc>
          <w:tcPr>
            <w:tcW w:w="2977" w:type="dxa"/>
            <w:tcBorders>
              <w:top w:val="single" w:sz="4" w:space="0" w:color="auto"/>
              <w:bottom w:val="single" w:sz="4" w:space="0" w:color="auto"/>
            </w:tcBorders>
            <w:shd w:val="clear" w:color="auto" w:fill="auto"/>
            <w:vAlign w:val="center"/>
          </w:tcPr>
          <w:p w14:paraId="7E7D4BC6" w14:textId="77777777" w:rsidR="00391345" w:rsidRPr="008D536F" w:rsidRDefault="00391345" w:rsidP="003B405F">
            <w:pPr>
              <w:spacing w:after="0"/>
              <w:rPr>
                <w:rFonts w:ascii="Times New Roman" w:hAnsi="Times New Roman"/>
              </w:rPr>
            </w:pPr>
            <w:r w:rsidRPr="008D536F">
              <w:rPr>
                <w:rFonts w:ascii="Times New Roman" w:hAnsi="Times New Roman"/>
              </w:rPr>
              <w:t xml:space="preserve">Number of individuals (n/%) </w:t>
            </w:r>
          </w:p>
        </w:tc>
        <w:tc>
          <w:tcPr>
            <w:tcW w:w="2693" w:type="dxa"/>
            <w:tcBorders>
              <w:top w:val="single" w:sz="4" w:space="0" w:color="auto"/>
              <w:bottom w:val="single" w:sz="4" w:space="0" w:color="auto"/>
            </w:tcBorders>
          </w:tcPr>
          <w:p w14:paraId="27D0F28D" w14:textId="77777777" w:rsidR="00391345" w:rsidRPr="008D536F" w:rsidRDefault="00391345" w:rsidP="003B405F">
            <w:pPr>
              <w:spacing w:after="0"/>
              <w:rPr>
                <w:rFonts w:ascii="Times New Roman" w:hAnsi="Times New Roman"/>
              </w:rPr>
            </w:pPr>
            <w:r w:rsidRPr="008D536F">
              <w:rPr>
                <w:rFonts w:ascii="Times New Roman" w:hAnsi="Times New Roman"/>
              </w:rPr>
              <w:t>Total number of events</w:t>
            </w:r>
          </w:p>
        </w:tc>
      </w:tr>
      <w:tr w:rsidR="00391345" w:rsidRPr="008D536F" w14:paraId="42B98324" w14:textId="77777777" w:rsidTr="00903C11">
        <w:trPr>
          <w:trHeight w:val="340"/>
        </w:trPr>
        <w:tc>
          <w:tcPr>
            <w:tcW w:w="4253" w:type="dxa"/>
            <w:shd w:val="clear" w:color="auto" w:fill="F2F2F2" w:themeFill="background1" w:themeFillShade="F2"/>
          </w:tcPr>
          <w:p w14:paraId="38C273BF" w14:textId="77777777" w:rsidR="00391345" w:rsidRPr="008D536F" w:rsidRDefault="00391345" w:rsidP="00912A34">
            <w:pPr>
              <w:spacing w:after="0"/>
              <w:rPr>
                <w:rFonts w:ascii="Times New Roman" w:hAnsi="Times New Roman"/>
              </w:rPr>
            </w:pPr>
            <w:r w:rsidRPr="008D536F">
              <w:rPr>
                <w:rFonts w:ascii="Times New Roman" w:hAnsi="Times New Roman"/>
              </w:rPr>
              <w:t>Mortality (all-cause)</w:t>
            </w:r>
          </w:p>
        </w:tc>
        <w:tc>
          <w:tcPr>
            <w:tcW w:w="2977" w:type="dxa"/>
            <w:shd w:val="clear" w:color="auto" w:fill="F2F2F2" w:themeFill="background1" w:themeFillShade="F2"/>
          </w:tcPr>
          <w:p w14:paraId="16DF34C4" w14:textId="77777777" w:rsidR="00391345" w:rsidRPr="008D536F" w:rsidRDefault="00391345" w:rsidP="00912A34">
            <w:pPr>
              <w:spacing w:after="0"/>
              <w:rPr>
                <w:rFonts w:ascii="Times New Roman" w:hAnsi="Times New Roman"/>
              </w:rPr>
            </w:pPr>
            <w:r w:rsidRPr="008D536F">
              <w:rPr>
                <w:rFonts w:ascii="Times New Roman" w:hAnsi="Times New Roman"/>
              </w:rPr>
              <w:t xml:space="preserve">0 (0%) </w:t>
            </w:r>
          </w:p>
        </w:tc>
        <w:tc>
          <w:tcPr>
            <w:tcW w:w="2693" w:type="dxa"/>
            <w:shd w:val="clear" w:color="auto" w:fill="F2F2F2" w:themeFill="background1" w:themeFillShade="F2"/>
          </w:tcPr>
          <w:p w14:paraId="0BF7F688" w14:textId="77777777" w:rsidR="00391345" w:rsidRPr="008D536F" w:rsidRDefault="00391345" w:rsidP="00912A34">
            <w:pPr>
              <w:spacing w:after="0"/>
              <w:rPr>
                <w:rFonts w:ascii="Times New Roman" w:hAnsi="Times New Roman"/>
              </w:rPr>
            </w:pPr>
            <w:r w:rsidRPr="008D536F">
              <w:rPr>
                <w:rFonts w:ascii="Times New Roman" w:hAnsi="Times New Roman"/>
              </w:rPr>
              <w:t>0</w:t>
            </w:r>
          </w:p>
        </w:tc>
      </w:tr>
      <w:tr w:rsidR="00391345" w:rsidRPr="008D536F" w14:paraId="528A9647" w14:textId="77777777" w:rsidTr="00912A34">
        <w:trPr>
          <w:trHeight w:val="340"/>
        </w:trPr>
        <w:tc>
          <w:tcPr>
            <w:tcW w:w="4253" w:type="dxa"/>
            <w:shd w:val="clear" w:color="auto" w:fill="auto"/>
          </w:tcPr>
          <w:p w14:paraId="61E8DDB5" w14:textId="0C77931C" w:rsidR="00391345" w:rsidRPr="008D536F" w:rsidRDefault="00391345" w:rsidP="00912A34">
            <w:pPr>
              <w:spacing w:after="0"/>
              <w:rPr>
                <w:rFonts w:ascii="Times New Roman" w:hAnsi="Times New Roman"/>
              </w:rPr>
            </w:pPr>
            <w:r w:rsidRPr="008D536F">
              <w:rPr>
                <w:rFonts w:ascii="Times New Roman" w:hAnsi="Times New Roman"/>
              </w:rPr>
              <w:t>Serious AEs</w:t>
            </w:r>
            <w:r w:rsidR="00FC1151" w:rsidRPr="008D536F">
              <w:rPr>
                <w:rFonts w:ascii="Times New Roman" w:hAnsi="Times New Roman"/>
              </w:rPr>
              <w:t>*</w:t>
            </w:r>
          </w:p>
        </w:tc>
        <w:tc>
          <w:tcPr>
            <w:tcW w:w="2977" w:type="dxa"/>
            <w:shd w:val="clear" w:color="auto" w:fill="auto"/>
          </w:tcPr>
          <w:p w14:paraId="3D8E5C98" w14:textId="3EEA3188" w:rsidR="00391345" w:rsidRPr="008D536F" w:rsidRDefault="0040235E" w:rsidP="00912A34">
            <w:pPr>
              <w:spacing w:after="0"/>
              <w:rPr>
                <w:rFonts w:ascii="Times New Roman" w:hAnsi="Times New Roman"/>
              </w:rPr>
            </w:pPr>
            <w:r w:rsidRPr="008D536F">
              <w:rPr>
                <w:rFonts w:ascii="Times New Roman" w:hAnsi="Times New Roman"/>
              </w:rPr>
              <w:t>4 (7%)</w:t>
            </w:r>
          </w:p>
        </w:tc>
        <w:tc>
          <w:tcPr>
            <w:tcW w:w="2693" w:type="dxa"/>
          </w:tcPr>
          <w:p w14:paraId="19830604" w14:textId="397AFD3B" w:rsidR="00391345" w:rsidRPr="008D536F" w:rsidRDefault="0040235E" w:rsidP="00912A34">
            <w:pPr>
              <w:spacing w:after="0"/>
              <w:rPr>
                <w:rFonts w:ascii="Times New Roman" w:hAnsi="Times New Roman"/>
              </w:rPr>
            </w:pPr>
            <w:r w:rsidRPr="008D536F">
              <w:rPr>
                <w:rFonts w:ascii="Times New Roman" w:hAnsi="Times New Roman"/>
              </w:rPr>
              <w:t>4</w:t>
            </w:r>
          </w:p>
        </w:tc>
      </w:tr>
      <w:tr w:rsidR="00391345" w:rsidRPr="008D536F" w14:paraId="52EB7EC3" w14:textId="77777777" w:rsidTr="00903C11">
        <w:trPr>
          <w:trHeight w:val="340"/>
        </w:trPr>
        <w:tc>
          <w:tcPr>
            <w:tcW w:w="4253" w:type="dxa"/>
            <w:shd w:val="clear" w:color="auto" w:fill="F2F2F2" w:themeFill="background1" w:themeFillShade="F2"/>
          </w:tcPr>
          <w:p w14:paraId="29B3FEEE" w14:textId="77777777" w:rsidR="00391345" w:rsidRPr="008D536F" w:rsidRDefault="00391345" w:rsidP="00912A34">
            <w:pPr>
              <w:spacing w:after="0"/>
              <w:rPr>
                <w:rFonts w:ascii="Times New Roman" w:hAnsi="Times New Roman"/>
              </w:rPr>
            </w:pPr>
            <w:r w:rsidRPr="008D536F">
              <w:rPr>
                <w:rFonts w:ascii="Times New Roman" w:hAnsi="Times New Roman"/>
              </w:rPr>
              <w:t>Grade 3 and 4 AEs</w:t>
            </w:r>
          </w:p>
        </w:tc>
        <w:tc>
          <w:tcPr>
            <w:tcW w:w="2977" w:type="dxa"/>
            <w:shd w:val="clear" w:color="auto" w:fill="F2F2F2" w:themeFill="background1" w:themeFillShade="F2"/>
          </w:tcPr>
          <w:p w14:paraId="7947C1D4" w14:textId="77777777" w:rsidR="00391345" w:rsidRPr="008D536F" w:rsidRDefault="00391345" w:rsidP="00912A34">
            <w:pPr>
              <w:spacing w:after="0"/>
              <w:rPr>
                <w:rFonts w:ascii="Times New Roman" w:hAnsi="Times New Roman"/>
              </w:rPr>
            </w:pPr>
            <w:r w:rsidRPr="008D536F">
              <w:rPr>
                <w:rFonts w:ascii="Times New Roman" w:hAnsi="Times New Roman"/>
              </w:rPr>
              <w:t xml:space="preserve">7 (12%) </w:t>
            </w:r>
          </w:p>
        </w:tc>
        <w:tc>
          <w:tcPr>
            <w:tcW w:w="2693" w:type="dxa"/>
            <w:shd w:val="clear" w:color="auto" w:fill="F2F2F2" w:themeFill="background1" w:themeFillShade="F2"/>
          </w:tcPr>
          <w:p w14:paraId="50E3EC42" w14:textId="77777777" w:rsidR="00391345" w:rsidRPr="008D536F" w:rsidRDefault="00391345" w:rsidP="00912A34">
            <w:pPr>
              <w:spacing w:after="0"/>
              <w:rPr>
                <w:rFonts w:ascii="Times New Roman" w:hAnsi="Times New Roman"/>
              </w:rPr>
            </w:pPr>
            <w:r w:rsidRPr="008D536F">
              <w:rPr>
                <w:rFonts w:ascii="Times New Roman" w:hAnsi="Times New Roman"/>
              </w:rPr>
              <w:t>11</w:t>
            </w:r>
          </w:p>
        </w:tc>
      </w:tr>
      <w:tr w:rsidR="00391345" w:rsidRPr="008D536F" w14:paraId="00AD5FAF" w14:textId="77777777" w:rsidTr="00912A34">
        <w:trPr>
          <w:trHeight w:val="340"/>
        </w:trPr>
        <w:tc>
          <w:tcPr>
            <w:tcW w:w="4253" w:type="dxa"/>
            <w:shd w:val="clear" w:color="auto" w:fill="auto"/>
          </w:tcPr>
          <w:p w14:paraId="2F6AD010" w14:textId="35A996DC" w:rsidR="00391345" w:rsidRPr="008D536F" w:rsidRDefault="00391345" w:rsidP="00912A34">
            <w:pPr>
              <w:spacing w:after="0"/>
              <w:rPr>
                <w:rFonts w:ascii="Times New Roman" w:hAnsi="Times New Roman"/>
              </w:rPr>
            </w:pPr>
            <w:r w:rsidRPr="008D536F">
              <w:rPr>
                <w:rFonts w:ascii="Times New Roman" w:hAnsi="Times New Roman"/>
              </w:rPr>
              <w:t xml:space="preserve"> </w:t>
            </w:r>
            <w:r w:rsidR="00E148D9">
              <w:rPr>
                <w:rFonts w:ascii="Times New Roman" w:hAnsi="Times New Roman"/>
              </w:rPr>
              <w:t xml:space="preserve">   </w:t>
            </w:r>
            <w:r w:rsidRPr="008D536F">
              <w:rPr>
                <w:rFonts w:ascii="Times New Roman" w:hAnsi="Times New Roman"/>
              </w:rPr>
              <w:t xml:space="preserve"> Clinical</w:t>
            </w:r>
          </w:p>
        </w:tc>
        <w:tc>
          <w:tcPr>
            <w:tcW w:w="2977" w:type="dxa"/>
            <w:shd w:val="clear" w:color="auto" w:fill="auto"/>
          </w:tcPr>
          <w:p w14:paraId="2FBCCBC2" w14:textId="77777777" w:rsidR="00391345" w:rsidRPr="008D536F" w:rsidRDefault="00391345" w:rsidP="00912A34">
            <w:pPr>
              <w:spacing w:after="0"/>
              <w:rPr>
                <w:rFonts w:ascii="Times New Roman" w:hAnsi="Times New Roman"/>
              </w:rPr>
            </w:pPr>
            <w:r w:rsidRPr="008D536F">
              <w:rPr>
                <w:rFonts w:ascii="Times New Roman" w:hAnsi="Times New Roman"/>
              </w:rPr>
              <w:t xml:space="preserve">5 (8%) </w:t>
            </w:r>
          </w:p>
        </w:tc>
        <w:tc>
          <w:tcPr>
            <w:tcW w:w="2693" w:type="dxa"/>
          </w:tcPr>
          <w:p w14:paraId="78E19210" w14:textId="77777777" w:rsidR="00391345" w:rsidRPr="008D536F" w:rsidRDefault="00391345" w:rsidP="00912A34">
            <w:pPr>
              <w:spacing w:after="0"/>
              <w:rPr>
                <w:rFonts w:ascii="Times New Roman" w:hAnsi="Times New Roman"/>
              </w:rPr>
            </w:pPr>
            <w:r w:rsidRPr="008D536F">
              <w:rPr>
                <w:rFonts w:ascii="Times New Roman" w:hAnsi="Times New Roman"/>
              </w:rPr>
              <w:t>7</w:t>
            </w:r>
          </w:p>
        </w:tc>
      </w:tr>
      <w:tr w:rsidR="00391345" w:rsidRPr="008D536F" w14:paraId="388C83E0" w14:textId="77777777" w:rsidTr="00903C11">
        <w:trPr>
          <w:trHeight w:val="340"/>
        </w:trPr>
        <w:tc>
          <w:tcPr>
            <w:tcW w:w="4253" w:type="dxa"/>
            <w:shd w:val="clear" w:color="auto" w:fill="F2F2F2" w:themeFill="background1" w:themeFillShade="F2"/>
          </w:tcPr>
          <w:p w14:paraId="163C7765" w14:textId="66923AEF" w:rsidR="00391345" w:rsidRPr="008D536F" w:rsidRDefault="00391345" w:rsidP="00912A34">
            <w:pPr>
              <w:spacing w:after="0"/>
              <w:rPr>
                <w:rFonts w:ascii="Times New Roman" w:hAnsi="Times New Roman"/>
              </w:rPr>
            </w:pPr>
            <w:r w:rsidRPr="008D536F">
              <w:rPr>
                <w:rFonts w:ascii="Times New Roman" w:hAnsi="Times New Roman"/>
              </w:rPr>
              <w:t xml:space="preserve">   </w:t>
            </w:r>
            <w:r w:rsidR="00E148D9">
              <w:rPr>
                <w:rFonts w:ascii="Times New Roman" w:hAnsi="Times New Roman"/>
              </w:rPr>
              <w:t xml:space="preserve">     </w:t>
            </w:r>
            <w:r w:rsidRPr="008D536F">
              <w:rPr>
                <w:rFonts w:ascii="Times New Roman" w:hAnsi="Times New Roman"/>
              </w:rPr>
              <w:t xml:space="preserve"> Grade 3</w:t>
            </w:r>
          </w:p>
        </w:tc>
        <w:tc>
          <w:tcPr>
            <w:tcW w:w="2977" w:type="dxa"/>
            <w:shd w:val="clear" w:color="auto" w:fill="F2F2F2" w:themeFill="background1" w:themeFillShade="F2"/>
          </w:tcPr>
          <w:p w14:paraId="28BD27B9" w14:textId="77777777" w:rsidR="00391345" w:rsidRPr="008D536F" w:rsidRDefault="00391345" w:rsidP="00912A34">
            <w:pPr>
              <w:spacing w:after="0"/>
              <w:rPr>
                <w:rFonts w:ascii="Times New Roman" w:hAnsi="Times New Roman"/>
              </w:rPr>
            </w:pPr>
            <w:r w:rsidRPr="008D536F">
              <w:rPr>
                <w:rFonts w:ascii="Times New Roman" w:hAnsi="Times New Roman"/>
              </w:rPr>
              <w:t xml:space="preserve">5 (8%) </w:t>
            </w:r>
          </w:p>
        </w:tc>
        <w:tc>
          <w:tcPr>
            <w:tcW w:w="2693" w:type="dxa"/>
            <w:shd w:val="clear" w:color="auto" w:fill="F2F2F2" w:themeFill="background1" w:themeFillShade="F2"/>
          </w:tcPr>
          <w:p w14:paraId="7BA9B4DD" w14:textId="77777777" w:rsidR="00391345" w:rsidRPr="008D536F" w:rsidRDefault="00391345" w:rsidP="00912A34">
            <w:pPr>
              <w:spacing w:after="0"/>
              <w:rPr>
                <w:rFonts w:ascii="Times New Roman" w:hAnsi="Times New Roman"/>
              </w:rPr>
            </w:pPr>
            <w:r w:rsidRPr="008D536F">
              <w:rPr>
                <w:rFonts w:ascii="Times New Roman" w:hAnsi="Times New Roman"/>
              </w:rPr>
              <w:t>7</w:t>
            </w:r>
          </w:p>
        </w:tc>
      </w:tr>
      <w:tr w:rsidR="00391345" w:rsidRPr="008D536F" w14:paraId="55F0F12E" w14:textId="77777777" w:rsidTr="00912A34">
        <w:trPr>
          <w:trHeight w:val="340"/>
        </w:trPr>
        <w:tc>
          <w:tcPr>
            <w:tcW w:w="4253" w:type="dxa"/>
            <w:shd w:val="clear" w:color="auto" w:fill="auto"/>
          </w:tcPr>
          <w:p w14:paraId="01ABF4BB" w14:textId="5B976F33" w:rsidR="00391345" w:rsidRPr="008D536F" w:rsidRDefault="00391345" w:rsidP="00912A34">
            <w:pPr>
              <w:spacing w:after="0"/>
              <w:rPr>
                <w:rFonts w:ascii="Times New Roman" w:hAnsi="Times New Roman"/>
              </w:rPr>
            </w:pPr>
            <w:r w:rsidRPr="008D536F">
              <w:rPr>
                <w:rFonts w:ascii="Times New Roman" w:hAnsi="Times New Roman"/>
              </w:rPr>
              <w:t xml:space="preserve">   </w:t>
            </w:r>
            <w:r w:rsidR="00E148D9">
              <w:rPr>
                <w:rFonts w:ascii="Times New Roman" w:hAnsi="Times New Roman"/>
              </w:rPr>
              <w:t xml:space="preserve">     </w:t>
            </w:r>
            <w:r w:rsidRPr="008D536F">
              <w:rPr>
                <w:rFonts w:ascii="Times New Roman" w:hAnsi="Times New Roman"/>
              </w:rPr>
              <w:t xml:space="preserve"> Grade 4</w:t>
            </w:r>
          </w:p>
        </w:tc>
        <w:tc>
          <w:tcPr>
            <w:tcW w:w="2977" w:type="dxa"/>
            <w:shd w:val="clear" w:color="auto" w:fill="auto"/>
          </w:tcPr>
          <w:p w14:paraId="3CD860EE" w14:textId="77777777" w:rsidR="00391345" w:rsidRPr="008D536F" w:rsidRDefault="00391345" w:rsidP="00912A34">
            <w:pPr>
              <w:spacing w:after="0"/>
              <w:rPr>
                <w:rFonts w:ascii="Times New Roman" w:hAnsi="Times New Roman"/>
              </w:rPr>
            </w:pPr>
            <w:r w:rsidRPr="008D536F">
              <w:rPr>
                <w:rFonts w:ascii="Times New Roman" w:hAnsi="Times New Roman"/>
              </w:rPr>
              <w:t>0 (0%)</w:t>
            </w:r>
          </w:p>
        </w:tc>
        <w:tc>
          <w:tcPr>
            <w:tcW w:w="2693" w:type="dxa"/>
          </w:tcPr>
          <w:p w14:paraId="540B70BD" w14:textId="77777777" w:rsidR="00391345" w:rsidRPr="008D536F" w:rsidRDefault="00391345" w:rsidP="00912A34">
            <w:pPr>
              <w:spacing w:after="0"/>
              <w:rPr>
                <w:rFonts w:ascii="Times New Roman" w:hAnsi="Times New Roman"/>
              </w:rPr>
            </w:pPr>
            <w:r w:rsidRPr="008D536F">
              <w:rPr>
                <w:rFonts w:ascii="Times New Roman" w:hAnsi="Times New Roman"/>
              </w:rPr>
              <w:t>0</w:t>
            </w:r>
          </w:p>
        </w:tc>
      </w:tr>
      <w:tr w:rsidR="00391345" w:rsidRPr="008D536F" w14:paraId="2818050B" w14:textId="77777777" w:rsidTr="00903C11">
        <w:trPr>
          <w:trHeight w:val="340"/>
        </w:trPr>
        <w:tc>
          <w:tcPr>
            <w:tcW w:w="4253" w:type="dxa"/>
            <w:shd w:val="clear" w:color="auto" w:fill="F2F2F2" w:themeFill="background1" w:themeFillShade="F2"/>
          </w:tcPr>
          <w:p w14:paraId="1761487B" w14:textId="11ABF6A6" w:rsidR="00391345" w:rsidRPr="008D536F" w:rsidRDefault="00391345" w:rsidP="00912A34">
            <w:pPr>
              <w:spacing w:after="0"/>
              <w:rPr>
                <w:rFonts w:ascii="Times New Roman" w:hAnsi="Times New Roman"/>
              </w:rPr>
            </w:pPr>
            <w:r w:rsidRPr="008D536F">
              <w:rPr>
                <w:rFonts w:ascii="Times New Roman" w:hAnsi="Times New Roman"/>
              </w:rPr>
              <w:t xml:space="preserve"> </w:t>
            </w:r>
            <w:r w:rsidR="00E148D9">
              <w:rPr>
                <w:rFonts w:ascii="Times New Roman" w:hAnsi="Times New Roman"/>
              </w:rPr>
              <w:t xml:space="preserve">   </w:t>
            </w:r>
            <w:r w:rsidRPr="008D536F">
              <w:rPr>
                <w:rFonts w:ascii="Times New Roman" w:hAnsi="Times New Roman"/>
              </w:rPr>
              <w:t xml:space="preserve"> Laboratory </w:t>
            </w:r>
          </w:p>
        </w:tc>
        <w:tc>
          <w:tcPr>
            <w:tcW w:w="2977" w:type="dxa"/>
            <w:shd w:val="clear" w:color="auto" w:fill="F2F2F2" w:themeFill="background1" w:themeFillShade="F2"/>
          </w:tcPr>
          <w:p w14:paraId="0A265733" w14:textId="77777777" w:rsidR="00391345" w:rsidRPr="008D536F" w:rsidRDefault="00391345" w:rsidP="00912A34">
            <w:pPr>
              <w:spacing w:after="0"/>
              <w:rPr>
                <w:rFonts w:ascii="Times New Roman" w:hAnsi="Times New Roman"/>
              </w:rPr>
            </w:pPr>
            <w:r w:rsidRPr="008D536F">
              <w:rPr>
                <w:rFonts w:ascii="Times New Roman" w:hAnsi="Times New Roman"/>
              </w:rPr>
              <w:t xml:space="preserve">4 (7%) </w:t>
            </w:r>
          </w:p>
        </w:tc>
        <w:tc>
          <w:tcPr>
            <w:tcW w:w="2693" w:type="dxa"/>
            <w:shd w:val="clear" w:color="auto" w:fill="F2F2F2" w:themeFill="background1" w:themeFillShade="F2"/>
          </w:tcPr>
          <w:p w14:paraId="7BEC020F" w14:textId="77777777" w:rsidR="00391345" w:rsidRPr="008D536F" w:rsidRDefault="00391345" w:rsidP="00912A34">
            <w:pPr>
              <w:spacing w:after="0"/>
              <w:rPr>
                <w:rFonts w:ascii="Times New Roman" w:hAnsi="Times New Roman"/>
              </w:rPr>
            </w:pPr>
            <w:r w:rsidRPr="008D536F">
              <w:rPr>
                <w:rFonts w:ascii="Times New Roman" w:hAnsi="Times New Roman"/>
              </w:rPr>
              <w:t>4</w:t>
            </w:r>
          </w:p>
        </w:tc>
      </w:tr>
      <w:tr w:rsidR="00391345" w:rsidRPr="008D536F" w14:paraId="24858154" w14:textId="77777777" w:rsidTr="00912A34">
        <w:trPr>
          <w:trHeight w:val="340"/>
        </w:trPr>
        <w:tc>
          <w:tcPr>
            <w:tcW w:w="4253" w:type="dxa"/>
            <w:shd w:val="clear" w:color="auto" w:fill="auto"/>
          </w:tcPr>
          <w:p w14:paraId="3C8639C2" w14:textId="42D11768" w:rsidR="00391345" w:rsidRPr="008D536F" w:rsidRDefault="00391345" w:rsidP="00912A34">
            <w:pPr>
              <w:spacing w:after="0"/>
              <w:rPr>
                <w:rFonts w:ascii="Times New Roman" w:hAnsi="Times New Roman"/>
              </w:rPr>
            </w:pPr>
            <w:r w:rsidRPr="008D536F">
              <w:rPr>
                <w:rFonts w:ascii="Times New Roman" w:hAnsi="Times New Roman"/>
              </w:rPr>
              <w:t xml:space="preserve">  </w:t>
            </w:r>
            <w:r w:rsidR="00E148D9">
              <w:rPr>
                <w:rFonts w:ascii="Times New Roman" w:hAnsi="Times New Roman"/>
              </w:rPr>
              <w:t xml:space="preserve">     </w:t>
            </w:r>
            <w:r w:rsidRPr="008D536F">
              <w:rPr>
                <w:rFonts w:ascii="Times New Roman" w:hAnsi="Times New Roman"/>
              </w:rPr>
              <w:t xml:space="preserve">  Grade 3</w:t>
            </w:r>
          </w:p>
        </w:tc>
        <w:tc>
          <w:tcPr>
            <w:tcW w:w="2977" w:type="dxa"/>
            <w:shd w:val="clear" w:color="auto" w:fill="auto"/>
          </w:tcPr>
          <w:p w14:paraId="04629B40" w14:textId="77777777" w:rsidR="00391345" w:rsidRPr="008D536F" w:rsidRDefault="00391345" w:rsidP="00912A34">
            <w:pPr>
              <w:spacing w:after="0"/>
              <w:rPr>
                <w:rFonts w:ascii="Times New Roman" w:hAnsi="Times New Roman"/>
              </w:rPr>
            </w:pPr>
            <w:r w:rsidRPr="008D536F">
              <w:rPr>
                <w:rFonts w:ascii="Times New Roman" w:hAnsi="Times New Roman"/>
              </w:rPr>
              <w:t xml:space="preserve">3 (5%) </w:t>
            </w:r>
          </w:p>
        </w:tc>
        <w:tc>
          <w:tcPr>
            <w:tcW w:w="2693" w:type="dxa"/>
          </w:tcPr>
          <w:p w14:paraId="55EA9C92" w14:textId="77777777" w:rsidR="00391345" w:rsidRPr="008D536F" w:rsidRDefault="00391345" w:rsidP="00912A34">
            <w:pPr>
              <w:spacing w:after="0"/>
              <w:rPr>
                <w:rFonts w:ascii="Times New Roman" w:hAnsi="Times New Roman"/>
              </w:rPr>
            </w:pPr>
            <w:r w:rsidRPr="008D536F">
              <w:rPr>
                <w:rFonts w:ascii="Times New Roman" w:hAnsi="Times New Roman"/>
              </w:rPr>
              <w:t>3</w:t>
            </w:r>
          </w:p>
        </w:tc>
      </w:tr>
      <w:tr w:rsidR="00391345" w:rsidRPr="008D536F" w14:paraId="260ACCA6" w14:textId="77777777" w:rsidTr="00903C11">
        <w:trPr>
          <w:trHeight w:val="340"/>
        </w:trPr>
        <w:tc>
          <w:tcPr>
            <w:tcW w:w="4253" w:type="dxa"/>
            <w:shd w:val="clear" w:color="auto" w:fill="F2F2F2" w:themeFill="background1" w:themeFillShade="F2"/>
          </w:tcPr>
          <w:p w14:paraId="30BF49C2" w14:textId="65E84D4F" w:rsidR="00391345" w:rsidRPr="008D536F" w:rsidRDefault="00391345" w:rsidP="00912A34">
            <w:pPr>
              <w:spacing w:after="0"/>
              <w:rPr>
                <w:rFonts w:ascii="Times New Roman" w:hAnsi="Times New Roman"/>
              </w:rPr>
            </w:pPr>
            <w:r w:rsidRPr="008D536F">
              <w:rPr>
                <w:rFonts w:ascii="Times New Roman" w:hAnsi="Times New Roman"/>
              </w:rPr>
              <w:t xml:space="preserve"> </w:t>
            </w:r>
            <w:r w:rsidR="00E148D9">
              <w:rPr>
                <w:rFonts w:ascii="Times New Roman" w:hAnsi="Times New Roman"/>
              </w:rPr>
              <w:t xml:space="preserve">     </w:t>
            </w:r>
            <w:r w:rsidRPr="008D536F">
              <w:rPr>
                <w:rFonts w:ascii="Times New Roman" w:hAnsi="Times New Roman"/>
              </w:rPr>
              <w:t xml:space="preserve">   Grade 4</w:t>
            </w:r>
          </w:p>
        </w:tc>
        <w:tc>
          <w:tcPr>
            <w:tcW w:w="2977" w:type="dxa"/>
            <w:shd w:val="clear" w:color="auto" w:fill="F2F2F2" w:themeFill="background1" w:themeFillShade="F2"/>
          </w:tcPr>
          <w:p w14:paraId="357D73F0" w14:textId="77777777" w:rsidR="00391345" w:rsidRPr="008D536F" w:rsidRDefault="00391345" w:rsidP="00912A34">
            <w:pPr>
              <w:spacing w:after="0"/>
              <w:rPr>
                <w:rFonts w:ascii="Times New Roman" w:hAnsi="Times New Roman"/>
              </w:rPr>
            </w:pPr>
            <w:r w:rsidRPr="008D536F">
              <w:rPr>
                <w:rFonts w:ascii="Times New Roman" w:hAnsi="Times New Roman"/>
              </w:rPr>
              <w:t xml:space="preserve">1 (2%) </w:t>
            </w:r>
          </w:p>
        </w:tc>
        <w:tc>
          <w:tcPr>
            <w:tcW w:w="2693" w:type="dxa"/>
            <w:shd w:val="clear" w:color="auto" w:fill="F2F2F2" w:themeFill="background1" w:themeFillShade="F2"/>
          </w:tcPr>
          <w:p w14:paraId="28D59D93" w14:textId="77777777" w:rsidR="00391345" w:rsidRPr="008D536F" w:rsidRDefault="00391345" w:rsidP="00912A34">
            <w:pPr>
              <w:spacing w:after="0"/>
              <w:rPr>
                <w:rFonts w:ascii="Times New Roman" w:hAnsi="Times New Roman"/>
              </w:rPr>
            </w:pPr>
            <w:r w:rsidRPr="008D536F">
              <w:rPr>
                <w:rFonts w:ascii="Times New Roman" w:hAnsi="Times New Roman"/>
              </w:rPr>
              <w:t>1</w:t>
            </w:r>
          </w:p>
        </w:tc>
      </w:tr>
      <w:tr w:rsidR="00391345" w:rsidRPr="008D536F" w14:paraId="10102E91" w14:textId="77777777" w:rsidTr="00912A34">
        <w:trPr>
          <w:trHeight w:val="340"/>
        </w:trPr>
        <w:tc>
          <w:tcPr>
            <w:tcW w:w="4253" w:type="dxa"/>
            <w:shd w:val="clear" w:color="auto" w:fill="auto"/>
          </w:tcPr>
          <w:p w14:paraId="0759B148" w14:textId="77777777" w:rsidR="00391345" w:rsidRPr="008D536F" w:rsidRDefault="00391345" w:rsidP="00912A34">
            <w:pPr>
              <w:spacing w:after="0"/>
              <w:rPr>
                <w:rFonts w:ascii="Times New Roman" w:hAnsi="Times New Roman"/>
              </w:rPr>
            </w:pPr>
            <w:r w:rsidRPr="008D536F">
              <w:rPr>
                <w:rFonts w:ascii="Times New Roman" w:hAnsi="Times New Roman"/>
              </w:rPr>
              <w:t>Adverse events requiring discontinuation of any ART medication*</w:t>
            </w:r>
          </w:p>
        </w:tc>
        <w:tc>
          <w:tcPr>
            <w:tcW w:w="2977" w:type="dxa"/>
            <w:shd w:val="clear" w:color="auto" w:fill="auto"/>
          </w:tcPr>
          <w:p w14:paraId="16F2DABF" w14:textId="77777777" w:rsidR="00391345" w:rsidRPr="008D536F" w:rsidRDefault="00391345" w:rsidP="00912A34">
            <w:pPr>
              <w:spacing w:after="0"/>
              <w:rPr>
                <w:rFonts w:ascii="Times New Roman" w:hAnsi="Times New Roman"/>
              </w:rPr>
            </w:pPr>
            <w:r w:rsidRPr="008D536F">
              <w:rPr>
                <w:rFonts w:ascii="Times New Roman" w:hAnsi="Times New Roman"/>
              </w:rPr>
              <w:t xml:space="preserve">1 (2%) </w:t>
            </w:r>
          </w:p>
        </w:tc>
        <w:tc>
          <w:tcPr>
            <w:tcW w:w="2693" w:type="dxa"/>
          </w:tcPr>
          <w:p w14:paraId="7DBE7EB7" w14:textId="77777777" w:rsidR="00391345" w:rsidRPr="008D536F" w:rsidRDefault="00391345" w:rsidP="00912A34">
            <w:pPr>
              <w:spacing w:after="0"/>
              <w:rPr>
                <w:rFonts w:ascii="Times New Roman" w:hAnsi="Times New Roman"/>
              </w:rPr>
            </w:pPr>
            <w:r w:rsidRPr="008D536F">
              <w:rPr>
                <w:rFonts w:ascii="Times New Roman" w:hAnsi="Times New Roman"/>
              </w:rPr>
              <w:t>1</w:t>
            </w:r>
          </w:p>
        </w:tc>
      </w:tr>
      <w:tr w:rsidR="00391345" w:rsidRPr="008D536F" w14:paraId="4E57BAED" w14:textId="77777777" w:rsidTr="00912A34">
        <w:trPr>
          <w:trHeight w:val="340"/>
        </w:trPr>
        <w:tc>
          <w:tcPr>
            <w:tcW w:w="9923" w:type="dxa"/>
            <w:gridSpan w:val="3"/>
            <w:tcBorders>
              <w:top w:val="single" w:sz="4" w:space="0" w:color="auto"/>
              <w:bottom w:val="single" w:sz="4" w:space="0" w:color="auto"/>
            </w:tcBorders>
            <w:shd w:val="clear" w:color="auto" w:fill="auto"/>
            <w:vAlign w:val="center"/>
          </w:tcPr>
          <w:p w14:paraId="4D83A4D7" w14:textId="2B4ABA20" w:rsidR="00391345" w:rsidRPr="008D536F" w:rsidRDefault="00FC1151" w:rsidP="003B405F">
            <w:pPr>
              <w:spacing w:after="0"/>
              <w:rPr>
                <w:rFonts w:ascii="Times New Roman" w:hAnsi="Times New Roman"/>
              </w:rPr>
            </w:pPr>
            <w:r w:rsidRPr="008D536F">
              <w:rPr>
                <w:rFonts w:ascii="Times New Roman" w:hAnsi="Times New Roman"/>
              </w:rPr>
              <w:t xml:space="preserve">* </w:t>
            </w:r>
            <w:r w:rsidR="00391345" w:rsidRPr="008D536F">
              <w:rPr>
                <w:rFonts w:ascii="Times New Roman" w:hAnsi="Times New Roman"/>
              </w:rPr>
              <w:t>S</w:t>
            </w:r>
            <w:r w:rsidR="001E0129" w:rsidRPr="008D536F">
              <w:rPr>
                <w:rFonts w:ascii="Times New Roman" w:hAnsi="Times New Roman"/>
              </w:rPr>
              <w:t xml:space="preserve">erious </w:t>
            </w:r>
            <w:r w:rsidR="00391345" w:rsidRPr="008D536F">
              <w:rPr>
                <w:rFonts w:ascii="Times New Roman" w:hAnsi="Times New Roman"/>
              </w:rPr>
              <w:t>AEs are defined as adverse events that result in death, a life-threatening incident, hospitalisation, disability, congenital abnormality or requires medical or surgical intervention to prevent permanent damage.</w:t>
            </w:r>
          </w:p>
        </w:tc>
      </w:tr>
    </w:tbl>
    <w:p w14:paraId="5CA6243C" w14:textId="6CC8FD5B" w:rsidR="00F32AD8" w:rsidRPr="008D536F" w:rsidRDefault="00F32AD8" w:rsidP="000B00ED">
      <w:pPr>
        <w:rPr>
          <w:rFonts w:ascii="Times New Roman" w:hAnsi="Times New Roman"/>
        </w:rPr>
      </w:pPr>
    </w:p>
    <w:p w14:paraId="75AC6F43" w14:textId="73354A0F" w:rsidR="00F32AD8" w:rsidRPr="008D536F" w:rsidRDefault="00F32AD8">
      <w:pPr>
        <w:spacing w:after="160" w:line="259" w:lineRule="auto"/>
        <w:rPr>
          <w:rFonts w:ascii="Times New Roman" w:hAnsi="Times New Roman"/>
        </w:rPr>
      </w:pPr>
      <w:r w:rsidRPr="008D536F">
        <w:rPr>
          <w:rFonts w:ascii="Times New Roman" w:hAnsi="Times New Roman"/>
        </w:rPr>
        <w:br w:type="page"/>
      </w:r>
    </w:p>
    <w:p w14:paraId="72FF5B71" w14:textId="7AA0C6A2" w:rsidR="00F32AD8" w:rsidRPr="008D536F" w:rsidRDefault="00F32AD8" w:rsidP="000B00ED">
      <w:pPr>
        <w:rPr>
          <w:rFonts w:ascii="Times New Roman" w:hAnsi="Times New Roman"/>
        </w:rPr>
      </w:pPr>
      <w:r w:rsidRPr="008D536F">
        <w:rPr>
          <w:rFonts w:ascii="Times New Roman" w:hAnsi="Times New Roman"/>
        </w:rPr>
        <w:lastRenderedPageBreak/>
        <w:t xml:space="preserve">Figure </w:t>
      </w:r>
      <w:r w:rsidR="00AF4192" w:rsidRPr="008D536F">
        <w:rPr>
          <w:rFonts w:ascii="Times New Roman" w:hAnsi="Times New Roman"/>
        </w:rPr>
        <w:t>4</w:t>
      </w:r>
      <w:r w:rsidRPr="008D536F">
        <w:rPr>
          <w:rFonts w:ascii="Times New Roman" w:hAnsi="Times New Roman"/>
        </w:rPr>
        <w:t xml:space="preserve">. Proportion of individuals with specific </w:t>
      </w:r>
      <w:r w:rsidR="003C33FF" w:rsidRPr="008D536F">
        <w:rPr>
          <w:rFonts w:ascii="Times New Roman" w:hAnsi="Times New Roman"/>
        </w:rPr>
        <w:t>Modified Mini Screen (</w:t>
      </w:r>
      <w:r w:rsidRPr="008D536F">
        <w:rPr>
          <w:rFonts w:ascii="Times New Roman" w:hAnsi="Times New Roman"/>
        </w:rPr>
        <w:t>MMS</w:t>
      </w:r>
      <w:r w:rsidR="003C33FF" w:rsidRPr="008D536F">
        <w:rPr>
          <w:rFonts w:ascii="Times New Roman" w:hAnsi="Times New Roman"/>
        </w:rPr>
        <w:t>)</w:t>
      </w:r>
      <w:r w:rsidRPr="008D536F">
        <w:rPr>
          <w:rFonts w:ascii="Times New Roman" w:hAnsi="Times New Roman"/>
        </w:rPr>
        <w:t xml:space="preserve"> score over time (continuous score ranging from 0 to 22</w:t>
      </w:r>
      <w:r w:rsidR="004415F3" w:rsidRPr="008D536F">
        <w:rPr>
          <w:rFonts w:ascii="Times New Roman" w:hAnsi="Times New Roman"/>
        </w:rPr>
        <w:t>*</w:t>
      </w:r>
      <w:r w:rsidRPr="008D536F">
        <w:rPr>
          <w:rFonts w:ascii="Times New Roman" w:hAnsi="Times New Roman"/>
        </w:rPr>
        <w:t>)</w:t>
      </w:r>
    </w:p>
    <w:p w14:paraId="05B5EB3C" w14:textId="76E807B8" w:rsidR="004415F3" w:rsidRPr="008D536F" w:rsidRDefault="00F73484">
      <w:pPr>
        <w:spacing w:after="160" w:line="259" w:lineRule="auto"/>
        <w:rPr>
          <w:rFonts w:ascii="Times New Roman" w:hAnsi="Times New Roman"/>
        </w:rPr>
      </w:pPr>
      <w:r w:rsidRPr="008D536F">
        <w:rPr>
          <w:rFonts w:ascii="Times New Roman" w:hAnsi="Times New Roman"/>
          <w:noProof/>
        </w:rPr>
        <w:drawing>
          <wp:inline distT="0" distB="0" distL="0" distR="0" wp14:anchorId="6B6BB54E" wp14:editId="45562303">
            <wp:extent cx="6404610" cy="5123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5123815"/>
                    </a:xfrm>
                    <a:prstGeom prst="rect">
                      <a:avLst/>
                    </a:prstGeom>
                    <a:noFill/>
                    <a:ln>
                      <a:noFill/>
                    </a:ln>
                  </pic:spPr>
                </pic:pic>
              </a:graphicData>
            </a:graphic>
          </wp:inline>
        </w:drawing>
      </w:r>
    </w:p>
    <w:p w14:paraId="790F6D28" w14:textId="574CDF77" w:rsidR="00F32AD8" w:rsidRPr="008D536F" w:rsidRDefault="004415F3">
      <w:pPr>
        <w:spacing w:after="160" w:line="259" w:lineRule="auto"/>
        <w:rPr>
          <w:rFonts w:ascii="Times New Roman" w:hAnsi="Times New Roman"/>
        </w:rPr>
      </w:pPr>
      <w:r w:rsidRPr="008D536F">
        <w:rPr>
          <w:rFonts w:ascii="Times New Roman" w:hAnsi="Times New Roman"/>
        </w:rPr>
        <w:t xml:space="preserve">* A score of ≥9 </w:t>
      </w:r>
      <w:r w:rsidR="005E3310" w:rsidRPr="008D536F">
        <w:rPr>
          <w:rFonts w:ascii="Times New Roman" w:hAnsi="Times New Roman"/>
        </w:rPr>
        <w:t>on the MMS</w:t>
      </w:r>
      <w:r w:rsidR="00BD678E" w:rsidRPr="008D536F">
        <w:rPr>
          <w:rFonts w:ascii="Times New Roman" w:hAnsi="Times New Roman"/>
        </w:rPr>
        <w:t xml:space="preserve"> </w:t>
      </w:r>
      <w:r w:rsidRPr="008D536F">
        <w:rPr>
          <w:rFonts w:ascii="Times New Roman" w:hAnsi="Times New Roman"/>
        </w:rPr>
        <w:t>has been validated to identify a DSM diagnosis of anxiety, mood or psychotic disorder with 82% specificity and 63% sensitivity</w:t>
      </w:r>
      <w:r w:rsidRPr="008D536F">
        <w:rPr>
          <w:rFonts w:ascii="Times New Roman" w:hAnsi="Times New Roman"/>
        </w:rPr>
        <w:fldChar w:fldCharType="begin" w:fldLock="1"/>
      </w:r>
      <w:r w:rsidR="003C33FF" w:rsidRPr="008D536F">
        <w:rPr>
          <w:rFonts w:ascii="Times New Roman" w:hAnsi="Times New Roman"/>
        </w:rPr>
        <w:instrText>ADDIN CSL_CITATION {"citationItems":[{"id":"ITEM-1","itemData":{"DOI":"10.1007/s11469-007-9100-x","ISBN":"1146900791","ISSN":"15571874","abstract":"This paper tests the validity of a simple and easy to use scale, the Modified Mini Screen (MMS) to identify people with mental health problems in the treatment ecology for chemical dependency, including specialty sector substance abuse treatment settings, and shelters, jails and street community outreach programs. Four hundred and seventy-six individuals in chemical dependency treatment and in jails, shelters and outreach settings completed a set of 22 items to screen for mental disorders-the MMS-and a validation interview-the Structured Clinical Interview for Diagnosis (SCID). ROC curve analysis was used to (1) determine the optimal range of cut points for identifying mental health problems in this culturally heterogeneous sample and wide range of treatment and community settings, and (2) calculate overall accuracy, sensitivity, specificity, and positive and negative predictive values for the MMS. Forty three percent of the sample met criteria for a DSM-IV diagnosis of anxiety, mood or psychotic disorder. At cut points of 6-9, the sensitivity of the MMS ranged from 0.63-0.82, its specificity ranged from 0.61-0.83, and its overall accuracy ranged from 70-75%. At these cut points, the MMS screen performed equally well for men and women, and for African Americans and Caucasians, and is comparable to the performance of other screens validated for less compromised populations. A decision tool has been developed based on these results that is available from the authors. The MMS performs well in naturalistic chemical dependency treatment settings, jails, shelters and street outreach programs across gender and ethnic groups, and can provide a useful tool in service systems developing a \"No Wrong Door\" policy for persons with co-occurring mental health and substance abuse problems. © 2007 Springer Science+Business Media, LLC.","author":[{"dropping-particle":"","family":"Alexander","given":"Mary Jane","non-dropping-particle":"","parse-names":false,"suffix":""},{"dropping-particle":"","family":"Haugland","given":"Gary","non-dropping-particle":"","parse-names":false,"suffix":""},{"dropping-particle":"","family":"Lin","given":"Shang P.","non-dropping-particle":"","parse-names":false,"suffix":""},{"dropping-particle":"","family":"Bertollo","given":"David N.","non-dropping-particle":"","parse-names":false,"suffix":""},{"dropping-particle":"","family":"McCorry","given":"Francis A.","non-dropping-particle":"","parse-names":false,"suffix":""}],"container-title":"International Journal of Mental Health and Addiction","id":"ITEM-1","issue":"1","issued":{"date-parts":[["2008"]]},"page":"105-119","title":"Mental health screening in addiction, corrections and social service settings: Validating the MMS","type":"article-journal","volume":"6"},"uris":["http://www.mendeley.com/documents/?uuid=d4f85694-859c-47d0-ade5-6490973a9f51"]}],"mendeley":{"formattedCitation":"&lt;sup&gt;1&lt;/sup&gt;","plainTextFormattedCitation":"1","previouslyFormattedCitation":"&lt;sup&gt;1&lt;/sup&gt;"},"properties":{"noteIndex":0},"schema":"https://github.com/citation-style-language/schema/raw/master/csl-citation.json"}</w:instrText>
      </w:r>
      <w:r w:rsidRPr="008D536F">
        <w:rPr>
          <w:rFonts w:ascii="Times New Roman" w:hAnsi="Times New Roman"/>
        </w:rPr>
        <w:fldChar w:fldCharType="separate"/>
      </w:r>
      <w:r w:rsidRPr="008D536F">
        <w:rPr>
          <w:rFonts w:ascii="Times New Roman" w:hAnsi="Times New Roman"/>
          <w:noProof/>
          <w:vertAlign w:val="superscript"/>
        </w:rPr>
        <w:t>1</w:t>
      </w:r>
      <w:r w:rsidRPr="008D536F">
        <w:rPr>
          <w:rFonts w:ascii="Times New Roman" w:hAnsi="Times New Roman"/>
        </w:rPr>
        <w:fldChar w:fldCharType="end"/>
      </w:r>
      <w:r w:rsidR="00F32AD8" w:rsidRPr="008D536F">
        <w:rPr>
          <w:rFonts w:ascii="Times New Roman" w:hAnsi="Times New Roman"/>
        </w:rPr>
        <w:br w:type="page"/>
      </w:r>
    </w:p>
    <w:p w14:paraId="5E6710DE" w14:textId="3550A30A" w:rsidR="00F32AD8" w:rsidRPr="008D536F" w:rsidRDefault="00F32AD8" w:rsidP="000B00ED">
      <w:pPr>
        <w:rPr>
          <w:rFonts w:ascii="Times New Roman" w:hAnsi="Times New Roman"/>
        </w:rPr>
      </w:pPr>
      <w:r w:rsidRPr="008D536F">
        <w:rPr>
          <w:rFonts w:ascii="Times New Roman" w:hAnsi="Times New Roman"/>
        </w:rPr>
        <w:lastRenderedPageBreak/>
        <w:t xml:space="preserve">Figure </w:t>
      </w:r>
      <w:r w:rsidR="00AF4192" w:rsidRPr="008D536F">
        <w:rPr>
          <w:rFonts w:ascii="Times New Roman" w:hAnsi="Times New Roman"/>
        </w:rPr>
        <w:t>5</w:t>
      </w:r>
      <w:r w:rsidRPr="008D536F">
        <w:rPr>
          <w:rFonts w:ascii="Times New Roman" w:hAnsi="Times New Roman"/>
        </w:rPr>
        <w:t xml:space="preserve">. Proportion of individuals with </w:t>
      </w:r>
      <w:r w:rsidR="003C33FF" w:rsidRPr="008D536F">
        <w:rPr>
          <w:rFonts w:ascii="Times New Roman" w:hAnsi="Times New Roman"/>
        </w:rPr>
        <w:t>insomnia severity index (</w:t>
      </w:r>
      <w:r w:rsidRPr="008D536F">
        <w:rPr>
          <w:rFonts w:ascii="Times New Roman" w:hAnsi="Times New Roman"/>
        </w:rPr>
        <w:t>ISI</w:t>
      </w:r>
      <w:r w:rsidR="003C33FF" w:rsidRPr="008D536F">
        <w:rPr>
          <w:rFonts w:ascii="Times New Roman" w:hAnsi="Times New Roman"/>
        </w:rPr>
        <w:t>)</w:t>
      </w:r>
      <w:r w:rsidRPr="008D536F">
        <w:rPr>
          <w:rFonts w:ascii="Times New Roman" w:hAnsi="Times New Roman"/>
        </w:rPr>
        <w:t xml:space="preserve"> score at each timepoint (continuous measure ranging from 0 to 28</w:t>
      </w:r>
      <w:r w:rsidR="00423EA9" w:rsidRPr="008D536F">
        <w:rPr>
          <w:rFonts w:ascii="Times New Roman" w:hAnsi="Times New Roman"/>
        </w:rPr>
        <w:t>*</w:t>
      </w:r>
      <w:r w:rsidRPr="008D536F">
        <w:rPr>
          <w:rFonts w:ascii="Times New Roman" w:hAnsi="Times New Roman"/>
        </w:rPr>
        <w:t>)</w:t>
      </w:r>
    </w:p>
    <w:p w14:paraId="67CE1D7B" w14:textId="5C3376A0" w:rsidR="00F32AD8" w:rsidRPr="008D536F" w:rsidRDefault="009960D1" w:rsidP="000B00ED">
      <w:pPr>
        <w:rPr>
          <w:rFonts w:ascii="Times New Roman" w:hAnsi="Times New Roman"/>
        </w:rPr>
      </w:pPr>
      <w:r w:rsidRPr="008D536F">
        <w:rPr>
          <w:rFonts w:ascii="Times New Roman" w:hAnsi="Times New Roman"/>
          <w:noProof/>
        </w:rPr>
        <w:drawing>
          <wp:inline distT="0" distB="0" distL="0" distR="0" wp14:anchorId="73F55FEC" wp14:editId="07989CF5">
            <wp:extent cx="6404610" cy="5123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4610" cy="5123815"/>
                    </a:xfrm>
                    <a:prstGeom prst="rect">
                      <a:avLst/>
                    </a:prstGeom>
                    <a:noFill/>
                    <a:ln>
                      <a:noFill/>
                    </a:ln>
                  </pic:spPr>
                </pic:pic>
              </a:graphicData>
            </a:graphic>
          </wp:inline>
        </w:drawing>
      </w:r>
    </w:p>
    <w:p w14:paraId="04DB815D" w14:textId="1EE584D3" w:rsidR="00423EA9" w:rsidRPr="008D536F" w:rsidRDefault="00423EA9" w:rsidP="000B00ED">
      <w:pPr>
        <w:rPr>
          <w:rFonts w:ascii="Times New Roman" w:hAnsi="Times New Roman"/>
        </w:rPr>
      </w:pPr>
      <w:r w:rsidRPr="008D536F">
        <w:rPr>
          <w:rFonts w:ascii="Times New Roman" w:hAnsi="Times New Roman"/>
        </w:rPr>
        <w:t>*A score of ≥11 on the ISI has been shown to detect</w:t>
      </w:r>
      <w:r w:rsidR="00BD678E" w:rsidRPr="008D536F">
        <w:rPr>
          <w:rFonts w:ascii="Times New Roman" w:hAnsi="Times New Roman"/>
        </w:rPr>
        <w:t xml:space="preserve"> severe</w:t>
      </w:r>
      <w:r w:rsidRPr="008D536F">
        <w:rPr>
          <w:rFonts w:ascii="Times New Roman" w:hAnsi="Times New Roman"/>
        </w:rPr>
        <w:t xml:space="preserve"> insomnia with 97% sensitivity and 100% specificity</w:t>
      </w:r>
      <w:r w:rsidRPr="008D536F">
        <w:rPr>
          <w:rFonts w:ascii="Times New Roman" w:hAnsi="Times New Roman"/>
        </w:rPr>
        <w:fldChar w:fldCharType="begin" w:fldLock="1"/>
      </w:r>
      <w:r w:rsidR="00E84532" w:rsidRPr="008D536F">
        <w:rPr>
          <w:rFonts w:ascii="Times New Roman" w:hAnsi="Times New Roman"/>
        </w:rPr>
        <w:instrText>ADDIN CSL_CITATION {"citationItems":[{"id":"ITEM-1","itemData":{"DOI":"10.1093/sleep/34.5.601","ISSN":"15509109","PMID":"21532953","abstract":"Background: Although insomnia is a prevalent complaint with significant morbidity, it often remains unrecognized and untreated. Brief and valid instruments are needed both for screening and outcome assessment. This study examined psychometric indices of the Insomnia Severity Index (ISI) to detect cases of insomnia in a population-based sample and to evaluate treatment response in a clinical sample. Methods: Participants were 959 individuals selected from the community for an epidemiological study of insomnia (Community sample) and 183 individuals evaluated for insomnia treatment and 62 controls without insomnia (Clinical sample). They completed the ISI and several measures of sleep quality, fatigue, psychological symptoms, and quality of life; those in the Clinical sample also completed sleep diaries, polysomnography, and interviews to validate their insomnia/good sleep status and assess treatment response. In addition to standard psychometric indices of reliability and validity, item response theory analyses were computed to examine ISI item response patterns. Receiver operating curves were used to derive optimal cutoff scores for case identification and to quantify the minimally important changes in relation to global improvement ratings obtained by an independent assessor. Results: ISI internal consistency was excellent for both samples (Cronbach α of 0.90 and 0.91). Item response analyses revealed adequate discriminatory capacity for 5 of the 7 items. Convergent validity was supported by significant correlations between total ISI score and measures of fatigue, quality of life, anxiety, and depression. A cutoff score of 10 was optimal (86.1% sensitivity and 87.7% specificity) for detecting insomnia cases in the community sample. In the clinical sample, a change score of -8.4 points (95% CI: -7.1, -9.4) was associated with moderate improvement as rated by an independent assessor after treatment. Conclusion: These findings provide further evidence that the ISI is a reliable and valid instrument to detect cases of insomnia in the population and is sensitive to treatment response in clinical patients. © Copyright 2011 Associated Professional Sleep Societies, LLC.","author":[{"dropping-particle":"","family":"Morin","given":"Charles M.","non-dropping-particle":"","parse-names":false,"suffix":""},{"dropping-particle":"","family":"Belleville","given":"Geneviève","non-dropping-particle":"","parse-names":false,"suffix":""},{"dropping-particle":"","family":"Bélanger","given":"Lynda","non-dropping-particle":"","parse-names":false,"suffix":""},{"dropping-particle":"","family":"Ivers","given":"Hans","non-dropping-particle":"","parse-names":false,"suffix":""}],"container-title":"Sleep","id":"ITEM-1","issue":"5","issued":{"date-parts":[["2011"]]},"page":"601-608","title":"The insomnia severity index: Psychometric indicators to detect insomnia cases and evaluate treatment response","type":"article-journal","volume":"34"},"uris":["http://www.mendeley.com/documents/?uuid=ae712654-8735-4662-9846-5de6bdbeaf8e"]}],"mendeley":{"formattedCitation":"&lt;sup&gt;2&lt;/sup&gt;","plainTextFormattedCitation":"2","previouslyFormattedCitation":"&lt;sup&gt;2&lt;/sup&gt;"},"properties":{"noteIndex":0},"schema":"https://github.com/citation-style-language/schema/raw/master/csl-citation.json"}</w:instrText>
      </w:r>
      <w:r w:rsidRPr="008D536F">
        <w:rPr>
          <w:rFonts w:ascii="Times New Roman" w:hAnsi="Times New Roman"/>
        </w:rPr>
        <w:fldChar w:fldCharType="separate"/>
      </w:r>
      <w:r w:rsidR="003C33FF" w:rsidRPr="008D536F">
        <w:rPr>
          <w:rFonts w:ascii="Times New Roman" w:hAnsi="Times New Roman"/>
          <w:noProof/>
          <w:vertAlign w:val="superscript"/>
        </w:rPr>
        <w:t>2</w:t>
      </w:r>
      <w:r w:rsidRPr="008D536F">
        <w:rPr>
          <w:rFonts w:ascii="Times New Roman" w:hAnsi="Times New Roman"/>
        </w:rPr>
        <w:fldChar w:fldCharType="end"/>
      </w:r>
      <w:r w:rsidRPr="008D536F">
        <w:rPr>
          <w:rFonts w:ascii="Times New Roman" w:hAnsi="Times New Roman"/>
        </w:rPr>
        <w:t>.</w:t>
      </w:r>
    </w:p>
    <w:p w14:paraId="6F94A979" w14:textId="77777777" w:rsidR="00E55D01" w:rsidRPr="008D536F" w:rsidRDefault="00E55D01">
      <w:pPr>
        <w:spacing w:after="160" w:line="259" w:lineRule="auto"/>
        <w:rPr>
          <w:rFonts w:ascii="Times New Roman" w:hAnsi="Times New Roman"/>
          <w:b/>
          <w:bCs/>
          <w:highlight w:val="yellow"/>
        </w:rPr>
      </w:pPr>
      <w:bookmarkStart w:id="10" w:name="_Toc55844632"/>
      <w:r w:rsidRPr="008D536F">
        <w:rPr>
          <w:rFonts w:ascii="Times New Roman" w:hAnsi="Times New Roman"/>
          <w:highlight w:val="yellow"/>
        </w:rPr>
        <w:br w:type="page"/>
      </w:r>
    </w:p>
    <w:p w14:paraId="71811B4E" w14:textId="79A0191E" w:rsidR="00E55D01" w:rsidRPr="008D536F" w:rsidRDefault="00E55D01" w:rsidP="00E55D01">
      <w:pPr>
        <w:pStyle w:val="Caption"/>
        <w:keepNext/>
        <w:rPr>
          <w:rFonts w:ascii="Times New Roman" w:hAnsi="Times New Roman"/>
          <w:b w:val="0"/>
          <w:bCs w:val="0"/>
          <w:sz w:val="22"/>
          <w:szCs w:val="22"/>
        </w:rPr>
      </w:pPr>
      <w:r w:rsidRPr="008D536F">
        <w:rPr>
          <w:rFonts w:ascii="Times New Roman" w:hAnsi="Times New Roman"/>
          <w:b w:val="0"/>
          <w:bCs w:val="0"/>
          <w:sz w:val="22"/>
          <w:szCs w:val="22"/>
        </w:rPr>
        <w:lastRenderedPageBreak/>
        <w:t xml:space="preserve">Table </w:t>
      </w:r>
      <w:r w:rsidR="00AF4192" w:rsidRPr="008D536F">
        <w:rPr>
          <w:rFonts w:ascii="Times New Roman" w:hAnsi="Times New Roman"/>
          <w:b w:val="0"/>
          <w:bCs w:val="0"/>
          <w:sz w:val="22"/>
          <w:szCs w:val="22"/>
        </w:rPr>
        <w:t>9</w:t>
      </w:r>
      <w:r w:rsidRPr="008D536F">
        <w:rPr>
          <w:rFonts w:ascii="Times New Roman" w:hAnsi="Times New Roman"/>
          <w:b w:val="0"/>
          <w:bCs w:val="0"/>
          <w:sz w:val="22"/>
          <w:szCs w:val="22"/>
        </w:rPr>
        <w:t>.</w:t>
      </w:r>
      <w:r w:rsidRPr="008D536F">
        <w:rPr>
          <w:rFonts w:ascii="Times New Roman" w:hAnsi="Times New Roman"/>
          <w:b w:val="0"/>
          <w:bCs w:val="0"/>
          <w:sz w:val="22"/>
          <w:szCs w:val="22"/>
        </w:rPr>
        <w:fldChar w:fldCharType="begin"/>
      </w:r>
      <w:r w:rsidRPr="008D536F">
        <w:rPr>
          <w:rFonts w:ascii="Times New Roman" w:hAnsi="Times New Roman"/>
          <w:b w:val="0"/>
          <w:bCs w:val="0"/>
          <w:sz w:val="22"/>
          <w:szCs w:val="22"/>
        </w:rPr>
        <w:instrText xml:space="preserve"> SEQ Table \* ARABIC </w:instrText>
      </w:r>
      <w:r w:rsidRPr="008D536F">
        <w:rPr>
          <w:rFonts w:ascii="Times New Roman" w:hAnsi="Times New Roman"/>
          <w:b w:val="0"/>
          <w:bCs w:val="0"/>
          <w:sz w:val="22"/>
          <w:szCs w:val="22"/>
        </w:rPr>
        <w:fldChar w:fldCharType="end"/>
      </w:r>
      <w:r w:rsidRPr="008D536F">
        <w:rPr>
          <w:rFonts w:ascii="Times New Roman" w:hAnsi="Times New Roman"/>
          <w:b w:val="0"/>
          <w:bCs w:val="0"/>
          <w:sz w:val="22"/>
          <w:szCs w:val="22"/>
        </w:rPr>
        <w:t xml:space="preserve"> Concomitant medications </w:t>
      </w:r>
      <w:r w:rsidR="00B718D1" w:rsidRPr="008D536F">
        <w:rPr>
          <w:rFonts w:ascii="Times New Roman" w:hAnsi="Times New Roman"/>
          <w:b w:val="0"/>
          <w:bCs w:val="0"/>
          <w:sz w:val="22"/>
          <w:szCs w:val="22"/>
        </w:rPr>
        <w:t xml:space="preserve">with potential for dolutegravir interaction </w:t>
      </w:r>
      <w:r w:rsidRPr="008D536F">
        <w:rPr>
          <w:rFonts w:ascii="Times New Roman" w:hAnsi="Times New Roman"/>
          <w:b w:val="0"/>
          <w:bCs w:val="0"/>
          <w:sz w:val="22"/>
          <w:szCs w:val="22"/>
        </w:rPr>
        <w:t>taken at any point from baseline to week 24</w:t>
      </w:r>
      <w:bookmarkEnd w:id="10"/>
    </w:p>
    <w:tbl>
      <w:tblPr>
        <w:tblW w:w="7797" w:type="dxa"/>
        <w:tblLook w:val="04A0" w:firstRow="1" w:lastRow="0" w:firstColumn="1" w:lastColumn="0" w:noHBand="0" w:noVBand="1"/>
      </w:tblPr>
      <w:tblGrid>
        <w:gridCol w:w="6663"/>
        <w:gridCol w:w="1134"/>
      </w:tblGrid>
      <w:tr w:rsidR="00B45866" w:rsidRPr="008D536F" w14:paraId="1924914A" w14:textId="77777777" w:rsidTr="00D76008">
        <w:trPr>
          <w:trHeight w:val="255"/>
        </w:trPr>
        <w:tc>
          <w:tcPr>
            <w:tcW w:w="6663" w:type="dxa"/>
            <w:tcBorders>
              <w:top w:val="single" w:sz="4" w:space="0" w:color="auto"/>
              <w:left w:val="nil"/>
              <w:bottom w:val="nil"/>
              <w:right w:val="nil"/>
            </w:tcBorders>
            <w:shd w:val="clear" w:color="auto" w:fill="auto"/>
            <w:noWrap/>
            <w:vAlign w:val="bottom"/>
            <w:hideMark/>
          </w:tcPr>
          <w:p w14:paraId="02B74596" w14:textId="77777777"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Concomitant medications</w:t>
            </w:r>
          </w:p>
        </w:tc>
        <w:tc>
          <w:tcPr>
            <w:tcW w:w="1134" w:type="dxa"/>
            <w:tcBorders>
              <w:top w:val="single" w:sz="4" w:space="0" w:color="auto"/>
              <w:left w:val="nil"/>
              <w:bottom w:val="nil"/>
              <w:right w:val="nil"/>
            </w:tcBorders>
            <w:shd w:val="clear" w:color="auto" w:fill="auto"/>
            <w:noWrap/>
            <w:vAlign w:val="bottom"/>
            <w:hideMark/>
          </w:tcPr>
          <w:p w14:paraId="4BF535FA" w14:textId="77777777"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n=60</w:t>
            </w:r>
          </w:p>
        </w:tc>
      </w:tr>
      <w:tr w:rsidR="00B45866" w:rsidRPr="008D536F" w14:paraId="0DEE8753" w14:textId="77777777" w:rsidTr="00D76008">
        <w:trPr>
          <w:trHeight w:val="255"/>
        </w:trPr>
        <w:tc>
          <w:tcPr>
            <w:tcW w:w="6663" w:type="dxa"/>
            <w:tcBorders>
              <w:top w:val="single" w:sz="4" w:space="0" w:color="auto"/>
              <w:left w:val="nil"/>
              <w:bottom w:val="nil"/>
              <w:right w:val="nil"/>
            </w:tcBorders>
            <w:shd w:val="clear" w:color="auto" w:fill="auto"/>
            <w:noWrap/>
            <w:vAlign w:val="bottom"/>
            <w:hideMark/>
          </w:tcPr>
          <w:p w14:paraId="2AE689B8" w14:textId="77777777"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c>
          <w:tcPr>
            <w:tcW w:w="1134" w:type="dxa"/>
            <w:tcBorders>
              <w:top w:val="single" w:sz="4" w:space="0" w:color="auto"/>
              <w:left w:val="nil"/>
              <w:bottom w:val="nil"/>
              <w:right w:val="nil"/>
            </w:tcBorders>
            <w:shd w:val="clear" w:color="auto" w:fill="auto"/>
            <w:noWrap/>
            <w:vAlign w:val="bottom"/>
            <w:hideMark/>
          </w:tcPr>
          <w:p w14:paraId="693E1668" w14:textId="77777777"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w:t>
            </w:r>
          </w:p>
        </w:tc>
      </w:tr>
      <w:tr w:rsidR="00F85299" w:rsidRPr="008D536F" w14:paraId="1AC60D42" w14:textId="77777777" w:rsidTr="00D76008">
        <w:trPr>
          <w:trHeight w:val="255"/>
        </w:trPr>
        <w:tc>
          <w:tcPr>
            <w:tcW w:w="7797" w:type="dxa"/>
            <w:gridSpan w:val="2"/>
            <w:tcBorders>
              <w:top w:val="nil"/>
              <w:left w:val="nil"/>
              <w:bottom w:val="nil"/>
              <w:right w:val="nil"/>
            </w:tcBorders>
            <w:shd w:val="clear" w:color="auto" w:fill="auto"/>
            <w:noWrap/>
            <w:vAlign w:val="bottom"/>
            <w:hideMark/>
          </w:tcPr>
          <w:p w14:paraId="71EFE235" w14:textId="67933C17" w:rsidR="00F85299" w:rsidRPr="008D536F" w:rsidRDefault="00F85299" w:rsidP="003B405F">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Key concomitant preventative medications, n(%)</w:t>
            </w:r>
          </w:p>
        </w:tc>
      </w:tr>
      <w:tr w:rsidR="00B45866" w:rsidRPr="008D536F" w14:paraId="349A7D5C" w14:textId="77777777" w:rsidTr="00D76008">
        <w:trPr>
          <w:trHeight w:val="255"/>
        </w:trPr>
        <w:tc>
          <w:tcPr>
            <w:tcW w:w="6663" w:type="dxa"/>
            <w:tcBorders>
              <w:top w:val="nil"/>
              <w:left w:val="nil"/>
              <w:bottom w:val="nil"/>
              <w:right w:val="nil"/>
            </w:tcBorders>
            <w:shd w:val="clear" w:color="auto" w:fill="auto"/>
            <w:noWrap/>
            <w:vAlign w:val="bottom"/>
            <w:hideMark/>
          </w:tcPr>
          <w:p w14:paraId="6E203D46" w14:textId="0FD8FF46"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I</w:t>
            </w:r>
            <w:r w:rsidR="00112507" w:rsidRPr="008D536F">
              <w:rPr>
                <w:rFonts w:ascii="Times New Roman" w:eastAsia="Times New Roman" w:hAnsi="Times New Roman"/>
                <w:lang w:eastAsia="en-GB"/>
              </w:rPr>
              <w:t>soniazid</w:t>
            </w:r>
            <w:r w:rsidR="00A56784" w:rsidRPr="008D536F">
              <w:rPr>
                <w:rFonts w:ascii="Times New Roman" w:eastAsia="Times New Roman" w:hAnsi="Times New Roman"/>
                <w:lang w:eastAsia="en-GB"/>
              </w:rPr>
              <w:t>*</w:t>
            </w:r>
          </w:p>
        </w:tc>
        <w:tc>
          <w:tcPr>
            <w:tcW w:w="1134" w:type="dxa"/>
            <w:tcBorders>
              <w:top w:val="nil"/>
              <w:left w:val="nil"/>
              <w:bottom w:val="nil"/>
              <w:right w:val="nil"/>
            </w:tcBorders>
            <w:shd w:val="clear" w:color="auto" w:fill="auto"/>
            <w:noWrap/>
            <w:vAlign w:val="bottom"/>
            <w:hideMark/>
          </w:tcPr>
          <w:p w14:paraId="65DB9971" w14:textId="4E066D5B"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40 (67</w:t>
            </w:r>
            <w:r w:rsidR="00D76008"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B45866" w:rsidRPr="008D536F" w14:paraId="72AAC636" w14:textId="77777777" w:rsidTr="00D76008">
        <w:trPr>
          <w:trHeight w:val="255"/>
        </w:trPr>
        <w:tc>
          <w:tcPr>
            <w:tcW w:w="6663" w:type="dxa"/>
            <w:tcBorders>
              <w:top w:val="nil"/>
              <w:left w:val="nil"/>
              <w:bottom w:val="nil"/>
              <w:right w:val="nil"/>
            </w:tcBorders>
            <w:shd w:val="clear" w:color="auto" w:fill="auto"/>
            <w:noWrap/>
            <w:vAlign w:val="bottom"/>
            <w:hideMark/>
          </w:tcPr>
          <w:p w14:paraId="25C80F2F" w14:textId="77777777"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Cotrimoxazole</w:t>
            </w:r>
          </w:p>
        </w:tc>
        <w:tc>
          <w:tcPr>
            <w:tcW w:w="1134" w:type="dxa"/>
            <w:tcBorders>
              <w:top w:val="nil"/>
              <w:left w:val="nil"/>
              <w:bottom w:val="nil"/>
              <w:right w:val="nil"/>
            </w:tcBorders>
            <w:shd w:val="clear" w:color="auto" w:fill="auto"/>
            <w:noWrap/>
            <w:vAlign w:val="bottom"/>
            <w:hideMark/>
          </w:tcPr>
          <w:p w14:paraId="06FB52F9" w14:textId="679E0E1A"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21 (35</w:t>
            </w:r>
            <w:r w:rsidR="00D76008"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B45866" w:rsidRPr="008D536F" w14:paraId="20B19442" w14:textId="77777777" w:rsidTr="00D76008">
        <w:trPr>
          <w:trHeight w:val="255"/>
        </w:trPr>
        <w:tc>
          <w:tcPr>
            <w:tcW w:w="6663" w:type="dxa"/>
            <w:tcBorders>
              <w:top w:val="nil"/>
              <w:left w:val="nil"/>
              <w:bottom w:val="nil"/>
              <w:right w:val="nil"/>
            </w:tcBorders>
            <w:shd w:val="clear" w:color="auto" w:fill="auto"/>
            <w:noWrap/>
            <w:vAlign w:val="bottom"/>
            <w:hideMark/>
          </w:tcPr>
          <w:p w14:paraId="1C8308D2" w14:textId="77777777" w:rsidR="00B45866" w:rsidRPr="008D536F" w:rsidRDefault="00B45866" w:rsidP="003B405F">
            <w:pPr>
              <w:spacing w:after="0" w:line="240" w:lineRule="auto"/>
              <w:rPr>
                <w:rFonts w:ascii="Times New Roman" w:eastAsia="Times New Roman" w:hAnsi="Times New Roman"/>
                <w:lang w:eastAsia="en-GB"/>
              </w:rPr>
            </w:pPr>
          </w:p>
        </w:tc>
        <w:tc>
          <w:tcPr>
            <w:tcW w:w="1134" w:type="dxa"/>
            <w:tcBorders>
              <w:top w:val="nil"/>
              <w:left w:val="nil"/>
              <w:bottom w:val="nil"/>
              <w:right w:val="nil"/>
            </w:tcBorders>
            <w:shd w:val="clear" w:color="auto" w:fill="auto"/>
            <w:noWrap/>
            <w:vAlign w:val="bottom"/>
            <w:hideMark/>
          </w:tcPr>
          <w:p w14:paraId="69F615DC" w14:textId="77777777" w:rsidR="00B45866" w:rsidRPr="008D536F" w:rsidRDefault="00B45866" w:rsidP="003B405F">
            <w:pPr>
              <w:spacing w:after="0" w:line="240" w:lineRule="auto"/>
              <w:rPr>
                <w:rFonts w:ascii="Times New Roman" w:eastAsia="Times New Roman" w:hAnsi="Times New Roman"/>
                <w:lang w:eastAsia="en-GB"/>
              </w:rPr>
            </w:pPr>
          </w:p>
        </w:tc>
      </w:tr>
      <w:tr w:rsidR="00F85299" w:rsidRPr="008D536F" w14:paraId="1845DC0C" w14:textId="77777777" w:rsidTr="00D76008">
        <w:trPr>
          <w:trHeight w:val="255"/>
        </w:trPr>
        <w:tc>
          <w:tcPr>
            <w:tcW w:w="7797" w:type="dxa"/>
            <w:gridSpan w:val="2"/>
            <w:tcBorders>
              <w:top w:val="nil"/>
              <w:left w:val="nil"/>
              <w:bottom w:val="nil"/>
              <w:right w:val="nil"/>
            </w:tcBorders>
            <w:shd w:val="clear" w:color="auto" w:fill="auto"/>
            <w:noWrap/>
            <w:vAlign w:val="bottom"/>
            <w:hideMark/>
          </w:tcPr>
          <w:p w14:paraId="7E51841A" w14:textId="4AE1FFEA" w:rsidR="00F85299" w:rsidRPr="008D536F" w:rsidRDefault="00F85299" w:rsidP="003B405F">
            <w:pPr>
              <w:spacing w:after="0" w:line="240" w:lineRule="auto"/>
              <w:rPr>
                <w:rFonts w:ascii="Times New Roman" w:eastAsia="Times New Roman" w:hAnsi="Times New Roman"/>
                <w:b/>
                <w:bCs/>
                <w:lang w:eastAsia="en-GB"/>
              </w:rPr>
            </w:pPr>
            <w:r w:rsidRPr="008D536F">
              <w:rPr>
                <w:rFonts w:ascii="Times New Roman" w:eastAsia="Times New Roman" w:hAnsi="Times New Roman"/>
                <w:b/>
                <w:bCs/>
                <w:lang w:eastAsia="en-GB"/>
              </w:rPr>
              <w:t xml:space="preserve">Other concomitant medications </w:t>
            </w:r>
            <w:r w:rsidRPr="008D536F">
              <w:rPr>
                <w:rFonts w:ascii="Times New Roman" w:hAnsi="Times New Roman"/>
                <w:b/>
                <w:bCs/>
              </w:rPr>
              <w:t>with potential for dolutegravir interaction</w:t>
            </w:r>
            <w:r w:rsidRPr="008D536F">
              <w:rPr>
                <w:rFonts w:ascii="Times New Roman" w:eastAsia="Times New Roman" w:hAnsi="Times New Roman"/>
                <w:b/>
                <w:bCs/>
                <w:lang w:eastAsia="en-GB"/>
              </w:rPr>
              <w:t>, n(%)</w:t>
            </w:r>
          </w:p>
        </w:tc>
      </w:tr>
      <w:tr w:rsidR="00B45866" w:rsidRPr="008D536F" w14:paraId="16615DC6" w14:textId="77777777" w:rsidTr="00D76008">
        <w:trPr>
          <w:trHeight w:val="255"/>
        </w:trPr>
        <w:tc>
          <w:tcPr>
            <w:tcW w:w="6663" w:type="dxa"/>
            <w:tcBorders>
              <w:top w:val="nil"/>
              <w:left w:val="nil"/>
              <w:bottom w:val="nil"/>
              <w:right w:val="nil"/>
            </w:tcBorders>
            <w:shd w:val="clear" w:color="auto" w:fill="auto"/>
            <w:noWrap/>
            <w:vAlign w:val="bottom"/>
            <w:hideMark/>
          </w:tcPr>
          <w:p w14:paraId="23E2447D" w14:textId="77777777"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Ferrous sulphate</w:t>
            </w:r>
          </w:p>
        </w:tc>
        <w:tc>
          <w:tcPr>
            <w:tcW w:w="1134" w:type="dxa"/>
            <w:tcBorders>
              <w:top w:val="nil"/>
              <w:left w:val="nil"/>
              <w:bottom w:val="nil"/>
              <w:right w:val="nil"/>
            </w:tcBorders>
            <w:shd w:val="clear" w:color="auto" w:fill="auto"/>
            <w:noWrap/>
            <w:vAlign w:val="bottom"/>
            <w:hideMark/>
          </w:tcPr>
          <w:p w14:paraId="3A6A2D87" w14:textId="358FF7AD"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5 (2</w:t>
            </w:r>
            <w:r w:rsidR="00D76008"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B45866" w:rsidRPr="008D536F" w14:paraId="62EFB0A3" w14:textId="77777777" w:rsidTr="00D76008">
        <w:trPr>
          <w:trHeight w:val="255"/>
        </w:trPr>
        <w:tc>
          <w:tcPr>
            <w:tcW w:w="6663" w:type="dxa"/>
            <w:tcBorders>
              <w:top w:val="nil"/>
              <w:left w:val="nil"/>
              <w:bottom w:val="nil"/>
              <w:right w:val="nil"/>
            </w:tcBorders>
            <w:shd w:val="clear" w:color="auto" w:fill="auto"/>
            <w:noWrap/>
            <w:vAlign w:val="bottom"/>
            <w:hideMark/>
          </w:tcPr>
          <w:p w14:paraId="28184E2A" w14:textId="77777777"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Metformin</w:t>
            </w:r>
          </w:p>
        </w:tc>
        <w:tc>
          <w:tcPr>
            <w:tcW w:w="1134" w:type="dxa"/>
            <w:tcBorders>
              <w:top w:val="nil"/>
              <w:left w:val="nil"/>
              <w:bottom w:val="nil"/>
              <w:right w:val="nil"/>
            </w:tcBorders>
            <w:shd w:val="clear" w:color="auto" w:fill="auto"/>
            <w:noWrap/>
            <w:vAlign w:val="bottom"/>
            <w:hideMark/>
          </w:tcPr>
          <w:p w14:paraId="477B5EC6" w14:textId="6F1D87D4"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 (0</w:t>
            </w:r>
            <w:r w:rsidR="00D76008"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B45866" w:rsidRPr="008D536F" w14:paraId="031D5077" w14:textId="77777777" w:rsidTr="00D76008">
        <w:trPr>
          <w:trHeight w:val="255"/>
        </w:trPr>
        <w:tc>
          <w:tcPr>
            <w:tcW w:w="6663" w:type="dxa"/>
            <w:tcBorders>
              <w:top w:val="nil"/>
              <w:left w:val="nil"/>
              <w:bottom w:val="nil"/>
              <w:right w:val="nil"/>
            </w:tcBorders>
            <w:shd w:val="clear" w:color="auto" w:fill="auto"/>
            <w:noWrap/>
            <w:vAlign w:val="bottom"/>
            <w:hideMark/>
          </w:tcPr>
          <w:p w14:paraId="35CA9D63" w14:textId="77777777"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Rifampicin</w:t>
            </w:r>
          </w:p>
        </w:tc>
        <w:tc>
          <w:tcPr>
            <w:tcW w:w="1134" w:type="dxa"/>
            <w:tcBorders>
              <w:top w:val="nil"/>
              <w:left w:val="nil"/>
              <w:bottom w:val="nil"/>
              <w:right w:val="nil"/>
            </w:tcBorders>
            <w:shd w:val="clear" w:color="auto" w:fill="auto"/>
            <w:noWrap/>
            <w:vAlign w:val="bottom"/>
            <w:hideMark/>
          </w:tcPr>
          <w:p w14:paraId="3904AAE8" w14:textId="5AF0C401" w:rsidR="00B45866" w:rsidRPr="008D536F"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 (0</w:t>
            </w:r>
            <w:r w:rsidR="00D76008" w:rsidRPr="008D536F">
              <w:rPr>
                <w:rFonts w:ascii="Times New Roman" w:eastAsia="Times New Roman" w:hAnsi="Times New Roman"/>
                <w:lang w:eastAsia="en-GB"/>
              </w:rPr>
              <w:t>%</w:t>
            </w:r>
            <w:r w:rsidRPr="008D536F">
              <w:rPr>
                <w:rFonts w:ascii="Times New Roman" w:eastAsia="Times New Roman" w:hAnsi="Times New Roman"/>
                <w:lang w:eastAsia="en-GB"/>
              </w:rPr>
              <w:t>)</w:t>
            </w:r>
          </w:p>
        </w:tc>
      </w:tr>
      <w:tr w:rsidR="00B45866" w:rsidRPr="008D536F" w14:paraId="46087DE7" w14:textId="77777777" w:rsidTr="00D76008">
        <w:trPr>
          <w:trHeight w:val="255"/>
        </w:trPr>
        <w:tc>
          <w:tcPr>
            <w:tcW w:w="6663" w:type="dxa"/>
            <w:tcBorders>
              <w:top w:val="nil"/>
              <w:left w:val="nil"/>
              <w:bottom w:val="single" w:sz="4" w:space="0" w:color="auto"/>
              <w:right w:val="nil"/>
            </w:tcBorders>
            <w:shd w:val="clear" w:color="auto" w:fill="auto"/>
            <w:noWrap/>
            <w:vAlign w:val="bottom"/>
            <w:hideMark/>
          </w:tcPr>
          <w:p w14:paraId="1A299614" w14:textId="3E2541FC" w:rsidR="00B45866"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 Zinc </w:t>
            </w:r>
            <w:proofErr w:type="spellStart"/>
            <w:r w:rsidRPr="008D536F">
              <w:rPr>
                <w:rFonts w:ascii="Times New Roman" w:eastAsia="Times New Roman" w:hAnsi="Times New Roman"/>
                <w:lang w:eastAsia="en-GB"/>
              </w:rPr>
              <w:t>Sulfate</w:t>
            </w:r>
            <w:proofErr w:type="spellEnd"/>
            <w:r w:rsidRPr="008D536F">
              <w:rPr>
                <w:rFonts w:ascii="Times New Roman" w:eastAsia="Times New Roman" w:hAnsi="Times New Roman"/>
                <w:lang w:eastAsia="en-GB"/>
              </w:rPr>
              <w:t xml:space="preserve"> Monohydrate</w:t>
            </w:r>
          </w:p>
          <w:p w14:paraId="36614015" w14:textId="77777777" w:rsidR="007F469B" w:rsidRPr="008D536F" w:rsidRDefault="007F469B" w:rsidP="003B405F">
            <w:pPr>
              <w:spacing w:after="0" w:line="240" w:lineRule="auto"/>
              <w:rPr>
                <w:rFonts w:ascii="Times New Roman" w:eastAsia="Times New Roman" w:hAnsi="Times New Roman"/>
                <w:lang w:eastAsia="en-GB"/>
              </w:rPr>
            </w:pPr>
          </w:p>
          <w:p w14:paraId="042D1F21" w14:textId="71530D13" w:rsidR="006F46D0" w:rsidRPr="008D536F" w:rsidRDefault="006F46D0" w:rsidP="003B405F">
            <w:pPr>
              <w:spacing w:after="0" w:line="240" w:lineRule="auto"/>
              <w:rPr>
                <w:rFonts w:ascii="Times New Roman" w:eastAsia="Times New Roman" w:hAnsi="Times New Roman"/>
                <w:lang w:eastAsia="en-GB"/>
              </w:rPr>
            </w:pPr>
          </w:p>
        </w:tc>
        <w:tc>
          <w:tcPr>
            <w:tcW w:w="1134" w:type="dxa"/>
            <w:tcBorders>
              <w:top w:val="nil"/>
              <w:left w:val="nil"/>
              <w:bottom w:val="single" w:sz="4" w:space="0" w:color="auto"/>
              <w:right w:val="nil"/>
            </w:tcBorders>
            <w:shd w:val="clear" w:color="auto" w:fill="auto"/>
            <w:noWrap/>
            <w:vAlign w:val="bottom"/>
            <w:hideMark/>
          </w:tcPr>
          <w:p w14:paraId="3B92299C" w14:textId="4BE42FCF" w:rsidR="00B45866" w:rsidRDefault="00B45866"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1 (0</w:t>
            </w:r>
            <w:r w:rsidR="00D76008" w:rsidRPr="008D536F">
              <w:rPr>
                <w:rFonts w:ascii="Times New Roman" w:eastAsia="Times New Roman" w:hAnsi="Times New Roman"/>
                <w:lang w:eastAsia="en-GB"/>
              </w:rPr>
              <w:t>%</w:t>
            </w:r>
            <w:r w:rsidRPr="008D536F">
              <w:rPr>
                <w:rFonts w:ascii="Times New Roman" w:eastAsia="Times New Roman" w:hAnsi="Times New Roman"/>
                <w:lang w:eastAsia="en-GB"/>
              </w:rPr>
              <w:t>)</w:t>
            </w:r>
          </w:p>
          <w:p w14:paraId="0C0AEB4C" w14:textId="77777777" w:rsidR="007F469B" w:rsidRPr="008D536F" w:rsidRDefault="007F469B" w:rsidP="003B405F">
            <w:pPr>
              <w:spacing w:after="0" w:line="240" w:lineRule="auto"/>
              <w:rPr>
                <w:rFonts w:ascii="Times New Roman" w:eastAsia="Times New Roman" w:hAnsi="Times New Roman"/>
                <w:lang w:eastAsia="en-GB"/>
              </w:rPr>
            </w:pPr>
          </w:p>
          <w:p w14:paraId="520FDFC6" w14:textId="5F2578A5" w:rsidR="006F46D0" w:rsidRPr="008D536F" w:rsidRDefault="006F46D0" w:rsidP="003B405F">
            <w:pPr>
              <w:spacing w:after="0" w:line="240" w:lineRule="auto"/>
              <w:rPr>
                <w:rFonts w:ascii="Times New Roman" w:eastAsia="Times New Roman" w:hAnsi="Times New Roman"/>
                <w:lang w:eastAsia="en-GB"/>
              </w:rPr>
            </w:pPr>
          </w:p>
        </w:tc>
      </w:tr>
      <w:tr w:rsidR="00A56784" w:rsidRPr="008D536F" w14:paraId="1AC60513" w14:textId="77777777" w:rsidTr="00D76008">
        <w:trPr>
          <w:trHeight w:val="255"/>
        </w:trPr>
        <w:tc>
          <w:tcPr>
            <w:tcW w:w="7797" w:type="dxa"/>
            <w:gridSpan w:val="2"/>
            <w:tcBorders>
              <w:top w:val="nil"/>
              <w:left w:val="nil"/>
              <w:bottom w:val="single" w:sz="4" w:space="0" w:color="auto"/>
              <w:right w:val="nil"/>
            </w:tcBorders>
            <w:shd w:val="clear" w:color="auto" w:fill="auto"/>
            <w:noWrap/>
            <w:vAlign w:val="bottom"/>
          </w:tcPr>
          <w:p w14:paraId="7690597D" w14:textId="5EF7021A" w:rsidR="00A56784" w:rsidRPr="008D536F" w:rsidRDefault="00A56784" w:rsidP="003B405F">
            <w:pPr>
              <w:spacing w:after="0" w:line="240" w:lineRule="auto"/>
              <w:rPr>
                <w:rFonts w:ascii="Times New Roman" w:eastAsia="Times New Roman" w:hAnsi="Times New Roman"/>
                <w:lang w:eastAsia="en-GB"/>
              </w:rPr>
            </w:pPr>
            <w:r w:rsidRPr="008D536F">
              <w:rPr>
                <w:rFonts w:ascii="Times New Roman" w:eastAsia="Times New Roman" w:hAnsi="Times New Roman"/>
                <w:lang w:eastAsia="en-GB"/>
              </w:rPr>
              <w:t xml:space="preserve">*Participants received isoniazid </w:t>
            </w:r>
            <w:r w:rsidR="00F85299" w:rsidRPr="008D536F">
              <w:rPr>
                <w:rFonts w:ascii="Times New Roman" w:eastAsia="Times New Roman" w:hAnsi="Times New Roman"/>
                <w:lang w:eastAsia="en-GB"/>
              </w:rPr>
              <w:t>as tuberculosis preventative therapy</w:t>
            </w:r>
          </w:p>
        </w:tc>
      </w:tr>
      <w:tr w:rsidR="00B45866" w:rsidRPr="008D536F" w14:paraId="7757620B" w14:textId="77777777" w:rsidTr="00D76008">
        <w:trPr>
          <w:trHeight w:val="255"/>
        </w:trPr>
        <w:tc>
          <w:tcPr>
            <w:tcW w:w="6663" w:type="dxa"/>
            <w:tcBorders>
              <w:top w:val="single" w:sz="4" w:space="0" w:color="auto"/>
              <w:left w:val="nil"/>
              <w:bottom w:val="nil"/>
              <w:right w:val="nil"/>
            </w:tcBorders>
            <w:shd w:val="clear" w:color="auto" w:fill="auto"/>
            <w:noWrap/>
            <w:vAlign w:val="bottom"/>
            <w:hideMark/>
          </w:tcPr>
          <w:p w14:paraId="4ED2F1FD" w14:textId="77777777" w:rsidR="00B45866" w:rsidRPr="008D536F" w:rsidRDefault="00B45866" w:rsidP="003B405F">
            <w:pPr>
              <w:spacing w:after="0" w:line="240" w:lineRule="auto"/>
              <w:rPr>
                <w:rFonts w:ascii="Times New Roman" w:eastAsia="Times New Roman" w:hAnsi="Times New Roman"/>
                <w:lang w:eastAsia="en-GB"/>
              </w:rPr>
            </w:pPr>
          </w:p>
        </w:tc>
        <w:tc>
          <w:tcPr>
            <w:tcW w:w="1134" w:type="dxa"/>
            <w:tcBorders>
              <w:top w:val="single" w:sz="4" w:space="0" w:color="auto"/>
              <w:left w:val="nil"/>
              <w:bottom w:val="nil"/>
              <w:right w:val="nil"/>
            </w:tcBorders>
            <w:shd w:val="clear" w:color="auto" w:fill="auto"/>
            <w:noWrap/>
            <w:vAlign w:val="bottom"/>
            <w:hideMark/>
          </w:tcPr>
          <w:p w14:paraId="0D9A6668" w14:textId="77777777" w:rsidR="00B45866" w:rsidRPr="008D536F" w:rsidRDefault="00B45866" w:rsidP="003B405F">
            <w:pPr>
              <w:spacing w:after="0" w:line="240" w:lineRule="auto"/>
              <w:rPr>
                <w:rFonts w:ascii="Times New Roman" w:eastAsia="Times New Roman" w:hAnsi="Times New Roman"/>
                <w:lang w:eastAsia="en-GB"/>
              </w:rPr>
            </w:pPr>
          </w:p>
        </w:tc>
      </w:tr>
    </w:tbl>
    <w:p w14:paraId="7886DF1D" w14:textId="77777777" w:rsidR="00F32AD8" w:rsidRPr="008D536F" w:rsidRDefault="00F32AD8">
      <w:pPr>
        <w:spacing w:after="160" w:line="259" w:lineRule="auto"/>
        <w:rPr>
          <w:rFonts w:ascii="Times New Roman" w:hAnsi="Times New Roman"/>
        </w:rPr>
      </w:pPr>
      <w:r w:rsidRPr="008D536F">
        <w:rPr>
          <w:rFonts w:ascii="Times New Roman" w:hAnsi="Times New Roman"/>
        </w:rPr>
        <w:br w:type="page"/>
      </w:r>
    </w:p>
    <w:p w14:paraId="7D226380" w14:textId="0F699024" w:rsidR="00F32AD8" w:rsidRPr="008D536F" w:rsidRDefault="00F32AD8" w:rsidP="000B00ED">
      <w:pPr>
        <w:rPr>
          <w:rFonts w:ascii="Times New Roman" w:hAnsi="Times New Roman"/>
          <w:b/>
          <w:bCs/>
        </w:rPr>
      </w:pPr>
      <w:r w:rsidRPr="008D536F">
        <w:rPr>
          <w:rFonts w:ascii="Times New Roman" w:hAnsi="Times New Roman"/>
          <w:b/>
          <w:bCs/>
        </w:rPr>
        <w:lastRenderedPageBreak/>
        <w:t>Reference</w:t>
      </w:r>
      <w:r w:rsidR="0021460B" w:rsidRPr="008D536F">
        <w:rPr>
          <w:rFonts w:ascii="Times New Roman" w:hAnsi="Times New Roman"/>
          <w:b/>
          <w:bCs/>
        </w:rPr>
        <w:t>s</w:t>
      </w:r>
    </w:p>
    <w:p w14:paraId="748E1B66" w14:textId="3CED321C" w:rsidR="00E84532" w:rsidRPr="008D536F" w:rsidRDefault="00F32AD8" w:rsidP="00E84532">
      <w:pPr>
        <w:widowControl w:val="0"/>
        <w:autoSpaceDE w:val="0"/>
        <w:autoSpaceDN w:val="0"/>
        <w:adjustRightInd w:val="0"/>
        <w:spacing w:line="240" w:lineRule="auto"/>
        <w:ind w:left="640" w:hanging="640"/>
        <w:rPr>
          <w:rFonts w:ascii="Times New Roman" w:hAnsi="Times New Roman"/>
          <w:noProof/>
          <w:szCs w:val="24"/>
        </w:rPr>
      </w:pPr>
      <w:r w:rsidRPr="008D536F">
        <w:rPr>
          <w:rFonts w:ascii="Times New Roman" w:hAnsi="Times New Roman"/>
        </w:rPr>
        <w:fldChar w:fldCharType="begin" w:fldLock="1"/>
      </w:r>
      <w:r w:rsidRPr="008D536F">
        <w:rPr>
          <w:rFonts w:ascii="Times New Roman" w:hAnsi="Times New Roman"/>
        </w:rPr>
        <w:instrText xml:space="preserve">ADDIN Mendeley Bibliography CSL_BIBLIOGRAPHY </w:instrText>
      </w:r>
      <w:r w:rsidRPr="008D536F">
        <w:rPr>
          <w:rFonts w:ascii="Times New Roman" w:hAnsi="Times New Roman"/>
        </w:rPr>
        <w:fldChar w:fldCharType="separate"/>
      </w:r>
      <w:r w:rsidR="00E84532" w:rsidRPr="008D536F">
        <w:rPr>
          <w:rFonts w:ascii="Times New Roman" w:hAnsi="Times New Roman"/>
          <w:noProof/>
          <w:szCs w:val="24"/>
        </w:rPr>
        <w:t xml:space="preserve">1. </w:t>
      </w:r>
      <w:r w:rsidR="00E84532" w:rsidRPr="008D536F">
        <w:rPr>
          <w:rFonts w:ascii="Times New Roman" w:hAnsi="Times New Roman"/>
          <w:noProof/>
          <w:szCs w:val="24"/>
        </w:rPr>
        <w:tab/>
        <w:t xml:space="preserve">Alexander MJ, Haugland G, Lin SP, Bertollo DN, McCorry FA. Mental health screening in addiction, corrections and social service settings: Validating the MMS. </w:t>
      </w:r>
      <w:r w:rsidR="00E84532" w:rsidRPr="008D536F">
        <w:rPr>
          <w:rFonts w:ascii="Times New Roman" w:hAnsi="Times New Roman"/>
          <w:i/>
          <w:iCs/>
          <w:noProof/>
          <w:szCs w:val="24"/>
        </w:rPr>
        <w:t>Int J Ment Health Addict</w:t>
      </w:r>
      <w:r w:rsidR="00E84532" w:rsidRPr="008D536F">
        <w:rPr>
          <w:rFonts w:ascii="Times New Roman" w:hAnsi="Times New Roman"/>
          <w:noProof/>
          <w:szCs w:val="24"/>
        </w:rPr>
        <w:t>. 2008;6(1):105-119. doi:10.1007/s11469-007-9100-x</w:t>
      </w:r>
    </w:p>
    <w:p w14:paraId="0ABE0B39" w14:textId="77777777" w:rsidR="00E84532" w:rsidRPr="008D536F" w:rsidRDefault="00E84532" w:rsidP="00E84532">
      <w:pPr>
        <w:widowControl w:val="0"/>
        <w:autoSpaceDE w:val="0"/>
        <w:autoSpaceDN w:val="0"/>
        <w:adjustRightInd w:val="0"/>
        <w:spacing w:line="240" w:lineRule="auto"/>
        <w:ind w:left="640" w:hanging="640"/>
        <w:rPr>
          <w:rFonts w:ascii="Times New Roman" w:hAnsi="Times New Roman"/>
          <w:noProof/>
          <w:szCs w:val="24"/>
        </w:rPr>
      </w:pPr>
      <w:r w:rsidRPr="008D536F">
        <w:rPr>
          <w:rFonts w:ascii="Times New Roman" w:hAnsi="Times New Roman"/>
          <w:noProof/>
          <w:szCs w:val="24"/>
        </w:rPr>
        <w:t xml:space="preserve">2. </w:t>
      </w:r>
      <w:r w:rsidRPr="008D536F">
        <w:rPr>
          <w:rFonts w:ascii="Times New Roman" w:hAnsi="Times New Roman"/>
          <w:noProof/>
          <w:szCs w:val="24"/>
        </w:rPr>
        <w:tab/>
        <w:t xml:space="preserve">Morin CM, Belleville G, Bélanger L, Ivers H. The insomnia severity index: Psychometric indicators to detect insomnia cases and evaluate treatment response. </w:t>
      </w:r>
      <w:r w:rsidRPr="008D536F">
        <w:rPr>
          <w:rFonts w:ascii="Times New Roman" w:hAnsi="Times New Roman"/>
          <w:i/>
          <w:iCs/>
          <w:noProof/>
          <w:szCs w:val="24"/>
        </w:rPr>
        <w:t>Sleep</w:t>
      </w:r>
      <w:r w:rsidRPr="008D536F">
        <w:rPr>
          <w:rFonts w:ascii="Times New Roman" w:hAnsi="Times New Roman"/>
          <w:noProof/>
          <w:szCs w:val="24"/>
        </w:rPr>
        <w:t>. 2011;34(5):601-608. doi:10.1093/sleep/34.5.601</w:t>
      </w:r>
    </w:p>
    <w:p w14:paraId="37C1443A" w14:textId="77777777" w:rsidR="00E84532" w:rsidRPr="008D536F" w:rsidRDefault="00E84532" w:rsidP="00E84532">
      <w:pPr>
        <w:widowControl w:val="0"/>
        <w:autoSpaceDE w:val="0"/>
        <w:autoSpaceDN w:val="0"/>
        <w:adjustRightInd w:val="0"/>
        <w:spacing w:line="240" w:lineRule="auto"/>
        <w:ind w:left="640" w:hanging="640"/>
        <w:rPr>
          <w:rFonts w:ascii="Times New Roman" w:hAnsi="Times New Roman"/>
          <w:noProof/>
          <w:szCs w:val="24"/>
        </w:rPr>
      </w:pPr>
      <w:r w:rsidRPr="008D536F">
        <w:rPr>
          <w:rFonts w:ascii="Times New Roman" w:hAnsi="Times New Roman"/>
          <w:noProof/>
          <w:szCs w:val="24"/>
        </w:rPr>
        <w:t xml:space="preserve">3. </w:t>
      </w:r>
      <w:r w:rsidRPr="008D536F">
        <w:rPr>
          <w:rFonts w:ascii="Times New Roman" w:hAnsi="Times New Roman"/>
          <w:noProof/>
          <w:szCs w:val="24"/>
        </w:rPr>
        <w:tab/>
        <w:t>Stanford University. DRM penalty scores and resistance interpretation. HIV Drug Resistance Database. Published 2020. Accessed September 4, 2020. https://hivdb.stanford.edu/page/release-notes/</w:t>
      </w:r>
    </w:p>
    <w:p w14:paraId="0C633998" w14:textId="77777777" w:rsidR="00E84532" w:rsidRPr="008D536F" w:rsidRDefault="00E84532" w:rsidP="00E84532">
      <w:pPr>
        <w:widowControl w:val="0"/>
        <w:autoSpaceDE w:val="0"/>
        <w:autoSpaceDN w:val="0"/>
        <w:adjustRightInd w:val="0"/>
        <w:spacing w:line="240" w:lineRule="auto"/>
        <w:ind w:left="640" w:hanging="640"/>
        <w:rPr>
          <w:rFonts w:ascii="Times New Roman" w:hAnsi="Times New Roman"/>
          <w:noProof/>
        </w:rPr>
      </w:pPr>
      <w:r w:rsidRPr="008D536F">
        <w:rPr>
          <w:rFonts w:ascii="Times New Roman" w:hAnsi="Times New Roman"/>
          <w:noProof/>
          <w:szCs w:val="24"/>
        </w:rPr>
        <w:t xml:space="preserve">4. </w:t>
      </w:r>
      <w:r w:rsidRPr="008D536F">
        <w:rPr>
          <w:rFonts w:ascii="Times New Roman" w:hAnsi="Times New Roman"/>
          <w:noProof/>
          <w:szCs w:val="24"/>
        </w:rPr>
        <w:tab/>
        <w:t xml:space="preserve">Anderson PL, Liu AY, Castillo-mancilla JR, et al. Intracellular Tenofovir-Diphosphate and Emtricitabine-Triphosphate in Dried Blood Spots following Directly Observed Therapy. </w:t>
      </w:r>
      <w:r w:rsidRPr="008D536F">
        <w:rPr>
          <w:rFonts w:ascii="Times New Roman" w:hAnsi="Times New Roman"/>
          <w:i/>
          <w:iCs/>
          <w:noProof/>
          <w:szCs w:val="24"/>
        </w:rPr>
        <w:t>Antimicrob Agents Chemother</w:t>
      </w:r>
      <w:r w:rsidRPr="008D536F">
        <w:rPr>
          <w:rFonts w:ascii="Times New Roman" w:hAnsi="Times New Roman"/>
          <w:noProof/>
          <w:szCs w:val="24"/>
        </w:rPr>
        <w:t>. 2018;62(1):1-13.</w:t>
      </w:r>
    </w:p>
    <w:p w14:paraId="3C13E41A" w14:textId="24356EFB" w:rsidR="00F32AD8" w:rsidRPr="008D536F" w:rsidRDefault="00F32AD8" w:rsidP="000B00ED">
      <w:pPr>
        <w:rPr>
          <w:rFonts w:ascii="Times New Roman" w:hAnsi="Times New Roman"/>
        </w:rPr>
      </w:pPr>
      <w:r w:rsidRPr="008D536F">
        <w:rPr>
          <w:rFonts w:ascii="Times New Roman" w:hAnsi="Times New Roman"/>
        </w:rPr>
        <w:fldChar w:fldCharType="end"/>
      </w:r>
    </w:p>
    <w:sectPr w:rsidR="00F32AD8" w:rsidRPr="008D536F" w:rsidSect="00363580">
      <w:headerReference w:type="default" r:id="rId13"/>
      <w:footerReference w:type="default" r:id="rId14"/>
      <w:pgSz w:w="12240" w:h="15840"/>
      <w:pgMar w:top="1304" w:right="1077" w:bottom="1021" w:left="107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D6AF" w14:textId="77777777" w:rsidR="008B129A" w:rsidRDefault="008B129A">
      <w:pPr>
        <w:spacing w:after="0" w:line="240" w:lineRule="auto"/>
      </w:pPr>
      <w:r>
        <w:separator/>
      </w:r>
    </w:p>
  </w:endnote>
  <w:endnote w:type="continuationSeparator" w:id="0">
    <w:p w14:paraId="1AC2F75B" w14:textId="77777777" w:rsidR="008B129A" w:rsidRDefault="008B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il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A09B" w14:textId="4049ED98" w:rsidR="00363580" w:rsidRPr="00F277EC" w:rsidRDefault="00363580" w:rsidP="00363580">
    <w:pPr>
      <w:pStyle w:val="Title"/>
      <w:spacing w:before="0" w:after="0"/>
      <w:jc w:val="left"/>
      <w:rPr>
        <w:rFonts w:ascii="Times New Roman" w:hAnsi="Times New Roman"/>
        <w:b w:val="0"/>
        <w:bCs w:val="0"/>
        <w:i/>
        <w:iCs/>
        <w:sz w:val="18"/>
        <w:szCs w:val="18"/>
        <w:lang w:val="en-ZA"/>
      </w:rPr>
    </w:pPr>
    <w:r w:rsidRPr="00A66119">
      <w:rPr>
        <w:rFonts w:ascii="Times New Roman" w:hAnsi="Times New Roman"/>
        <w:b w:val="0"/>
        <w:bCs w:val="0"/>
        <w:sz w:val="20"/>
        <w:szCs w:val="20"/>
        <w:lang w:val="en-ZA"/>
      </w:rPr>
      <w:t xml:space="preserve">Keene et al. </w:t>
    </w:r>
    <w:r w:rsidR="004121C1" w:rsidRPr="004121C1">
      <w:rPr>
        <w:rFonts w:ascii="Cailbri" w:hAnsi="Cailbri"/>
        <w:b w:val="0"/>
        <w:bCs w:val="0"/>
        <w:i/>
        <w:iCs/>
        <w:sz w:val="20"/>
        <w:szCs w:val="20"/>
        <w:lang w:eastAsia="en-GB"/>
      </w:rPr>
      <w:t>Virologic efficacy of tenofovir, lamivudine and dolutegravir as second-line in adults failing a tenofovir-based first-line regimen: a prospective cohort study</w:t>
    </w:r>
  </w:p>
  <w:sdt>
    <w:sdtPr>
      <w:rPr>
        <w:sz w:val="20"/>
        <w:szCs w:val="20"/>
      </w:rPr>
      <w:id w:val="-2030398344"/>
      <w:docPartObj>
        <w:docPartGallery w:val="Page Numbers (Bottom of Page)"/>
        <w:docPartUnique/>
      </w:docPartObj>
    </w:sdtPr>
    <w:sdtEndPr>
      <w:rPr>
        <w:noProof/>
      </w:rPr>
    </w:sdtEndPr>
    <w:sdtContent>
      <w:p w14:paraId="0AC56F0B" w14:textId="1BDB349A" w:rsidR="00363580" w:rsidRPr="00F277EC" w:rsidRDefault="00363580">
        <w:pPr>
          <w:pStyle w:val="Footer"/>
          <w:jc w:val="right"/>
          <w:rPr>
            <w:sz w:val="20"/>
            <w:szCs w:val="20"/>
          </w:rPr>
        </w:pPr>
        <w:r w:rsidRPr="00F277EC">
          <w:rPr>
            <w:sz w:val="20"/>
            <w:szCs w:val="20"/>
          </w:rPr>
          <w:fldChar w:fldCharType="begin"/>
        </w:r>
        <w:r w:rsidRPr="00F277EC">
          <w:rPr>
            <w:sz w:val="20"/>
            <w:szCs w:val="20"/>
          </w:rPr>
          <w:instrText xml:space="preserve"> PAGE   \* MERGEFORMAT </w:instrText>
        </w:r>
        <w:r w:rsidRPr="00F277EC">
          <w:rPr>
            <w:sz w:val="20"/>
            <w:szCs w:val="20"/>
          </w:rPr>
          <w:fldChar w:fldCharType="separate"/>
        </w:r>
        <w:r w:rsidRPr="00F277EC">
          <w:rPr>
            <w:noProof/>
            <w:sz w:val="20"/>
            <w:szCs w:val="20"/>
          </w:rPr>
          <w:t>2</w:t>
        </w:r>
        <w:r w:rsidRPr="00F277EC">
          <w:rPr>
            <w:noProof/>
            <w:sz w:val="20"/>
            <w:szCs w:val="20"/>
          </w:rPr>
          <w:fldChar w:fldCharType="end"/>
        </w:r>
      </w:p>
    </w:sdtContent>
  </w:sdt>
  <w:p w14:paraId="7785C1A5" w14:textId="77777777" w:rsidR="00B82316" w:rsidRDefault="00B8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38F73" w14:textId="77777777" w:rsidR="008B129A" w:rsidRDefault="008B129A">
      <w:pPr>
        <w:spacing w:after="0" w:line="240" w:lineRule="auto"/>
      </w:pPr>
      <w:r>
        <w:separator/>
      </w:r>
    </w:p>
  </w:footnote>
  <w:footnote w:type="continuationSeparator" w:id="0">
    <w:p w14:paraId="404E6712" w14:textId="77777777" w:rsidR="008B129A" w:rsidRDefault="008B1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09CA" w14:textId="77777777" w:rsidR="00CE7E8C" w:rsidRDefault="00CE7E8C" w:rsidP="00CE7E8C">
    <w:pPr>
      <w:pStyle w:val="Title"/>
      <w:spacing w:before="0" w:after="0"/>
      <w:jc w:val="left"/>
      <w:rPr>
        <w:rFonts w:ascii="Calibri" w:hAnsi="Calibri"/>
        <w:b w:val="0"/>
        <w:bCs w:val="0"/>
        <w:sz w:val="20"/>
        <w:szCs w:val="20"/>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628A"/>
    <w:multiLevelType w:val="hybridMultilevel"/>
    <w:tmpl w:val="2B62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5645"/>
    <w:multiLevelType w:val="hybridMultilevel"/>
    <w:tmpl w:val="BF0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4221F"/>
    <w:multiLevelType w:val="hybridMultilevel"/>
    <w:tmpl w:val="8122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29E7"/>
    <w:multiLevelType w:val="hybridMultilevel"/>
    <w:tmpl w:val="127C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53939"/>
    <w:multiLevelType w:val="hybridMultilevel"/>
    <w:tmpl w:val="53F0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C4F60"/>
    <w:multiLevelType w:val="hybridMultilevel"/>
    <w:tmpl w:val="9780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5204F"/>
    <w:multiLevelType w:val="hybridMultilevel"/>
    <w:tmpl w:val="649E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073AE"/>
    <w:multiLevelType w:val="hybridMultilevel"/>
    <w:tmpl w:val="3DDE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ED"/>
    <w:rsid w:val="00016C12"/>
    <w:rsid w:val="000646DB"/>
    <w:rsid w:val="00066CC2"/>
    <w:rsid w:val="000701A5"/>
    <w:rsid w:val="00080F85"/>
    <w:rsid w:val="000860E3"/>
    <w:rsid w:val="00090117"/>
    <w:rsid w:val="000934FE"/>
    <w:rsid w:val="00095556"/>
    <w:rsid w:val="00097289"/>
    <w:rsid w:val="00097DEC"/>
    <w:rsid w:val="000A487D"/>
    <w:rsid w:val="000B00ED"/>
    <w:rsid w:val="000B2BF5"/>
    <w:rsid w:val="000B45AD"/>
    <w:rsid w:val="000D34C7"/>
    <w:rsid w:val="00104F99"/>
    <w:rsid w:val="00111577"/>
    <w:rsid w:val="00112179"/>
    <w:rsid w:val="00112507"/>
    <w:rsid w:val="00112AB5"/>
    <w:rsid w:val="0012116C"/>
    <w:rsid w:val="001264BE"/>
    <w:rsid w:val="0013431B"/>
    <w:rsid w:val="0015177A"/>
    <w:rsid w:val="00152F75"/>
    <w:rsid w:val="00156268"/>
    <w:rsid w:val="001A4F9A"/>
    <w:rsid w:val="001A6C75"/>
    <w:rsid w:val="001E0129"/>
    <w:rsid w:val="001E057A"/>
    <w:rsid w:val="001E75B0"/>
    <w:rsid w:val="002127A3"/>
    <w:rsid w:val="0021460B"/>
    <w:rsid w:val="002146F3"/>
    <w:rsid w:val="002252E1"/>
    <w:rsid w:val="00232FB3"/>
    <w:rsid w:val="0023560F"/>
    <w:rsid w:val="0023614E"/>
    <w:rsid w:val="00236B24"/>
    <w:rsid w:val="00244DAA"/>
    <w:rsid w:val="00261C91"/>
    <w:rsid w:val="00263156"/>
    <w:rsid w:val="0028513B"/>
    <w:rsid w:val="002C01AF"/>
    <w:rsid w:val="002D040C"/>
    <w:rsid w:val="002D521B"/>
    <w:rsid w:val="002E104E"/>
    <w:rsid w:val="002F13BA"/>
    <w:rsid w:val="00333C66"/>
    <w:rsid w:val="003477F1"/>
    <w:rsid w:val="0035015E"/>
    <w:rsid w:val="0035180E"/>
    <w:rsid w:val="00357F16"/>
    <w:rsid w:val="00363580"/>
    <w:rsid w:val="00377364"/>
    <w:rsid w:val="00384F51"/>
    <w:rsid w:val="00391345"/>
    <w:rsid w:val="003A4073"/>
    <w:rsid w:val="003B405F"/>
    <w:rsid w:val="003C33FF"/>
    <w:rsid w:val="003C6B0D"/>
    <w:rsid w:val="003D22BF"/>
    <w:rsid w:val="003D3138"/>
    <w:rsid w:val="003E0049"/>
    <w:rsid w:val="003E11A1"/>
    <w:rsid w:val="003E1E41"/>
    <w:rsid w:val="004001CC"/>
    <w:rsid w:val="00401763"/>
    <w:rsid w:val="0040235E"/>
    <w:rsid w:val="004121C1"/>
    <w:rsid w:val="00413279"/>
    <w:rsid w:val="00422D25"/>
    <w:rsid w:val="00423EA9"/>
    <w:rsid w:val="00425CE1"/>
    <w:rsid w:val="0043492B"/>
    <w:rsid w:val="004415F3"/>
    <w:rsid w:val="00443B5E"/>
    <w:rsid w:val="00444186"/>
    <w:rsid w:val="004466D1"/>
    <w:rsid w:val="00447504"/>
    <w:rsid w:val="00460015"/>
    <w:rsid w:val="00464598"/>
    <w:rsid w:val="00474CC3"/>
    <w:rsid w:val="00480755"/>
    <w:rsid w:val="00483A08"/>
    <w:rsid w:val="00485A46"/>
    <w:rsid w:val="004965FE"/>
    <w:rsid w:val="0049777C"/>
    <w:rsid w:val="004A635C"/>
    <w:rsid w:val="004C2159"/>
    <w:rsid w:val="004C3693"/>
    <w:rsid w:val="004C4064"/>
    <w:rsid w:val="004D2F6B"/>
    <w:rsid w:val="004D59A0"/>
    <w:rsid w:val="004E51EC"/>
    <w:rsid w:val="004E58CB"/>
    <w:rsid w:val="004F79F0"/>
    <w:rsid w:val="0050120E"/>
    <w:rsid w:val="00505C5C"/>
    <w:rsid w:val="00516F1A"/>
    <w:rsid w:val="00521562"/>
    <w:rsid w:val="00524E09"/>
    <w:rsid w:val="005317A1"/>
    <w:rsid w:val="00537090"/>
    <w:rsid w:val="00546BCD"/>
    <w:rsid w:val="00550252"/>
    <w:rsid w:val="005519B1"/>
    <w:rsid w:val="005741AA"/>
    <w:rsid w:val="00594527"/>
    <w:rsid w:val="005B153A"/>
    <w:rsid w:val="005B5638"/>
    <w:rsid w:val="005C2687"/>
    <w:rsid w:val="005C4B76"/>
    <w:rsid w:val="005C4BA4"/>
    <w:rsid w:val="005D56FB"/>
    <w:rsid w:val="005E3310"/>
    <w:rsid w:val="005F28D9"/>
    <w:rsid w:val="005F5C98"/>
    <w:rsid w:val="0061255D"/>
    <w:rsid w:val="00612B71"/>
    <w:rsid w:val="00627FD9"/>
    <w:rsid w:val="00632596"/>
    <w:rsid w:val="006331CA"/>
    <w:rsid w:val="00633CC7"/>
    <w:rsid w:val="00636F3A"/>
    <w:rsid w:val="006423EF"/>
    <w:rsid w:val="0065530E"/>
    <w:rsid w:val="00675F71"/>
    <w:rsid w:val="006843D5"/>
    <w:rsid w:val="006911DE"/>
    <w:rsid w:val="006916B1"/>
    <w:rsid w:val="00691D2C"/>
    <w:rsid w:val="006A78DD"/>
    <w:rsid w:val="006B1240"/>
    <w:rsid w:val="006B226D"/>
    <w:rsid w:val="006C3C9A"/>
    <w:rsid w:val="006C60BE"/>
    <w:rsid w:val="006D0057"/>
    <w:rsid w:val="006D22A7"/>
    <w:rsid w:val="006E1170"/>
    <w:rsid w:val="006F46D0"/>
    <w:rsid w:val="006F48C2"/>
    <w:rsid w:val="00710F82"/>
    <w:rsid w:val="007136E5"/>
    <w:rsid w:val="007222AB"/>
    <w:rsid w:val="00722CD3"/>
    <w:rsid w:val="0072384C"/>
    <w:rsid w:val="00724315"/>
    <w:rsid w:val="0072747F"/>
    <w:rsid w:val="00750350"/>
    <w:rsid w:val="00753F1E"/>
    <w:rsid w:val="00755F27"/>
    <w:rsid w:val="007A7F5A"/>
    <w:rsid w:val="007B6193"/>
    <w:rsid w:val="007C01D5"/>
    <w:rsid w:val="007F469B"/>
    <w:rsid w:val="00801D6D"/>
    <w:rsid w:val="008020F7"/>
    <w:rsid w:val="008405BD"/>
    <w:rsid w:val="0084272B"/>
    <w:rsid w:val="00853B8E"/>
    <w:rsid w:val="00861784"/>
    <w:rsid w:val="00863603"/>
    <w:rsid w:val="00864EE4"/>
    <w:rsid w:val="00877994"/>
    <w:rsid w:val="00883691"/>
    <w:rsid w:val="00887EBA"/>
    <w:rsid w:val="008A206F"/>
    <w:rsid w:val="008A60D1"/>
    <w:rsid w:val="008B129A"/>
    <w:rsid w:val="008B734B"/>
    <w:rsid w:val="008C2493"/>
    <w:rsid w:val="008D2AAB"/>
    <w:rsid w:val="008D536F"/>
    <w:rsid w:val="008E1A82"/>
    <w:rsid w:val="008E1AC0"/>
    <w:rsid w:val="008F2F7F"/>
    <w:rsid w:val="00903C11"/>
    <w:rsid w:val="009043B4"/>
    <w:rsid w:val="00906559"/>
    <w:rsid w:val="00907B92"/>
    <w:rsid w:val="00912A34"/>
    <w:rsid w:val="009213C8"/>
    <w:rsid w:val="009267AF"/>
    <w:rsid w:val="009603BB"/>
    <w:rsid w:val="00964020"/>
    <w:rsid w:val="00983A78"/>
    <w:rsid w:val="009867DC"/>
    <w:rsid w:val="009911FD"/>
    <w:rsid w:val="009960D1"/>
    <w:rsid w:val="009A34A9"/>
    <w:rsid w:val="009C626B"/>
    <w:rsid w:val="00A107D3"/>
    <w:rsid w:val="00A17D6D"/>
    <w:rsid w:val="00A56784"/>
    <w:rsid w:val="00A66119"/>
    <w:rsid w:val="00A92326"/>
    <w:rsid w:val="00A978B5"/>
    <w:rsid w:val="00AA2927"/>
    <w:rsid w:val="00AB0454"/>
    <w:rsid w:val="00AC55FE"/>
    <w:rsid w:val="00AD0390"/>
    <w:rsid w:val="00AD441D"/>
    <w:rsid w:val="00AD5A94"/>
    <w:rsid w:val="00AE1436"/>
    <w:rsid w:val="00AE4458"/>
    <w:rsid w:val="00AE73D5"/>
    <w:rsid w:val="00AF1126"/>
    <w:rsid w:val="00AF4192"/>
    <w:rsid w:val="00AF5A27"/>
    <w:rsid w:val="00B02C53"/>
    <w:rsid w:val="00B076F1"/>
    <w:rsid w:val="00B157EB"/>
    <w:rsid w:val="00B254D8"/>
    <w:rsid w:val="00B259D2"/>
    <w:rsid w:val="00B42A97"/>
    <w:rsid w:val="00B45866"/>
    <w:rsid w:val="00B47E6E"/>
    <w:rsid w:val="00B554C0"/>
    <w:rsid w:val="00B55917"/>
    <w:rsid w:val="00B61E48"/>
    <w:rsid w:val="00B644D1"/>
    <w:rsid w:val="00B663AA"/>
    <w:rsid w:val="00B66432"/>
    <w:rsid w:val="00B718D1"/>
    <w:rsid w:val="00B733B7"/>
    <w:rsid w:val="00B82316"/>
    <w:rsid w:val="00B97772"/>
    <w:rsid w:val="00BC4B71"/>
    <w:rsid w:val="00BD678E"/>
    <w:rsid w:val="00BE2B75"/>
    <w:rsid w:val="00BE519A"/>
    <w:rsid w:val="00BF0C9D"/>
    <w:rsid w:val="00C01D18"/>
    <w:rsid w:val="00C0691F"/>
    <w:rsid w:val="00C2439C"/>
    <w:rsid w:val="00C26885"/>
    <w:rsid w:val="00C330CB"/>
    <w:rsid w:val="00C3364F"/>
    <w:rsid w:val="00C37B22"/>
    <w:rsid w:val="00C43BA1"/>
    <w:rsid w:val="00C7015E"/>
    <w:rsid w:val="00C77D9F"/>
    <w:rsid w:val="00C86AFA"/>
    <w:rsid w:val="00C94450"/>
    <w:rsid w:val="00C95429"/>
    <w:rsid w:val="00CB44C7"/>
    <w:rsid w:val="00CC54F4"/>
    <w:rsid w:val="00CE58FA"/>
    <w:rsid w:val="00CE7E8C"/>
    <w:rsid w:val="00CF7BB9"/>
    <w:rsid w:val="00D052F7"/>
    <w:rsid w:val="00D150BC"/>
    <w:rsid w:val="00D52BE6"/>
    <w:rsid w:val="00D52F13"/>
    <w:rsid w:val="00D65BCD"/>
    <w:rsid w:val="00D76008"/>
    <w:rsid w:val="00D80534"/>
    <w:rsid w:val="00DA7BDC"/>
    <w:rsid w:val="00DC196A"/>
    <w:rsid w:val="00DC28CB"/>
    <w:rsid w:val="00DC343A"/>
    <w:rsid w:val="00DD0382"/>
    <w:rsid w:val="00DD62B1"/>
    <w:rsid w:val="00DE460E"/>
    <w:rsid w:val="00DF0F6B"/>
    <w:rsid w:val="00DF3FB7"/>
    <w:rsid w:val="00E00EA1"/>
    <w:rsid w:val="00E06062"/>
    <w:rsid w:val="00E148D9"/>
    <w:rsid w:val="00E3218F"/>
    <w:rsid w:val="00E54A97"/>
    <w:rsid w:val="00E55D01"/>
    <w:rsid w:val="00E57E1D"/>
    <w:rsid w:val="00E84532"/>
    <w:rsid w:val="00EB2D6E"/>
    <w:rsid w:val="00EC7988"/>
    <w:rsid w:val="00ED7452"/>
    <w:rsid w:val="00ED7C92"/>
    <w:rsid w:val="00ED7F6F"/>
    <w:rsid w:val="00EF3CD9"/>
    <w:rsid w:val="00F03658"/>
    <w:rsid w:val="00F06828"/>
    <w:rsid w:val="00F15144"/>
    <w:rsid w:val="00F17B0B"/>
    <w:rsid w:val="00F277EC"/>
    <w:rsid w:val="00F32AD8"/>
    <w:rsid w:val="00F33C6A"/>
    <w:rsid w:val="00F41FDF"/>
    <w:rsid w:val="00F449BE"/>
    <w:rsid w:val="00F60575"/>
    <w:rsid w:val="00F62C07"/>
    <w:rsid w:val="00F73484"/>
    <w:rsid w:val="00F81AC5"/>
    <w:rsid w:val="00F85299"/>
    <w:rsid w:val="00FC1151"/>
    <w:rsid w:val="00FC41A7"/>
    <w:rsid w:val="00FD5EE4"/>
    <w:rsid w:val="00FF78BA"/>
    <w:rsid w:val="00F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98984"/>
  <w15:chartTrackingRefBased/>
  <w15:docId w15:val="{E0F951D7-AA21-44CF-9E10-33F6E2D1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E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B00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B61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0ED"/>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B00E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B00ED"/>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0B00ED"/>
    <w:rPr>
      <w:sz w:val="16"/>
      <w:szCs w:val="16"/>
    </w:rPr>
  </w:style>
  <w:style w:type="paragraph" w:styleId="CommentText">
    <w:name w:val="annotation text"/>
    <w:basedOn w:val="Normal"/>
    <w:link w:val="CommentTextChar"/>
    <w:uiPriority w:val="99"/>
    <w:unhideWhenUsed/>
    <w:rsid w:val="000B00ED"/>
    <w:rPr>
      <w:sz w:val="20"/>
      <w:szCs w:val="20"/>
    </w:rPr>
  </w:style>
  <w:style w:type="character" w:customStyle="1" w:styleId="CommentTextChar">
    <w:name w:val="Comment Text Char"/>
    <w:basedOn w:val="DefaultParagraphFont"/>
    <w:link w:val="CommentText"/>
    <w:uiPriority w:val="99"/>
    <w:rsid w:val="000B00ED"/>
    <w:rPr>
      <w:rFonts w:ascii="Calibri" w:eastAsia="Calibri" w:hAnsi="Calibri" w:cs="Times New Roman"/>
      <w:sz w:val="20"/>
      <w:szCs w:val="20"/>
    </w:rPr>
  </w:style>
  <w:style w:type="paragraph" w:styleId="Footer">
    <w:name w:val="footer"/>
    <w:basedOn w:val="Normal"/>
    <w:link w:val="FooterChar"/>
    <w:uiPriority w:val="99"/>
    <w:unhideWhenUsed/>
    <w:rsid w:val="000B00ED"/>
    <w:pPr>
      <w:tabs>
        <w:tab w:val="center" w:pos="4680"/>
        <w:tab w:val="right" w:pos="9360"/>
      </w:tabs>
    </w:pPr>
  </w:style>
  <w:style w:type="character" w:customStyle="1" w:styleId="FooterChar">
    <w:name w:val="Footer Char"/>
    <w:basedOn w:val="DefaultParagraphFont"/>
    <w:link w:val="Footer"/>
    <w:uiPriority w:val="99"/>
    <w:rsid w:val="000B00ED"/>
    <w:rPr>
      <w:rFonts w:ascii="Calibri" w:eastAsia="Calibri" w:hAnsi="Calibri" w:cs="Times New Roman"/>
    </w:rPr>
  </w:style>
  <w:style w:type="paragraph" w:styleId="BalloonText">
    <w:name w:val="Balloon Text"/>
    <w:basedOn w:val="Normal"/>
    <w:link w:val="BalloonTextChar"/>
    <w:uiPriority w:val="99"/>
    <w:semiHidden/>
    <w:unhideWhenUsed/>
    <w:rsid w:val="000B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0ED"/>
    <w:rPr>
      <w:rFonts w:ascii="Segoe UI" w:eastAsia="Calibri" w:hAnsi="Segoe UI" w:cs="Segoe UI"/>
      <w:sz w:val="18"/>
      <w:szCs w:val="18"/>
    </w:rPr>
  </w:style>
  <w:style w:type="character" w:customStyle="1" w:styleId="Heading2Char">
    <w:name w:val="Heading 2 Char"/>
    <w:basedOn w:val="DefaultParagraphFont"/>
    <w:link w:val="Heading2"/>
    <w:uiPriority w:val="9"/>
    <w:rsid w:val="007B619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B6193"/>
    <w:pPr>
      <w:spacing w:after="0" w:line="240" w:lineRule="auto"/>
    </w:pPr>
    <w:rPr>
      <w:rFonts w:eastAsiaTheme="minorEastAsia"/>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530E"/>
    <w:rPr>
      <w:b/>
      <w:bCs/>
      <w:sz w:val="20"/>
      <w:szCs w:val="20"/>
    </w:rPr>
  </w:style>
  <w:style w:type="paragraph" w:styleId="CommentSubject">
    <w:name w:val="annotation subject"/>
    <w:basedOn w:val="CommentText"/>
    <w:next w:val="CommentText"/>
    <w:link w:val="CommentSubjectChar"/>
    <w:uiPriority w:val="99"/>
    <w:semiHidden/>
    <w:unhideWhenUsed/>
    <w:rsid w:val="00DF3FB7"/>
    <w:pPr>
      <w:spacing w:line="240" w:lineRule="auto"/>
    </w:pPr>
    <w:rPr>
      <w:b/>
      <w:bCs/>
    </w:rPr>
  </w:style>
  <w:style w:type="character" w:customStyle="1" w:styleId="CommentSubjectChar">
    <w:name w:val="Comment Subject Char"/>
    <w:basedOn w:val="CommentTextChar"/>
    <w:link w:val="CommentSubject"/>
    <w:uiPriority w:val="99"/>
    <w:semiHidden/>
    <w:rsid w:val="00DF3FB7"/>
    <w:rPr>
      <w:rFonts w:ascii="Calibri" w:eastAsia="Calibri" w:hAnsi="Calibri" w:cs="Times New Roman"/>
      <w:b/>
      <w:bCs/>
      <w:sz w:val="20"/>
      <w:szCs w:val="20"/>
    </w:rPr>
  </w:style>
  <w:style w:type="paragraph" w:styleId="Header">
    <w:name w:val="header"/>
    <w:basedOn w:val="Normal"/>
    <w:link w:val="HeaderChar"/>
    <w:uiPriority w:val="99"/>
    <w:unhideWhenUsed/>
    <w:rsid w:val="00134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1B"/>
    <w:rPr>
      <w:rFonts w:ascii="Calibri" w:eastAsia="Calibri" w:hAnsi="Calibri" w:cs="Times New Roman"/>
    </w:rPr>
  </w:style>
  <w:style w:type="table" w:styleId="PlainTable3">
    <w:name w:val="Plain Table 3"/>
    <w:basedOn w:val="TableNormal"/>
    <w:uiPriority w:val="43"/>
    <w:rsid w:val="004C21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75F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Accent3">
    <w:name w:val="Grid Table 6 Colorful Accent 3"/>
    <w:basedOn w:val="TableNormal"/>
    <w:uiPriority w:val="51"/>
    <w:rsid w:val="00DC28C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CE7E8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C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494">
      <w:bodyDiv w:val="1"/>
      <w:marLeft w:val="0"/>
      <w:marRight w:val="0"/>
      <w:marTop w:val="0"/>
      <w:marBottom w:val="0"/>
      <w:divBdr>
        <w:top w:val="none" w:sz="0" w:space="0" w:color="auto"/>
        <w:left w:val="none" w:sz="0" w:space="0" w:color="auto"/>
        <w:bottom w:val="none" w:sz="0" w:space="0" w:color="auto"/>
        <w:right w:val="none" w:sz="0" w:space="0" w:color="auto"/>
      </w:divBdr>
    </w:div>
    <w:div w:id="443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96DA-08E6-447B-94B4-EFD07556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5533</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Keene</dc:creator>
  <cp:keywords/>
  <dc:description/>
  <cp:lastModifiedBy>Claire Keene</cp:lastModifiedBy>
  <cp:revision>105</cp:revision>
  <dcterms:created xsi:type="dcterms:W3CDTF">2020-12-14T17:56:00Z</dcterms:created>
  <dcterms:modified xsi:type="dcterms:W3CDTF">2021-01-13T20:20:00Z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22407792-075c-36bd-9ec2-98fb50a1555c</vt:lpwstr>
  </property>
  <property fmtid="{D5CDD505-2E9C-101B-9397-08002B2CF9AE}" pid="24" name="Mendeley Citation Style_1">
    <vt:lpwstr>http://www.zotero.org/styles/american-medical-association</vt:lpwstr>
  </property>
</Properties>
</file>