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B092" w14:textId="77777777" w:rsidR="00977CC4" w:rsidRPr="00977CC4" w:rsidRDefault="00977CC4" w:rsidP="00977CC4">
      <w:bookmarkStart w:id="0" w:name="_GoBack"/>
      <w:bookmarkEnd w:id="0"/>
      <w:r w:rsidRPr="00977CC4">
        <w:rPr>
          <w:b/>
          <w:smallCaps/>
        </w:rPr>
        <w:t>Supplement to: Improving adherence to daily PrEP among MSM in Amsterdam by providing feedback via a mobile application: results of a randomised clinical trial</w:t>
      </w:r>
    </w:p>
    <w:p w14:paraId="18FDAEDA" w14:textId="77777777" w:rsidR="00977CC4" w:rsidRPr="00977CC4" w:rsidRDefault="00977CC4" w:rsidP="00977CC4">
      <w:pPr>
        <w:spacing w:line="480" w:lineRule="auto"/>
        <w:rPr>
          <w:lang w:eastAsia="en-US"/>
        </w:rPr>
      </w:pPr>
      <w:r w:rsidRPr="00977CC4">
        <w:rPr>
          <w:lang w:eastAsia="en-US"/>
        </w:rPr>
        <w:t>Mark A.M. van den Elshout</w:t>
      </w:r>
      <w:r w:rsidRPr="00977CC4">
        <w:rPr>
          <w:vertAlign w:val="superscript"/>
          <w:lang w:eastAsia="en-US"/>
        </w:rPr>
        <w:t>1</w:t>
      </w:r>
      <w:r w:rsidRPr="00977CC4">
        <w:rPr>
          <w:lang w:eastAsia="en-US"/>
        </w:rPr>
        <w:t>, Elske Hoornenborg</w:t>
      </w:r>
      <w:r w:rsidRPr="00977CC4">
        <w:rPr>
          <w:vertAlign w:val="superscript"/>
          <w:lang w:eastAsia="en-US"/>
        </w:rPr>
        <w:t>1</w:t>
      </w:r>
      <w:r w:rsidRPr="00977CC4">
        <w:rPr>
          <w:lang w:eastAsia="en-US"/>
        </w:rPr>
        <w:t>, Roel C.A. Achterbergh</w:t>
      </w:r>
      <w:r w:rsidRPr="00977CC4">
        <w:rPr>
          <w:vertAlign w:val="superscript"/>
          <w:lang w:eastAsia="en-US"/>
        </w:rPr>
        <w:t>1</w:t>
      </w:r>
      <w:r w:rsidRPr="00977CC4">
        <w:rPr>
          <w:lang w:eastAsia="en-US"/>
        </w:rPr>
        <w:t>, Liza Coyer</w:t>
      </w:r>
      <w:r w:rsidRPr="00977CC4">
        <w:rPr>
          <w:vertAlign w:val="superscript"/>
          <w:lang w:eastAsia="en-US"/>
        </w:rPr>
        <w:t>1</w:t>
      </w:r>
      <w:r w:rsidRPr="00977CC4">
        <w:rPr>
          <w:lang w:eastAsia="en-US"/>
        </w:rPr>
        <w:t>, Peter L. Anderson</w:t>
      </w:r>
      <w:r w:rsidRPr="00977CC4">
        <w:rPr>
          <w:vertAlign w:val="superscript"/>
          <w:lang w:eastAsia="en-US"/>
        </w:rPr>
        <w:t>2</w:t>
      </w:r>
      <w:r w:rsidRPr="00977CC4">
        <w:rPr>
          <w:lang w:eastAsia="en-US"/>
        </w:rPr>
        <w:t>, Udi Davidovich</w:t>
      </w:r>
      <w:r w:rsidRPr="00977CC4">
        <w:rPr>
          <w:vertAlign w:val="superscript"/>
          <w:lang w:eastAsia="en-US"/>
        </w:rPr>
        <w:t>1,3</w:t>
      </w:r>
      <w:r w:rsidRPr="00977CC4">
        <w:rPr>
          <w:lang w:eastAsia="en-US"/>
        </w:rPr>
        <w:t>, Henry J.C. de Vries</w:t>
      </w:r>
      <w:r w:rsidRPr="00977CC4">
        <w:rPr>
          <w:vertAlign w:val="superscript"/>
          <w:lang w:eastAsia="en-US"/>
        </w:rPr>
        <w:t>1,4,5</w:t>
      </w:r>
      <w:r w:rsidRPr="00977CC4">
        <w:rPr>
          <w:lang w:eastAsia="en-US"/>
        </w:rPr>
        <w:t>, Maria Prins</w:t>
      </w:r>
      <w:r w:rsidRPr="00977CC4">
        <w:rPr>
          <w:vertAlign w:val="superscript"/>
          <w:lang w:eastAsia="en-US"/>
        </w:rPr>
        <w:t>1,4</w:t>
      </w:r>
      <w:r w:rsidRPr="00977CC4">
        <w:rPr>
          <w:lang w:eastAsia="en-US"/>
        </w:rPr>
        <w:t>, Maarten F. Schim van der Loeff</w:t>
      </w:r>
      <w:r w:rsidRPr="00977CC4">
        <w:rPr>
          <w:vertAlign w:val="superscript"/>
          <w:lang w:eastAsia="en-US"/>
        </w:rPr>
        <w:t>1,4</w:t>
      </w:r>
      <w:r w:rsidRPr="00977CC4">
        <w:rPr>
          <w:lang w:eastAsia="en-US"/>
        </w:rPr>
        <w:t xml:space="preserve">, on behalf of the Amsterdam PrEP Project team in the HIV Transmission Elimination </w:t>
      </w:r>
      <w:proofErr w:type="spellStart"/>
      <w:r w:rsidRPr="00977CC4">
        <w:rPr>
          <w:lang w:eastAsia="en-US"/>
        </w:rPr>
        <w:t>AMsterdam</w:t>
      </w:r>
      <w:proofErr w:type="spellEnd"/>
      <w:r w:rsidRPr="00977CC4">
        <w:rPr>
          <w:lang w:eastAsia="en-US"/>
        </w:rPr>
        <w:t xml:space="preserve"> Initiative (H-TEAM)</w:t>
      </w:r>
    </w:p>
    <w:p w14:paraId="5729A48E" w14:textId="77777777" w:rsidR="00977CC4" w:rsidRPr="00977CC4" w:rsidRDefault="00977CC4" w:rsidP="00977CC4">
      <w:pPr>
        <w:pStyle w:val="Kop4"/>
        <w:rPr>
          <w:rFonts w:ascii="Corbel" w:hAnsi="Corbel"/>
          <w:i w:val="0"/>
        </w:rPr>
      </w:pPr>
      <w:r w:rsidRPr="00977CC4">
        <w:rPr>
          <w:rFonts w:ascii="Corbel" w:hAnsi="Corbel"/>
          <w:i w:val="0"/>
        </w:rPr>
        <w:t>Authors’ affiliations</w:t>
      </w:r>
    </w:p>
    <w:p w14:paraId="739AC0BC" w14:textId="77777777" w:rsidR="00977CC4" w:rsidRPr="00977CC4" w:rsidRDefault="00977CC4" w:rsidP="00977CC4">
      <w:r w:rsidRPr="00977CC4">
        <w:rPr>
          <w:vertAlign w:val="superscript"/>
        </w:rPr>
        <w:t xml:space="preserve">1 </w:t>
      </w:r>
      <w:r w:rsidRPr="00977CC4">
        <w:rPr>
          <w:lang w:eastAsia="en-US"/>
        </w:rPr>
        <w:t>Department of Infectious Diseases Research and Prevention, Public Health Service of Amsterdam, Amsterdam, the Netherlands</w:t>
      </w:r>
    </w:p>
    <w:p w14:paraId="12E0F4BF" w14:textId="77777777" w:rsidR="00977CC4" w:rsidRPr="00977CC4" w:rsidRDefault="00977CC4" w:rsidP="00977CC4">
      <w:r w:rsidRPr="00977CC4">
        <w:rPr>
          <w:vertAlign w:val="superscript"/>
        </w:rPr>
        <w:t>2</w:t>
      </w:r>
      <w:r w:rsidRPr="00977CC4">
        <w:rPr>
          <w:rFonts w:cs="Times"/>
          <w:vertAlign w:val="superscript"/>
        </w:rPr>
        <w:t xml:space="preserve"> </w:t>
      </w:r>
      <w:r w:rsidRPr="00977CC4">
        <w:rPr>
          <w:lang w:eastAsia="en-US"/>
        </w:rPr>
        <w:t>Department of Pharmaceutical Sciences, University of Colorado Anschutz Medical Campus, Aurora, CO, USA</w:t>
      </w:r>
    </w:p>
    <w:p w14:paraId="5B19EE05" w14:textId="77777777" w:rsidR="00977CC4" w:rsidRPr="00977CC4" w:rsidRDefault="00977CC4" w:rsidP="00977CC4">
      <w:r w:rsidRPr="00977CC4">
        <w:rPr>
          <w:rFonts w:cs="Times"/>
          <w:vertAlign w:val="superscript"/>
        </w:rPr>
        <w:t xml:space="preserve">3 </w:t>
      </w:r>
      <w:r w:rsidRPr="00977CC4">
        <w:t>Department of Social Psychology, University of Amsterdam, Amsterdam, the Netherlands</w:t>
      </w:r>
    </w:p>
    <w:p w14:paraId="0CCD1D39" w14:textId="77777777" w:rsidR="00977CC4" w:rsidRPr="00977CC4" w:rsidRDefault="00977CC4" w:rsidP="00977CC4">
      <w:r w:rsidRPr="00977CC4">
        <w:rPr>
          <w:vertAlign w:val="superscript"/>
        </w:rPr>
        <w:t>4</w:t>
      </w:r>
      <w:r w:rsidRPr="00977CC4">
        <w:t xml:space="preserve"> Amsterdam institute for Infection &amp; Immunity (AII), Amsterdam UMC, University of Amsterdam, Amsterdam, the Netherlands</w:t>
      </w:r>
    </w:p>
    <w:p w14:paraId="33E6BA4C" w14:textId="77777777" w:rsidR="00977CC4" w:rsidRPr="00977CC4" w:rsidRDefault="00977CC4" w:rsidP="00977CC4">
      <w:r w:rsidRPr="00977CC4">
        <w:rPr>
          <w:vertAlign w:val="superscript"/>
          <w:lang w:eastAsia="en-US"/>
        </w:rPr>
        <w:t>5</w:t>
      </w:r>
      <w:r w:rsidRPr="00977CC4">
        <w:rPr>
          <w:lang w:eastAsia="en-US"/>
        </w:rPr>
        <w:t xml:space="preserve"> National Institute of Public Health and the Environment, </w:t>
      </w:r>
      <w:proofErr w:type="spellStart"/>
      <w:r w:rsidRPr="00977CC4">
        <w:rPr>
          <w:lang w:eastAsia="en-US"/>
        </w:rPr>
        <w:t>Center</w:t>
      </w:r>
      <w:proofErr w:type="spellEnd"/>
      <w:r w:rsidRPr="00977CC4">
        <w:rPr>
          <w:lang w:eastAsia="en-US"/>
        </w:rPr>
        <w:t xml:space="preserve"> for Infectious Disease Control, </w:t>
      </w:r>
      <w:proofErr w:type="spellStart"/>
      <w:r w:rsidRPr="00977CC4">
        <w:rPr>
          <w:lang w:eastAsia="en-US"/>
        </w:rPr>
        <w:t>Bilthoven</w:t>
      </w:r>
      <w:proofErr w:type="spellEnd"/>
      <w:r w:rsidRPr="00977CC4">
        <w:rPr>
          <w:lang w:eastAsia="en-US"/>
        </w:rPr>
        <w:t>, the Netherlands</w:t>
      </w:r>
    </w:p>
    <w:p w14:paraId="3585BDFE" w14:textId="77777777" w:rsidR="00977CC4" w:rsidRPr="00977CC4" w:rsidRDefault="00977CC4" w:rsidP="00977CC4">
      <w:pPr>
        <w:pStyle w:val="Kop4"/>
        <w:rPr>
          <w:rFonts w:ascii="Corbel" w:hAnsi="Corbel"/>
          <w:i w:val="0"/>
        </w:rPr>
      </w:pPr>
      <w:r w:rsidRPr="00977CC4">
        <w:rPr>
          <w:rFonts w:ascii="Corbel" w:hAnsi="Corbel"/>
          <w:i w:val="0"/>
        </w:rPr>
        <w:t>Corresponding author</w:t>
      </w:r>
    </w:p>
    <w:p w14:paraId="66D67E94" w14:textId="77777777" w:rsidR="00977CC4" w:rsidRPr="00977CC4" w:rsidRDefault="00977CC4" w:rsidP="00977CC4">
      <w:r w:rsidRPr="00977CC4">
        <w:t>Mark A.M. van den Elshout</w:t>
      </w:r>
    </w:p>
    <w:p w14:paraId="4DC2F4A4" w14:textId="77777777" w:rsidR="00977CC4" w:rsidRPr="00B77F37" w:rsidRDefault="00977CC4" w:rsidP="00977CC4">
      <w:pPr>
        <w:rPr>
          <w:lang w:val="nl-NL"/>
        </w:rPr>
      </w:pPr>
      <w:r w:rsidRPr="00B77F37">
        <w:rPr>
          <w:lang w:val="nl-NL"/>
        </w:rPr>
        <w:t xml:space="preserve">Nieuwe Achtergracht 100, 1o18 WT Amsterdam, </w:t>
      </w:r>
      <w:proofErr w:type="spellStart"/>
      <w:r w:rsidRPr="00B77F37">
        <w:rPr>
          <w:lang w:val="nl-NL"/>
        </w:rPr>
        <w:t>the</w:t>
      </w:r>
      <w:proofErr w:type="spellEnd"/>
      <w:r w:rsidRPr="00B77F37">
        <w:rPr>
          <w:lang w:val="nl-NL"/>
        </w:rPr>
        <w:t xml:space="preserve"> Netherlands</w:t>
      </w:r>
    </w:p>
    <w:p w14:paraId="4B30219A" w14:textId="77777777" w:rsidR="00977CC4" w:rsidRPr="00977CC4" w:rsidRDefault="00977CC4" w:rsidP="00977CC4">
      <w:r w:rsidRPr="00977CC4">
        <w:t>Phone: +31 20 555 9384</w:t>
      </w:r>
    </w:p>
    <w:p w14:paraId="1085EB9D" w14:textId="77777777" w:rsidR="00977CC4" w:rsidRPr="00977CC4" w:rsidRDefault="00977CC4" w:rsidP="00977CC4">
      <w:r w:rsidRPr="00977CC4">
        <w:t>Email: mvdelshout@ggd.amsterdam.nl</w:t>
      </w:r>
    </w:p>
    <w:p w14:paraId="7CAC9144" w14:textId="77777777" w:rsidR="00977CC4" w:rsidRPr="00977CC4" w:rsidRDefault="00977CC4" w:rsidP="00B11580">
      <w:pPr>
        <w:spacing w:before="240" w:line="480" w:lineRule="auto"/>
      </w:pPr>
    </w:p>
    <w:p w14:paraId="034DD67E" w14:textId="77777777" w:rsidR="00B11580" w:rsidRPr="00977CC4" w:rsidRDefault="00977CC4" w:rsidP="00B11580">
      <w:pPr>
        <w:pStyle w:val="Kop3"/>
        <w:spacing w:line="480" w:lineRule="auto"/>
      </w:pPr>
      <w:r w:rsidRPr="00977CC4">
        <w:br w:type="column"/>
      </w:r>
      <w:r w:rsidR="00B11580" w:rsidRPr="00977CC4">
        <w:lastRenderedPageBreak/>
        <w:t>Changes to methods after trial design</w:t>
      </w:r>
    </w:p>
    <w:p w14:paraId="5C2A4BC1" w14:textId="77777777" w:rsidR="00B11580" w:rsidRPr="00977CC4" w:rsidRDefault="00B11580" w:rsidP="00B11580">
      <w:pPr>
        <w:pStyle w:val="Geenafstand"/>
        <w:spacing w:line="480" w:lineRule="auto"/>
        <w:rPr>
          <w:lang w:val="en-GB"/>
        </w:rPr>
      </w:pPr>
      <w:r w:rsidRPr="00977CC4">
        <w:rPr>
          <w:lang w:val="en-GB"/>
        </w:rPr>
        <w:t xml:space="preserve">The primary outcome in the protocol was defined as good adherence (i.e. [TFV-DP] ≥ 700 fmol/punch, however, we used its complement, poor adherence ([TFV-DP] &lt; 700 fmol/punch), in these analyses to facilitate interpretation of results. </w:t>
      </w:r>
    </w:p>
    <w:p w14:paraId="5DA91CDB" w14:textId="77777777" w:rsidR="00B11580" w:rsidRDefault="00B11580" w:rsidP="00B11580">
      <w:pPr>
        <w:pStyle w:val="Geenafstand"/>
        <w:spacing w:line="480" w:lineRule="auto"/>
        <w:rPr>
          <w:lang w:val="en-GB"/>
        </w:rPr>
      </w:pPr>
      <w:r w:rsidRPr="00977CC4">
        <w:rPr>
          <w:lang w:val="en-GB"/>
        </w:rPr>
        <w:t>According to protocol participants were to be included at their 3 or 6 month study visits. Some participants were included during the 9 and 12 month study visits (n=27 and n=2, respectively).</w:t>
      </w:r>
      <w:r w:rsidR="00977CC4" w:rsidRPr="00977CC4">
        <w:rPr>
          <w:lang w:val="en-GB"/>
        </w:rPr>
        <w:t xml:space="preserve"> S</w:t>
      </w:r>
      <w:r w:rsidRPr="00977CC4">
        <w:rPr>
          <w:lang w:val="en-GB"/>
        </w:rPr>
        <w:t>ince participants included during the 12-month study visit could not have been exposed to the intervention before the first sample was collecte</w:t>
      </w:r>
      <w:r w:rsidR="007678EF" w:rsidRPr="00977CC4">
        <w:rPr>
          <w:lang w:val="en-GB"/>
        </w:rPr>
        <w:t>d, these were excluded from per-</w:t>
      </w:r>
      <w:r w:rsidRPr="00977CC4">
        <w:rPr>
          <w:lang w:val="en-GB"/>
        </w:rPr>
        <w:t xml:space="preserve">protocol analyses. </w:t>
      </w:r>
      <w:r w:rsidR="007678EF" w:rsidRPr="00977CC4">
        <w:rPr>
          <w:lang w:val="en-GB"/>
        </w:rPr>
        <w:t xml:space="preserve">Participants included during their 9-month study visits were included in the per-protocol cohort. </w:t>
      </w:r>
    </w:p>
    <w:p w14:paraId="3BC4E410" w14:textId="77777777" w:rsidR="00210627" w:rsidRPr="00D230B3" w:rsidRDefault="00210627" w:rsidP="00210627">
      <w:pPr>
        <w:pStyle w:val="Geenafstand"/>
        <w:spacing w:line="480" w:lineRule="auto"/>
        <w:rPr>
          <w:lang w:val="en-GB"/>
        </w:rPr>
      </w:pPr>
    </w:p>
    <w:p w14:paraId="0B6DFFE0" w14:textId="77777777" w:rsidR="00210627" w:rsidRPr="00D230B3" w:rsidRDefault="00210627" w:rsidP="00210627">
      <w:pPr>
        <w:pStyle w:val="Kop3"/>
        <w:spacing w:line="480" w:lineRule="auto"/>
      </w:pPr>
      <w:r w:rsidRPr="00D230B3">
        <w:t>Sample size calculations</w:t>
      </w:r>
    </w:p>
    <w:p w14:paraId="15FDE17C" w14:textId="10FDB5B8" w:rsidR="003D5774" w:rsidRDefault="00210627" w:rsidP="00210627">
      <w:pPr>
        <w:pStyle w:val="Geenafstand"/>
        <w:spacing w:line="480" w:lineRule="auto"/>
        <w:rPr>
          <w:lang w:val="en-GB"/>
        </w:rPr>
      </w:pPr>
      <w:r w:rsidRPr="00D230B3">
        <w:rPr>
          <w:lang w:val="en-GB"/>
        </w:rPr>
        <w:t xml:space="preserve">At the time of protocol </w:t>
      </w:r>
      <w:r>
        <w:rPr>
          <w:lang w:val="en-GB"/>
        </w:rPr>
        <w:t>writing</w:t>
      </w:r>
      <w:r w:rsidRPr="00D230B3">
        <w:rPr>
          <w:lang w:val="en-GB"/>
        </w:rPr>
        <w:t xml:space="preserve">, we assumed that 260 of the 376 participants (69%) would </w:t>
      </w:r>
      <w:r>
        <w:rPr>
          <w:lang w:val="en-GB"/>
        </w:rPr>
        <w:t>choose dP</w:t>
      </w:r>
      <w:r w:rsidRPr="00D230B3">
        <w:rPr>
          <w:lang w:val="en-GB"/>
        </w:rPr>
        <w:t>rEP, and that 210 (81%) of those would agree to participate in the RCT</w:t>
      </w:r>
      <w:r>
        <w:rPr>
          <w:lang w:val="en-GB"/>
        </w:rPr>
        <w:t>. F</w:t>
      </w:r>
      <w:r w:rsidRPr="00D230B3">
        <w:rPr>
          <w:lang w:val="en-GB"/>
        </w:rPr>
        <w:t>urther</w:t>
      </w:r>
      <w:r>
        <w:rPr>
          <w:lang w:val="en-GB"/>
        </w:rPr>
        <w:t>more,</w:t>
      </w:r>
      <w:r w:rsidRPr="00D230B3">
        <w:rPr>
          <w:lang w:val="en-GB"/>
        </w:rPr>
        <w:t xml:space="preserve"> we assumed that after taking </w:t>
      </w:r>
      <w:r>
        <w:rPr>
          <w:lang w:val="en-GB"/>
        </w:rPr>
        <w:t xml:space="preserve">into account </w:t>
      </w:r>
      <w:r w:rsidRPr="00D230B3">
        <w:rPr>
          <w:lang w:val="en-GB"/>
        </w:rPr>
        <w:t>loss-to-follow-up, switch</w:t>
      </w:r>
      <w:r>
        <w:rPr>
          <w:lang w:val="en-GB"/>
        </w:rPr>
        <w:t>ing</w:t>
      </w:r>
      <w:r w:rsidRPr="00D230B3">
        <w:rPr>
          <w:lang w:val="en-GB"/>
        </w:rPr>
        <w:t xml:space="preserve"> to </w:t>
      </w:r>
      <w:r>
        <w:rPr>
          <w:lang w:val="en-GB"/>
        </w:rPr>
        <w:t>ed</w:t>
      </w:r>
      <w:r w:rsidRPr="00D230B3">
        <w:rPr>
          <w:lang w:val="en-GB"/>
        </w:rPr>
        <w:t>PrEP and missing DBS, we would have data of 150 participants for analysi</w:t>
      </w:r>
      <w:r>
        <w:rPr>
          <w:lang w:val="en-GB"/>
        </w:rPr>
        <w:t>s (n=75 in the intervention arm and n=75 in the control arm)</w:t>
      </w:r>
      <w:r w:rsidRPr="00D230B3">
        <w:rPr>
          <w:lang w:val="en-GB"/>
        </w:rPr>
        <w:t>. Assuming that the proportion with good adherence would be 70%</w:t>
      </w:r>
      <w:r>
        <w:rPr>
          <w:lang w:val="en-GB"/>
        </w:rPr>
        <w:t xml:space="preserve"> among those in the intervention arm</w:t>
      </w:r>
      <w:r w:rsidRPr="00D230B3">
        <w:rPr>
          <w:lang w:val="en-GB"/>
        </w:rPr>
        <w:t>, and</w:t>
      </w:r>
      <w:r>
        <w:rPr>
          <w:lang w:val="en-GB"/>
        </w:rPr>
        <w:t xml:space="preserve"> 50% among those in the control arm</w:t>
      </w:r>
      <w:r w:rsidRPr="00D230B3">
        <w:rPr>
          <w:lang w:val="en-GB"/>
        </w:rPr>
        <w:t xml:space="preserve">, </w:t>
      </w:r>
      <w:r>
        <w:rPr>
          <w:lang w:val="en-GB"/>
        </w:rPr>
        <w:t>and</w:t>
      </w:r>
      <w:r w:rsidRPr="00D230B3">
        <w:rPr>
          <w:lang w:val="en-GB"/>
        </w:rPr>
        <w:t xml:space="preserve"> using an alpha of 5%, we would have 70% power to demonstrate this difference as significant. If </w:t>
      </w:r>
      <w:r>
        <w:rPr>
          <w:lang w:val="en-GB"/>
        </w:rPr>
        <w:t xml:space="preserve">the proportion with good adherence would be 80% in the intervention arm and </w:t>
      </w:r>
      <w:r w:rsidRPr="00D230B3">
        <w:rPr>
          <w:lang w:val="en-GB"/>
        </w:rPr>
        <w:t xml:space="preserve">60% </w:t>
      </w:r>
      <w:r>
        <w:rPr>
          <w:lang w:val="en-GB"/>
        </w:rPr>
        <w:t>in the control arm</w:t>
      </w:r>
      <w:r w:rsidRPr="00D230B3">
        <w:rPr>
          <w:lang w:val="en-GB"/>
        </w:rPr>
        <w:t>, we would have 76% power to demonstrate a significant effect.</w:t>
      </w:r>
      <w:r>
        <w:rPr>
          <w:lang w:val="en-GB"/>
        </w:rPr>
        <w:t xml:space="preserve"> </w:t>
      </w:r>
      <w:r w:rsidRPr="00D230B3">
        <w:rPr>
          <w:lang w:val="en-GB"/>
        </w:rPr>
        <w:t xml:space="preserve">If </w:t>
      </w:r>
      <w:r>
        <w:rPr>
          <w:lang w:val="en-GB"/>
        </w:rPr>
        <w:t>the proportion with good adherence would be 90% in the intervention arm and 7</w:t>
      </w:r>
      <w:r w:rsidRPr="00D230B3">
        <w:rPr>
          <w:lang w:val="en-GB"/>
        </w:rPr>
        <w:t xml:space="preserve">0% </w:t>
      </w:r>
      <w:r>
        <w:rPr>
          <w:lang w:val="en-GB"/>
        </w:rPr>
        <w:t>in the control arm</w:t>
      </w:r>
      <w:r w:rsidRPr="00D230B3">
        <w:rPr>
          <w:lang w:val="en-GB"/>
        </w:rPr>
        <w:t xml:space="preserve">, we would have </w:t>
      </w:r>
      <w:r>
        <w:rPr>
          <w:lang w:val="en-GB"/>
        </w:rPr>
        <w:t>8</w:t>
      </w:r>
      <w:r w:rsidRPr="00D230B3">
        <w:rPr>
          <w:lang w:val="en-GB"/>
        </w:rPr>
        <w:t>6% power to demonstrate a significant effect.</w:t>
      </w:r>
    </w:p>
    <w:p w14:paraId="6D8E8E80" w14:textId="77777777" w:rsidR="00210627" w:rsidRPr="00D230B3" w:rsidRDefault="003D5774" w:rsidP="00210627">
      <w:pPr>
        <w:pStyle w:val="Geenafstand"/>
        <w:spacing w:line="480" w:lineRule="auto"/>
        <w:rPr>
          <w:lang w:val="en-GB"/>
        </w:rPr>
      </w:pPr>
      <w:r>
        <w:rPr>
          <w:lang w:val="en-GB"/>
        </w:rPr>
        <w:br w:type="column"/>
      </w: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0"/>
        <w:gridCol w:w="484"/>
        <w:gridCol w:w="854"/>
        <w:gridCol w:w="1207"/>
        <w:gridCol w:w="1276"/>
        <w:gridCol w:w="1134"/>
        <w:gridCol w:w="992"/>
        <w:gridCol w:w="992"/>
      </w:tblGrid>
      <w:tr w:rsidR="00A27B58" w:rsidRPr="00977CC4" w14:paraId="15E77AC8" w14:textId="77777777" w:rsidTr="009E7F7A">
        <w:trPr>
          <w:trHeight w:val="540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FCB4F" w14:textId="37346FD9" w:rsidR="00A27B58" w:rsidRPr="00977CC4" w:rsidRDefault="00977CC4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br w:type="column"/>
            </w:r>
            <w:r w:rsidR="00A27B58"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Supplementary table S1</w:t>
            </w:r>
            <w:r w:rsidR="00A27B58"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: Comparison of AMPrEP baseline characteristics between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randomised</w:t>
            </w:r>
            <w:r w:rsidR="00A27B58"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participants included in primary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per-protocol</w:t>
            </w:r>
            <w:r w:rsidR="00A27B58"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analysis of the RCT and those not included.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AMPrEP study, Amsterdam, 201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5-</w:t>
            </w:r>
            <w:r w:rsidR="00991ED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.</w:t>
            </w:r>
          </w:p>
        </w:tc>
      </w:tr>
      <w:tr w:rsidR="00A27B58" w:rsidRPr="00977CC4" w14:paraId="547A5DFC" w14:textId="77777777" w:rsidTr="009E7F7A">
        <w:trPr>
          <w:trHeight w:val="484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FF6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DD3" w14:textId="77777777" w:rsidR="00A27B58" w:rsidRPr="00977CC4" w:rsidRDefault="00A27B58" w:rsidP="00991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Total (</w:t>
            </w:r>
            <w:r w:rsidR="00991ED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=227)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B37C9" w14:textId="77777777" w:rsidR="00A27B58" w:rsidRPr="00977CC4" w:rsidRDefault="00A27B58" w:rsidP="00991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Not included in primary analyses (</w:t>
            </w:r>
            <w:r w:rsidR="00991ED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=61)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F5A9" w14:textId="77777777" w:rsidR="00A27B58" w:rsidRPr="00977CC4" w:rsidRDefault="00A27B58" w:rsidP="00991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Included in primary analyses (</w:t>
            </w:r>
            <w:r w:rsidR="00991ED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=166)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80D7D" w14:textId="77777777" w:rsidR="00A27B58" w:rsidRPr="00977CC4" w:rsidRDefault="00A27B58" w:rsidP="008E6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p value</w:t>
            </w:r>
          </w:p>
        </w:tc>
      </w:tr>
      <w:tr w:rsidR="00A27B58" w:rsidRPr="00977CC4" w14:paraId="3E71E5DD" w14:textId="77777777" w:rsidTr="009E7F7A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63C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41A2B" w14:textId="77777777" w:rsidR="00A27B58" w:rsidRPr="00977CC4" w:rsidRDefault="00991ED2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8D8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%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vertAlign w:val="superscript"/>
              </w:rPr>
              <w:t>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D7C4F" w14:textId="77777777" w:rsidR="00A27B58" w:rsidRPr="00977CC4" w:rsidRDefault="00991ED2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B28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%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A9D22" w14:textId="77777777" w:rsidR="00A27B58" w:rsidRPr="00977CC4" w:rsidRDefault="00991ED2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09D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%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BF3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χ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vertAlign w:val="superscript"/>
              </w:rPr>
              <w:t>2</w:t>
            </w:r>
          </w:p>
        </w:tc>
      </w:tr>
      <w:tr w:rsidR="00A27B58" w:rsidRPr="00977CC4" w14:paraId="6CF6E1D7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1D2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Demographic characteristics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6F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87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E8C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6C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B69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3A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596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59493FB9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6F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Age (years)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A21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9C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76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DB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80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CF7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99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9468305" w14:textId="77777777" w:rsidTr="009E7F7A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57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Median [IQR]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D1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92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[30-47]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83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78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[27-43]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27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A2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[32-47]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460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0.0066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vertAlign w:val="superscript"/>
              </w:rPr>
              <w:t>†</w:t>
            </w:r>
          </w:p>
        </w:tc>
      </w:tr>
      <w:tr w:rsidR="00A27B58" w:rsidRPr="00977CC4" w14:paraId="2B9FCCDD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AE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Age (categorised)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D43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47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41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6D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95A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BD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1F7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0.13</w:t>
            </w:r>
          </w:p>
        </w:tc>
      </w:tr>
      <w:tr w:rsidR="007023AF" w:rsidRPr="00977CC4" w14:paraId="53CF83AA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495" w14:textId="6B62FE08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20 to </w:t>
            </w:r>
            <w:r w:rsidRPr="0079431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B7BE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607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BADC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E79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F05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E59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5368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006E2C5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427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 to 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8C60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2167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6727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B07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C670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87AF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BF9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ABBF0D4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E50" w14:textId="4FB875D0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79431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to 73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585F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0F07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333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C8E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556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E3E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443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F3B6836" w14:textId="77777777" w:rsidTr="009E7F7A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E3D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Gender identity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51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571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08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2C0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EE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9C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D2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0.73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‡</w:t>
            </w:r>
          </w:p>
        </w:tc>
      </w:tr>
      <w:tr w:rsidR="00A27B58" w:rsidRPr="00977CC4" w14:paraId="2A2A3B7A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BC4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Male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CA4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29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A9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23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0C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A8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2A1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4917A63D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749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Transgender woman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4D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2B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BC2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89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E09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A6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11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58AA613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C9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Self-declared ethnicity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85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036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DD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CA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A4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46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34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0.39</w:t>
            </w:r>
          </w:p>
        </w:tc>
      </w:tr>
      <w:tr w:rsidR="00A27B58" w:rsidRPr="00977CC4" w14:paraId="5C3348C8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E6B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White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D79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FF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0FF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71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78C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A7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394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76E0F9F4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0D2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Non-white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6B9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C5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A9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44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44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51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CA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53965305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EF1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Place of residency in the Netherlands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288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C9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51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C2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1A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82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7D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0.42</w:t>
            </w:r>
          </w:p>
        </w:tc>
      </w:tr>
      <w:tr w:rsidR="00A27B58" w:rsidRPr="00977CC4" w14:paraId="08B661AA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75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Amsterdam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33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90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11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CF6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6F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6E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00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409C3A7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76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Other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3AB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EB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39%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27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4A2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A3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18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61F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578EA3A7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BAB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Education level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DC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17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32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9B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4C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76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C2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0.63</w:t>
            </w:r>
          </w:p>
        </w:tc>
      </w:tr>
      <w:tr w:rsidR="00A27B58" w:rsidRPr="00977CC4" w14:paraId="25224E1B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EE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 college/university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7F8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09D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06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48F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BB2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42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91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20CCBEF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37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College/university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F1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A2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FB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80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46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6C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98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B7D5C58" w14:textId="77777777" w:rsidTr="009E7F7A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402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Employment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b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81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DE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B9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61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53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A44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6F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0.81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‡</w:t>
            </w:r>
          </w:p>
        </w:tc>
      </w:tr>
      <w:tr w:rsidR="00A27B58" w:rsidRPr="00977CC4" w14:paraId="56D41DDE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D6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Employed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420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70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358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BB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29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55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9B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EAB3B9F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AF0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Unemployed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B0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DF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D8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F0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54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30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6E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79C5C47B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00B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Other (retired, volunteer, disabled, student)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C1B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D47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F2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92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E6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9D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4A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77EB6684" w14:textId="77777777" w:rsidTr="009E7F7A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B0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Net monthly income in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Euro's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c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DD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95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B0A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A96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6A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763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CC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0.016</w:t>
            </w:r>
          </w:p>
        </w:tc>
      </w:tr>
      <w:tr w:rsidR="00A27B58" w:rsidRPr="00977CC4" w14:paraId="5A77D182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D23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≤1700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53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DD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36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474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C9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99A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A4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59456FA9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F8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1701-2950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50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84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D9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59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0F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89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4E9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73658FEE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95D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&gt;2950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A3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A87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72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DF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019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7A9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02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EBD057B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AE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Living situation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95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4B2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5C5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ABF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A5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EE5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C33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0.022</w:t>
            </w:r>
          </w:p>
        </w:tc>
      </w:tr>
      <w:tr w:rsidR="00A27B58" w:rsidRPr="00977CC4" w14:paraId="264C1D45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FF0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Alone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92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17C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51%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37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E7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792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FA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09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0655E93C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AC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With partner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0A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36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8F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4AF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A9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FC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B25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E4D9EE1" w14:textId="77777777" w:rsidTr="009E7F7A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61A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lastRenderedPageBreak/>
              <w:t>With parents/flatmates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97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73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39C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C7F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011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A8B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05A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</w:tbl>
    <w:p w14:paraId="32D50032" w14:textId="77777777" w:rsidR="009E7F7A" w:rsidRDefault="009E7F7A"/>
    <w:tbl>
      <w:tblPr>
        <w:tblW w:w="125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0"/>
        <w:gridCol w:w="484"/>
        <w:gridCol w:w="854"/>
        <w:gridCol w:w="854"/>
        <w:gridCol w:w="353"/>
        <w:gridCol w:w="78"/>
        <w:gridCol w:w="1198"/>
        <w:gridCol w:w="72"/>
        <w:gridCol w:w="1062"/>
        <w:gridCol w:w="72"/>
        <w:gridCol w:w="920"/>
        <w:gridCol w:w="72"/>
        <w:gridCol w:w="920"/>
        <w:gridCol w:w="72"/>
      </w:tblGrid>
      <w:tr w:rsidR="00A27B58" w:rsidRPr="00977CC4" w14:paraId="093A0E6A" w14:textId="77777777" w:rsidTr="001D2814">
        <w:trPr>
          <w:gridAfter w:val="1"/>
          <w:wAfter w:w="72" w:type="dxa"/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4BB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Steady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relationship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d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53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C9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5A5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60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4D5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6E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6F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0.009</w:t>
            </w:r>
          </w:p>
        </w:tc>
      </w:tr>
      <w:tr w:rsidR="00A27B58" w:rsidRPr="00977CC4" w14:paraId="73217BF8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BE9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42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369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9C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BEF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0E2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A0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BE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E3A4AAF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BF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5B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097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B4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E33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05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492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862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4B8C42C9" w14:textId="77777777" w:rsidTr="001D2814">
        <w:trPr>
          <w:gridAfter w:val="1"/>
          <w:wAfter w:w="72" w:type="dxa"/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95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Sexual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preference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e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EA0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6B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60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DD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C3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6B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FF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0.91</w:t>
            </w:r>
          </w:p>
        </w:tc>
      </w:tr>
      <w:tr w:rsidR="00A27B58" w:rsidRPr="00977CC4" w14:paraId="2C75FE19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FF1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Exclusively homosexual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E7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8A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77%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481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D1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B7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AA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5D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8C110EB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4E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Not exclusively homosexual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6B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2D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B1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5C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09E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48C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E7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76A70AA9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E63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4A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D3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BA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1C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0A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F91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1F2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C8632CB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A0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Sexual behaviour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FE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FF1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BA5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43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79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A5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1A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507E552B" w14:textId="77777777" w:rsidTr="001D2814">
        <w:trPr>
          <w:gridAfter w:val="1"/>
          <w:wAfter w:w="72" w:type="dxa"/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865" w14:textId="77777777" w:rsidR="00A27B58" w:rsidRPr="00977CC4" w:rsidRDefault="00A27B58" w:rsidP="008E6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Number of sex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partners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f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B9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322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61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EB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53D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F1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61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81DCE1D" w14:textId="77777777" w:rsidTr="001D2814">
        <w:trPr>
          <w:gridAfter w:val="1"/>
          <w:wAfter w:w="72" w:type="dxa"/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334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Median [IQR]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0C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379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[10-33]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C5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A3B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[10-30]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E9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EB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[10-36]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7D9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0.39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†</w:t>
            </w:r>
          </w:p>
        </w:tc>
      </w:tr>
      <w:tr w:rsidR="00A27B58" w:rsidRPr="00977CC4" w14:paraId="362F33BD" w14:textId="77777777" w:rsidTr="001D2814">
        <w:trPr>
          <w:gridAfter w:val="1"/>
          <w:wAfter w:w="72" w:type="dxa"/>
          <w:trHeight w:val="28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A95" w14:textId="77777777" w:rsidR="00A27B58" w:rsidRPr="00977CC4" w:rsidRDefault="00A27B58" w:rsidP="008E6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Number of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condomless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anal sex episodes with casual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partners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f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D1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3A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6C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910FE21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B82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Median [IQR]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3F2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A19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[5-24]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9AD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33A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[4-18]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167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D1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[5-24]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E88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0.36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†</w:t>
            </w:r>
          </w:p>
        </w:tc>
      </w:tr>
      <w:tr w:rsidR="00A27B58" w:rsidRPr="00977CC4" w14:paraId="11C7957C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057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Sexually transmitted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infections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g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90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05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349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58F8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69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65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BAF" w14:textId="77777777" w:rsidR="00A27B58" w:rsidRPr="00977CC4" w:rsidRDefault="00A27B58" w:rsidP="00E232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25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0.93</w:t>
            </w:r>
          </w:p>
        </w:tc>
      </w:tr>
      <w:tr w:rsidR="00A27B58" w:rsidRPr="00977CC4" w14:paraId="61B784DB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8A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B13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E30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442D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FA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D92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58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1D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4DB7C6F3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32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00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FC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976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5BA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C9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34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DD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B6ECBE8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89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AF7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F0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7A0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A4ED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CB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A7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34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7498DB39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4E3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Mental health characteristics and drug use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39A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3CF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CDB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6394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C5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18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F64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5E186FA0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21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Sexual compu</w:t>
            </w:r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sivity scale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33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FE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B68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7E1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5E4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515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3B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0.26</w:t>
            </w:r>
          </w:p>
        </w:tc>
      </w:tr>
      <w:tr w:rsidR="00A27B58" w:rsidRPr="00977CC4" w14:paraId="042C12FF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33D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&lt;24 (no indication of sexual compu</w:t>
            </w:r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sivity)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D2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50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76%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94D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32D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F9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A0E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77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EF1D54D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650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≥24 (indication of sexual compulsivity)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83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C9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F69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AC35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7A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00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E13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CF24174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34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Chemsex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h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F7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D9C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444A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00A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B5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C9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9D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0.081</w:t>
            </w:r>
          </w:p>
        </w:tc>
      </w:tr>
      <w:tr w:rsidR="00A27B58" w:rsidRPr="00977CC4" w14:paraId="1F7D39F0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74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56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AC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54%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0A6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589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B8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2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6F3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89865C0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A3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0A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98A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46%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1C6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7EFC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C2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86B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28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4770B2E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B0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Depression or anxiety symptoms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108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CD3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52BC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B43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8C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C8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26F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0.006</w:t>
            </w:r>
          </w:p>
        </w:tc>
      </w:tr>
      <w:tr w:rsidR="00A27B58" w:rsidRPr="00977CC4" w14:paraId="0C43F998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CB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MHI5 score ≥60 (no symptoms)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i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D8F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682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83%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9BC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FCA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E9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384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414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094E9854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38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MHI5 score &lt;60 (symptoms)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64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275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93A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33E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E0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577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C15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C5A5293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811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Alcohol use disorder identification test (AUDIT)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407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C9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335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88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C2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686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58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0.76</w:t>
            </w:r>
          </w:p>
        </w:tc>
      </w:tr>
      <w:tr w:rsidR="00A27B58" w:rsidRPr="00977CC4" w14:paraId="74C42D2F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80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&lt;8 (no indication)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0C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D4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70%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B17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17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86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DAA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4FC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6276B5C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496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≥8 (indication)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7E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4E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3057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7EE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F1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C3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F7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AC53AC1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853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Drug use disorder identification test (DUDIT)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0F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6C3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6D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6BCB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26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6C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1E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0.23</w:t>
            </w:r>
          </w:p>
        </w:tc>
      </w:tr>
      <w:tr w:rsidR="00A27B58" w:rsidRPr="00977CC4" w14:paraId="3BE3C15F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DC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&lt;8 (no indication)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m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A7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3A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57%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C79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970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2BC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0B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4E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EF26EDC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24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≥8 (indication)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72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61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43%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985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AA03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EA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A9E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B4D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32DFF3B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8F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Level of concern about acquiring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HIV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o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AA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5AE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713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153D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DF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7AC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E0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0.59</w:t>
            </w:r>
          </w:p>
        </w:tc>
      </w:tr>
      <w:tr w:rsidR="00A27B58" w:rsidRPr="00977CC4" w14:paraId="543762DA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F5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lastRenderedPageBreak/>
              <w:t xml:space="preserve">Low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73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E5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865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DE6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6E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B7F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B9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4F562DA3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23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Neutral to high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CD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41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84%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26E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764A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D4C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366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24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</w:tbl>
    <w:p w14:paraId="3821A7B3" w14:textId="77777777" w:rsidR="009E7F7A" w:rsidRDefault="009E7F7A"/>
    <w:tbl>
      <w:tblPr>
        <w:tblW w:w="125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0"/>
        <w:gridCol w:w="484"/>
        <w:gridCol w:w="854"/>
        <w:gridCol w:w="431"/>
        <w:gridCol w:w="423"/>
        <w:gridCol w:w="431"/>
        <w:gridCol w:w="248"/>
        <w:gridCol w:w="950"/>
        <w:gridCol w:w="72"/>
        <w:gridCol w:w="544"/>
        <w:gridCol w:w="518"/>
        <w:gridCol w:w="72"/>
        <w:gridCol w:w="920"/>
        <w:gridCol w:w="72"/>
        <w:gridCol w:w="920"/>
        <w:gridCol w:w="72"/>
      </w:tblGrid>
      <w:tr w:rsidR="00A27B58" w:rsidRPr="00977CC4" w14:paraId="5EA0545C" w14:textId="77777777" w:rsidTr="001D2814">
        <w:trPr>
          <w:trHeight w:val="28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D9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Level of importance to prevent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HIV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o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EB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40A2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BA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C51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E9A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DF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96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0.63</w:t>
            </w:r>
          </w:p>
        </w:tc>
      </w:tr>
      <w:tr w:rsidR="00A27B58" w:rsidRPr="00977CC4" w14:paraId="69F28B25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57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Less than very important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E7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EB5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E70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98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A4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B2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A4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1379411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AB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Very important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D7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169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351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74%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907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39C7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72%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EA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28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4D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DBAC257" w14:textId="77777777" w:rsidTr="001D2814">
        <w:trPr>
          <w:trHeight w:val="285"/>
        </w:trPr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2BA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Treatment for HCV infection during AMPrEP follow-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up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p</w:t>
            </w:r>
            <w:proofErr w:type="spellEnd"/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A4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79B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223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BA3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A7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9B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0.0040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vertAlign w:val="superscript"/>
              </w:rPr>
              <w:t>‡</w:t>
            </w:r>
          </w:p>
        </w:tc>
      </w:tr>
      <w:tr w:rsidR="00A27B58" w:rsidRPr="00977CC4" w14:paraId="6E769D14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F6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84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BBE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95%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8C8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8EA7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87%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03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2DD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80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2F97172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55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63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0F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23D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993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46F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F49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7D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56FF6C1A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0A0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Yes, during RCT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37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B4C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962E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2A9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FF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70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379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12426E8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0FE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6DA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E1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3C9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2EC6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12D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CDB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1A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6E11F62C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13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Allocation and regimen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A2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4C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DFE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4219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758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1C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BB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DE67D88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82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RCT allocation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51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A26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BD02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E153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0B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ACF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17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0.58</w:t>
            </w:r>
          </w:p>
        </w:tc>
      </w:tr>
      <w:tr w:rsidR="00A27B58" w:rsidRPr="00977CC4" w14:paraId="5AAA9BF9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B1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Regular app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20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A1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49%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4B4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1326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46%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6C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0E80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169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38992D9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FB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Extended app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39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116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2DA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51%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6B6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7513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54%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56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ED9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8CA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2C0277D3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60C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PrEP regimen at AMPrEP baseline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DB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4967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1AB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161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B1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0D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EA9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0.86</w:t>
            </w:r>
          </w:p>
        </w:tc>
      </w:tr>
      <w:tr w:rsidR="00A27B58" w:rsidRPr="00977CC4" w14:paraId="349C2877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2E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Event-driven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B7B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31D4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6B2F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364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1CE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D0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73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0E7D4D26" w14:textId="77777777" w:rsidTr="001D2814">
        <w:trPr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92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Daily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74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211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45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93%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950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E7A1" w14:textId="77777777" w:rsidR="00A27B58" w:rsidRPr="00977CC4" w:rsidRDefault="00A27B58" w:rsidP="001D2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5F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C8E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36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D97BC17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86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06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2B8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7E4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34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E6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FD3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35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189C9DC1" w14:textId="77777777" w:rsidTr="001D2814">
        <w:trPr>
          <w:gridAfter w:val="1"/>
          <w:wAfter w:w="72" w:type="dxa"/>
          <w:trHeight w:val="540"/>
        </w:trPr>
        <w:tc>
          <w:tcPr>
            <w:tcW w:w="11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880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AMPrEP: Amsterdam PrEP demonstration project; PrEP: pre-exposure prophylaxis; IQR, interquartile range;  MHI5: Mental Health Inventory-5;</w:t>
            </w:r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mo</w:t>
            </w:r>
            <w:proofErr w:type="spellEnd"/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: months;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RCT: randomised clinical trial; HCV: Hepatitis C Virus.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A3C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4A48FA8D" w14:textId="77777777" w:rsidTr="001D2814">
        <w:trPr>
          <w:gridAfter w:val="1"/>
          <w:wAfter w:w="72" w:type="dxa"/>
          <w:trHeight w:val="25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A46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1C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C8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333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965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4A0A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D5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164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793CDC45" w14:textId="77777777" w:rsidTr="001D2814">
        <w:trPr>
          <w:gridAfter w:val="1"/>
          <w:wAfter w:w="72" w:type="dxa"/>
          <w:trHeight w:val="2805"/>
        </w:trPr>
        <w:tc>
          <w:tcPr>
            <w:tcW w:w="11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C92A" w14:textId="77777777" w:rsidR="00A27B58" w:rsidRPr="00977CC4" w:rsidRDefault="00A27B58" w:rsidP="00586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bookmarkStart w:id="1" w:name="RANGE!A88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a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Percentages may not total 100 due to rounding;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b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4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c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10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d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2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e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1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f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 the past 3 months prior to inclusion into AMPrEP;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g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Chlamydia, gonorrhoea and/or syphilis within 6 months prior to inclusion into AMPrEP;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h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Use of γ-hydroxybutyrate, γ-Butyrolactone, methamph</w:t>
            </w:r>
            <w:r w:rsidR="00586CA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tamine or mephedrone prior to or during sex in the 3 months prior to inclusion into AMPrEP, 2 missing;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i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No indication of an anxiety or depressive mood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j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Indication of an anxiety or depressive mood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k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No indication of an alcohol use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l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Indication of an alcohol use disorder;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 xml:space="preserve"> m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No indication of a drug use disorder;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 xml:space="preserve">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n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Indication of a drug use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o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Scale 1-7, dichotomised;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p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HCV treatment with direct-acting antivirals has shown to increase intracellular tenofovir diphosphate levels, therefore participants using these drugs during the RCT were excluded from primary analyses,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†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p-value calculated with Two-sample Wilcoxon rank-sum Mann-Whitney test,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‡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p-value calculated with Fisher's exact test</w:t>
            </w:r>
            <w:bookmarkEnd w:id="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736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</w:tbl>
    <w:p w14:paraId="2EDB321D" w14:textId="77777777" w:rsidR="00A27B58" w:rsidRPr="00977CC4" w:rsidRDefault="00A27B58"/>
    <w:p w14:paraId="652A55D4" w14:textId="405CE797" w:rsidR="009E7F7A" w:rsidRDefault="003D5774">
      <w:r>
        <w:br w:type="column"/>
      </w:r>
    </w:p>
    <w:tbl>
      <w:tblPr>
        <w:tblW w:w="13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7"/>
        <w:gridCol w:w="2113"/>
        <w:gridCol w:w="530"/>
        <w:gridCol w:w="1442"/>
        <w:gridCol w:w="941"/>
        <w:gridCol w:w="3147"/>
      </w:tblGrid>
      <w:tr w:rsidR="00A27B58" w:rsidRPr="00977CC4" w14:paraId="353EF5F0" w14:textId="77777777" w:rsidTr="00A27B58">
        <w:trPr>
          <w:trHeight w:val="540"/>
        </w:trPr>
        <w:tc>
          <w:tcPr>
            <w:tcW w:w="13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894C" w14:textId="77777777" w:rsidR="00A27B58" w:rsidRPr="00977CC4" w:rsidRDefault="00A27B58" w:rsidP="00977C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Supplementary table S2: </w:t>
            </w:r>
            <w:r w:rsidR="00977CC4" w:rsidRPr="00977CC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/>
              </w:rPr>
              <w:t>B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aseline characteristics associated with excellent adherence ([TFV-DP] ≥ 1250 fmol/punc</w:t>
            </w:r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h in DBS at 12 and 24 months); results of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logistic regression analysis</w:t>
            </w:r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. AMPrEP study, Amsterdam, 2015-</w:t>
            </w:r>
            <w:r w:rsidR="00991ED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201</w:t>
            </w:r>
            <w:r w:rsid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8. </w:t>
            </w:r>
          </w:p>
        </w:tc>
      </w:tr>
      <w:tr w:rsidR="007023AF" w:rsidRPr="00977CC4" w14:paraId="5C52CDFC" w14:textId="77777777" w:rsidTr="00A27B58">
        <w:trPr>
          <w:gridAfter w:val="1"/>
          <w:wAfter w:w="3147" w:type="dxa"/>
          <w:trHeight w:val="45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BD0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C6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U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nivariable</w:t>
            </w:r>
          </w:p>
        </w:tc>
      </w:tr>
      <w:tr w:rsidR="007023AF" w:rsidRPr="00977CC4" w14:paraId="4271BBA3" w14:textId="77777777" w:rsidTr="00A27B58">
        <w:trPr>
          <w:gridAfter w:val="1"/>
          <w:wAfter w:w="3147" w:type="dxa"/>
          <w:trHeight w:val="300"/>
        </w:trPr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14F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081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Excellent </w:t>
            </w:r>
            <w:proofErr w:type="spellStart"/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adherence</w:t>
            </w: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vertAlign w:val="superscript"/>
              </w:rPr>
              <w:t>a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5BC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EF8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(95% CI)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3D866" w14:textId="77777777" w:rsidR="007023AF" w:rsidRPr="00977CC4" w:rsidRDefault="007023AF" w:rsidP="008E6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p value</w:t>
            </w:r>
          </w:p>
        </w:tc>
      </w:tr>
      <w:tr w:rsidR="007023AF" w:rsidRPr="00977CC4" w14:paraId="062A3C1C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C5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Overall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FDE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66/166 (40%)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2A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AE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D1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2AC7C06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BC9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Demographic characteristics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C1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A4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17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51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4A32A08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D80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Age (per 10 years)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8D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C2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A0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(0.86 to 1.5)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CD0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0.40</w:t>
            </w:r>
          </w:p>
        </w:tc>
      </w:tr>
      <w:tr w:rsidR="007023AF" w:rsidRPr="00977CC4" w14:paraId="49E0CDC0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06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Age (categorised)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88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20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ED2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FCB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65268E8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D59" w14:textId="728C7E9B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20 to </w:t>
            </w:r>
            <w:r w:rsidRPr="0079431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FDEE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19/56 (34%)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AD5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022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1A0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0.49</w:t>
            </w:r>
          </w:p>
        </w:tc>
      </w:tr>
      <w:tr w:rsidR="007023AF" w:rsidRPr="00977CC4" w14:paraId="3391C0BD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7B2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35 to 44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238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23/51 (45%)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DEB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677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(0.73 to 3.5)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1C1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67B77875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483" w14:textId="12E1FC8B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79431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to 73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E55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24/59 (41%)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FBF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3FBE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(0.63 to 2.9)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3185" w14:textId="77777777" w:rsidR="007023AF" w:rsidRPr="00977CC4" w:rsidRDefault="007023AF" w:rsidP="007023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FAD9DFF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2B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Gender identity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52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67B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F60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51D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3ADE236B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C4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Male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45C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65/165 (39%)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2E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E74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05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028A0839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9F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Transgender woman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07F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1/1 (100%)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DB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19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AC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2695E97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A7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Self-declared ethnicity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36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E58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A7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533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109D0C3F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92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White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B6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57/146 (39%)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BA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A9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5B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0.61</w:t>
            </w:r>
          </w:p>
        </w:tc>
      </w:tr>
      <w:tr w:rsidR="007023AF" w:rsidRPr="00977CC4" w14:paraId="7BB01E3C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8A0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Non-white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0C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9/20 (45%)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AD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F7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(0.50 to 3.3)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61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47D25590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C9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Place of residency in the Netherlands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E1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2D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A3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7C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3B684BA7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EF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Amsterdam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88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42/99 (42%)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CB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69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4FA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0.39</w:t>
            </w:r>
          </w:p>
        </w:tc>
      </w:tr>
      <w:tr w:rsidR="007023AF" w:rsidRPr="00977CC4" w14:paraId="18B13BD2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FE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Other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AC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24/67 (36%)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AB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0.76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3EF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(0.40 to 1.4)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591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E72D525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9BD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Education level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611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F3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44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4BE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5F8477D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E78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 college/university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07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17/41 (41%)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AB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DEE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FF8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0.80</w:t>
            </w:r>
          </w:p>
        </w:tc>
      </w:tr>
      <w:tr w:rsidR="007023AF" w:rsidRPr="00977CC4" w14:paraId="469A645E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CC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College/university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537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49/125 (39%)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29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0.91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27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(0.44 to 1.9)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1F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10C0FA9A" w14:textId="77777777" w:rsidTr="00A27B58">
        <w:trPr>
          <w:gridAfter w:val="1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E1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Employment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b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11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EC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2E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2E1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6687EFEB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0C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Employed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BC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53/133 (40%)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58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FE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28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1.0</w:t>
            </w:r>
          </w:p>
        </w:tc>
      </w:tr>
      <w:tr w:rsidR="007023AF" w:rsidRPr="00977CC4" w14:paraId="22E27F1B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E8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Unemployed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FE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2/5 (40%)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8E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7D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(0.16 to 6.2)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A36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185A1C99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17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Other (retired, volunteer, disabled, student)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61F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10/25 (40%)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4F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483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(0.42 to 2.4)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333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6DF37E40" w14:textId="77777777" w:rsidTr="00A27B58">
        <w:trPr>
          <w:gridAfter w:val="1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0B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Net monthly income in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Euro's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c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63C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54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ED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A1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6FDE124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500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≤1700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73F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13/35 (37%)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68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9A9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F5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0.73</w:t>
            </w:r>
          </w:p>
        </w:tc>
      </w:tr>
      <w:tr w:rsidR="007023AF" w:rsidRPr="00977CC4" w14:paraId="67DD583B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D0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1701-2950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A8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34/78 (44%)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67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D6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(0.58 to 3.0)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56A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70869A8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56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&gt;2950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5F2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17/45 (38%)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52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AD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(0.41 to 2.6)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4A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FF711DE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91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Living situation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7B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4B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0E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D8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3D79EA42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98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Alone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B2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36/83 (43%)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54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2C6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23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0.28</w:t>
            </w:r>
          </w:p>
        </w:tc>
      </w:tr>
      <w:tr w:rsidR="007023AF" w:rsidRPr="00977CC4" w14:paraId="2A9A974D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24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With partner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3E0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25/62 (40%)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96C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0.88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DF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(0.45 to 1.7)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99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F6873DD" w14:textId="77777777" w:rsidTr="00A27B58">
        <w:trPr>
          <w:gridAfter w:val="1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1B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lastRenderedPageBreak/>
              <w:t>With parents/flatmates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56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5/21 (24%)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F09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0.41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6F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(0.14 to 1.2)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DB5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</w:tbl>
    <w:p w14:paraId="6531EEC7" w14:textId="77777777" w:rsidR="009E7F7A" w:rsidRDefault="009E7F7A"/>
    <w:tbl>
      <w:tblPr>
        <w:tblW w:w="13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7"/>
        <w:gridCol w:w="2113"/>
        <w:gridCol w:w="530"/>
        <w:gridCol w:w="1442"/>
        <w:gridCol w:w="941"/>
        <w:gridCol w:w="578"/>
        <w:gridCol w:w="1679"/>
        <w:gridCol w:w="890"/>
      </w:tblGrid>
      <w:tr w:rsidR="007023AF" w:rsidRPr="00977CC4" w14:paraId="548C5783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E1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Steady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relationship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d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F5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A21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96B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58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0892925C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64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975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34/83 (41%)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57A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49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20D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0.80</w:t>
            </w:r>
          </w:p>
        </w:tc>
      </w:tr>
      <w:tr w:rsidR="007023AF" w:rsidRPr="00977CC4" w14:paraId="2125D739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F4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46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32/82 (39%)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149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0.92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96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(0.49 to 1.7)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AF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6E8C1D8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8B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Sexual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preference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e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28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CA6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06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AC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30076EEC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28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Exclusively homosexual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E7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46/126 (37%)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06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B7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CF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0.10</w:t>
            </w:r>
          </w:p>
        </w:tc>
      </w:tr>
      <w:tr w:rsidR="007023AF" w:rsidRPr="00977CC4" w14:paraId="06346C2A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14B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Not exclusively homosexual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D0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20/39 (51%)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89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F42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(0.89 to 3.8)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A3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61BD1CAE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09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16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F3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5E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535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5045AFC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FC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Sexual behaviour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D23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25F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E4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D1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EC9CF1F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5C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Sexually transmitted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infections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f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87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07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23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00A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7FBC150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AE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D64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41/99 (41%)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F2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991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0CF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0.60</w:t>
            </w:r>
          </w:p>
        </w:tc>
      </w:tr>
      <w:tr w:rsidR="007023AF" w:rsidRPr="00977CC4" w14:paraId="4ECBFA9B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D74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7F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25/67 (37%)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60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0.84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80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(0.45 to 1.6)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78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34F54729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5BD" w14:textId="77777777" w:rsidR="007023AF" w:rsidRPr="00977CC4" w:rsidRDefault="007023AF" w:rsidP="00B77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Number of sex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partners</w:t>
            </w:r>
            <w:r w:rsidRPr="00B77F3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g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F69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57F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AB8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(0.99 to 1.0)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2C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0.72</w:t>
            </w:r>
          </w:p>
        </w:tc>
      </w:tr>
      <w:tr w:rsidR="007023AF" w:rsidRPr="00977CC4" w14:paraId="570D732B" w14:textId="77777777" w:rsidTr="00A27B58">
        <w:trPr>
          <w:gridAfter w:val="3"/>
          <w:wAfter w:w="3147" w:type="dxa"/>
          <w:trHeight w:val="255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055" w14:textId="77777777" w:rsidR="007023AF" w:rsidRPr="00977CC4" w:rsidRDefault="007023AF" w:rsidP="00B77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Number of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condomless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anal sex episodes with casual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partners</w:t>
            </w:r>
            <w:r w:rsidRPr="00B77F3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g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EC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48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(0.99 to 1.0)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78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0.63</w:t>
            </w:r>
          </w:p>
        </w:tc>
      </w:tr>
      <w:tr w:rsidR="007023AF" w:rsidRPr="00977CC4" w14:paraId="1A3B3FE4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0EA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12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11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D9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34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66D3A8E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7C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Mental health characteristics and drug use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83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07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EB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B7D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B7A91D5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5F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Sexual compu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sivity scale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58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22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03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B74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5CD1C26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61F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&lt;24 (no indication of sexual compulsivity)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C1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56/129 (43%)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D09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AB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75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0.076</w:t>
            </w:r>
          </w:p>
        </w:tc>
      </w:tr>
      <w:tr w:rsidR="007023AF" w:rsidRPr="00977CC4" w14:paraId="2F41AF78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E3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≥24 (indication of sexual compulsivity)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3FB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10/37 (27%)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F8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0.48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6D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(0.22 to 1.1)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D98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765AD6B1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FB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Chemsex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h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B0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3B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63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38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63DA8235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90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0E7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45/94 (48%)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09A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3F0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CBC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0.022</w:t>
            </w:r>
          </w:p>
        </w:tc>
      </w:tr>
      <w:tr w:rsidR="007023AF" w:rsidRPr="00977CC4" w14:paraId="38D44E24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13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AE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21/70 (30%)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1B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11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(0.24 to 0.90)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AA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14D4B5CC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18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Depression or anxiety symptoms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4E8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6B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7A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AF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8291524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1B3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MHI5 score ≥60 (no symptoms)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i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F69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59/145 (41%)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69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44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3A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0.52</w:t>
            </w:r>
          </w:p>
        </w:tc>
      </w:tr>
      <w:tr w:rsidR="007023AF" w:rsidRPr="00977CC4" w14:paraId="2D49A348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F75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MHI5 score &lt;60 (symptoms)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j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39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7/21 (33%)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32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0.73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2A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(0.28 to 1.9)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FD0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312657B7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68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Alcohol use disorder identification test (AUDIT)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7D9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D60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32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4FE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42B731DE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88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&lt;8 (no indication)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879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45/117 (38%)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B0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A7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D27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0.53</w:t>
            </w:r>
          </w:p>
        </w:tc>
      </w:tr>
      <w:tr w:rsidR="007023AF" w:rsidRPr="00977CC4" w14:paraId="0A05B720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73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≥8 (indication)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EF2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21/48 (44%)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A2A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961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(0.63 to 2.5)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C3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28DDC99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027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Drug use disorder identification test (DUDIT)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AA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710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4D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D4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2D6DAA4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A61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&lt;8 (no indication)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EE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42/99 (42%)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882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89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E3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0.39</w:t>
            </w:r>
          </w:p>
        </w:tc>
      </w:tr>
      <w:tr w:rsidR="007023AF" w:rsidRPr="00977CC4" w14:paraId="33DBFB7D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24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Score ≥8 (indication)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CF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24/67 (36%)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35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0.76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E3C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(0.40 to 1.4)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30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0843B0A9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0C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Level of concern about acquiring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HIV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o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E8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578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9C2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B0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9481A6B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A3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Low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08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10/25 (40%)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D7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3A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66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0.98</w:t>
            </w:r>
          </w:p>
        </w:tc>
      </w:tr>
      <w:tr w:rsidR="007023AF" w:rsidRPr="00977CC4" w14:paraId="0241B047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9A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Neutral to high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A7A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56/141 (40%)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B3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0.99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F9F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(0.41 to 2.4)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D1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237EC022" w14:textId="77777777" w:rsidTr="00A27B58">
        <w:trPr>
          <w:gridAfter w:val="3"/>
          <w:wAfter w:w="3147" w:type="dxa"/>
          <w:trHeight w:val="28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64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lastRenderedPageBreak/>
              <w:t xml:space="preserve">Level of importance to prevent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HIV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o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11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4D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24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4A5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57C3DCF9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AB4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Less than very important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F5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17/41 (41%)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46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BE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9C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0.80</w:t>
            </w:r>
          </w:p>
        </w:tc>
      </w:tr>
      <w:tr w:rsidR="007023AF" w:rsidRPr="00977CC4" w14:paraId="1C9A740F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0F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Very important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853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49/125 (39%)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BA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0.91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34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(0.44 to 1.9)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61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3FDC0548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2CA7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EE4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A40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B109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A3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6B78E8C2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22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RCT allocation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58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8FE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00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50C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4CC1A3E7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9D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Standard app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84D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26/83 (31%)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8B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EE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76F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0.027</w:t>
            </w:r>
          </w:p>
        </w:tc>
      </w:tr>
      <w:tr w:rsidR="007023AF" w:rsidRPr="00977CC4" w14:paraId="3226859B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1F2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Extended app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043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40/83 (48%)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1E4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2B6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(1.1 to 3.8)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CFC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7023AF" w:rsidRPr="00977CC4" w14:paraId="15414A24" w14:textId="77777777" w:rsidTr="00A27B58">
        <w:trPr>
          <w:gridAfter w:val="3"/>
          <w:wAfter w:w="3147" w:type="dxa"/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5EC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DF78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DD01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41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A5B" w14:textId="77777777" w:rsidR="007023AF" w:rsidRPr="00977CC4" w:rsidRDefault="007023AF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A5AC90F" w14:textId="77777777" w:rsidTr="00A27B58">
        <w:trPr>
          <w:trHeight w:val="540"/>
        </w:trPr>
        <w:tc>
          <w:tcPr>
            <w:tcW w:w="13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FBD5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AMPrEP: Amsterdam PrEP demonstration project; PrEP: pre-exposure prophylaxis; IQR, interquartile range;  MHI5: Mental Health Inventory-5; </w:t>
            </w:r>
            <w:proofErr w:type="spellStart"/>
            <w:r w:rsidR="00586CA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mo</w:t>
            </w:r>
            <w:proofErr w:type="spellEnd"/>
            <w:r w:rsidR="00586CA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: months;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RCT: randomised clinical trial.</w:t>
            </w:r>
          </w:p>
        </w:tc>
      </w:tr>
      <w:tr w:rsidR="00A27B58" w:rsidRPr="00977CC4" w14:paraId="0DAB2C14" w14:textId="77777777" w:rsidTr="00A27B58">
        <w:trPr>
          <w:trHeight w:val="2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482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3D1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BE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3E0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2BC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8BF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A5D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6FF7" w14:textId="77777777" w:rsidR="00A27B58" w:rsidRPr="00977CC4" w:rsidRDefault="00A27B58" w:rsidP="00A27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A27B58" w:rsidRPr="00977CC4" w14:paraId="3286A811" w14:textId="77777777" w:rsidTr="00A27B58">
        <w:trPr>
          <w:trHeight w:val="1680"/>
        </w:trPr>
        <w:tc>
          <w:tcPr>
            <w:tcW w:w="13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AA78" w14:textId="77777777" w:rsidR="00A27B58" w:rsidRPr="00977CC4" w:rsidRDefault="00A27B58" w:rsidP="00B77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bookmarkStart w:id="2" w:name="RANGE!A78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a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Percentages may not total 100 due to rounding;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b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3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c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8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d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1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e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1 missing;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f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="00B77F37"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Chlamydia, gonorrhoea and/or syphilis within 6 months prior to inclusion into AMPrEP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g</w:t>
            </w:r>
            <w:r w:rsidR="00B77F37"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 the past 3 months prior to inclusion into AMPrEP</w:t>
            </w:r>
            <w:r w:rsidR="00B77F3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, OR per increase of 1 of the natural log of the number of sex partners/episodes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h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Use of γ-hydroxybuty</w:t>
            </w:r>
            <w:r w:rsidR="00586CAA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rate, γ-Butyrolactone, methamphe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tamine or mephedrone prior to or during sex in the 3 months prior to inclusion into AMPrEP, 2 missing;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i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No indication of an anxiety or depressive mood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j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Indication of an anxiety or depressive mood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k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No indication of an alcohol use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l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Indication of an alcohol use disorder;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 xml:space="preserve"> m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No indication of a drug use disorder;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 xml:space="preserve"> </w:t>
            </w:r>
            <w:proofErr w:type="spellStart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n</w:t>
            </w:r>
            <w:proofErr w:type="spellEnd"/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Indication of a drug use disorder; 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vertAlign w:val="superscript"/>
              </w:rPr>
              <w:t>o</w:t>
            </w:r>
            <w:r w:rsidRPr="00977CC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Scale 1-7, dichotomised.</w:t>
            </w:r>
            <w:bookmarkEnd w:id="2"/>
          </w:p>
        </w:tc>
      </w:tr>
    </w:tbl>
    <w:p w14:paraId="72EA725C" w14:textId="77777777" w:rsidR="00A27B58" w:rsidRPr="00977CC4" w:rsidRDefault="00A27B58"/>
    <w:sectPr w:rsidR="00A27B58" w:rsidRPr="00977CC4" w:rsidSect="009E7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6537" w14:textId="77777777" w:rsidR="003D5774" w:rsidRDefault="003D5774" w:rsidP="00977CC4">
      <w:pPr>
        <w:spacing w:after="0"/>
      </w:pPr>
      <w:r>
        <w:separator/>
      </w:r>
    </w:p>
  </w:endnote>
  <w:endnote w:type="continuationSeparator" w:id="0">
    <w:p w14:paraId="153A60D6" w14:textId="77777777" w:rsidR="003D5774" w:rsidRDefault="003D5774" w:rsidP="00977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16AF" w14:textId="77777777" w:rsidR="003D5774" w:rsidRDefault="003D57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573444"/>
      <w:docPartObj>
        <w:docPartGallery w:val="Page Numbers (Bottom of Page)"/>
        <w:docPartUnique/>
      </w:docPartObj>
    </w:sdtPr>
    <w:sdtEndPr/>
    <w:sdtContent>
      <w:p w14:paraId="0C4C7B74" w14:textId="77777777" w:rsidR="003D5774" w:rsidRDefault="003D577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0627">
          <w:rPr>
            <w:noProof/>
            <w:lang w:val="en-US"/>
          </w:rPr>
          <w:t>7</w:t>
        </w:r>
        <w:r>
          <w:fldChar w:fldCharType="end"/>
        </w:r>
      </w:p>
    </w:sdtContent>
  </w:sdt>
  <w:p w14:paraId="6D28C36A" w14:textId="77777777" w:rsidR="003D5774" w:rsidRDefault="002F76C7">
    <w:pPr>
      <w:pStyle w:val="Voettekst"/>
    </w:pPr>
    <w:r>
      <w:fldChar w:fldCharType="begin"/>
    </w:r>
    <w:r>
      <w:instrText xml:space="preserve"> FILENAME   \* MERGEFORMAT </w:instrText>
    </w:r>
    <w:r>
      <w:fldChar w:fldCharType="separate"/>
    </w:r>
    <w:r w:rsidR="003D5774">
      <w:rPr>
        <w:noProof/>
      </w:rPr>
      <w:t>20201013 Supplement AMPrEP RCT Adherence v2.1.docx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C391" w14:textId="77777777" w:rsidR="003D5774" w:rsidRDefault="003D57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875D" w14:textId="77777777" w:rsidR="003D5774" w:rsidRDefault="003D5774" w:rsidP="00977CC4">
      <w:pPr>
        <w:spacing w:after="0"/>
      </w:pPr>
      <w:r>
        <w:separator/>
      </w:r>
    </w:p>
  </w:footnote>
  <w:footnote w:type="continuationSeparator" w:id="0">
    <w:p w14:paraId="18E28F99" w14:textId="77777777" w:rsidR="003D5774" w:rsidRDefault="003D5774" w:rsidP="00977C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3063" w14:textId="77777777" w:rsidR="003D5774" w:rsidRDefault="003D57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E90D" w14:textId="77777777" w:rsidR="003D5774" w:rsidRDefault="003D57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F4D5" w14:textId="77777777" w:rsidR="003D5774" w:rsidRDefault="003D57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80"/>
    <w:rsid w:val="000D23EB"/>
    <w:rsid w:val="001D2814"/>
    <w:rsid w:val="00210627"/>
    <w:rsid w:val="002B5F92"/>
    <w:rsid w:val="002F76C7"/>
    <w:rsid w:val="003D5774"/>
    <w:rsid w:val="00586CAA"/>
    <w:rsid w:val="0062618B"/>
    <w:rsid w:val="00657037"/>
    <w:rsid w:val="006D75E4"/>
    <w:rsid w:val="007023AF"/>
    <w:rsid w:val="007678EF"/>
    <w:rsid w:val="007F390E"/>
    <w:rsid w:val="008E6183"/>
    <w:rsid w:val="0092443A"/>
    <w:rsid w:val="00977CC4"/>
    <w:rsid w:val="00991ED2"/>
    <w:rsid w:val="009E7F7A"/>
    <w:rsid w:val="00A27B58"/>
    <w:rsid w:val="00A36E36"/>
    <w:rsid w:val="00A611D9"/>
    <w:rsid w:val="00B11580"/>
    <w:rsid w:val="00B77F37"/>
    <w:rsid w:val="00DC7491"/>
    <w:rsid w:val="00DE7B01"/>
    <w:rsid w:val="00E2321C"/>
    <w:rsid w:val="00F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DF55"/>
  <w15:docId w15:val="{D1F9EBC9-F2C7-40C0-A196-C4FAC09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B11580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Corbel" w:eastAsia="Corbel" w:hAnsi="Corbel" w:cs="Corbel"/>
      <w:color w:val="000000"/>
      <w:sz w:val="21"/>
      <w:szCs w:val="21"/>
      <w:u w:color="000000"/>
      <w:bdr w:val="nil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7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158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contextualSpacing/>
      <w:outlineLvl w:val="2"/>
    </w:pPr>
    <w:rPr>
      <w:rFonts w:eastAsiaTheme="majorEastAsia" w:cstheme="majorBidi"/>
      <w:b/>
      <w:bCs/>
      <w:color w:val="4F81BD" w:themeColor="accent1"/>
      <w:szCs w:val="22"/>
      <w:bdr w:val="none" w:sz="0" w:space="0" w:color="auto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77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11580"/>
    <w:rPr>
      <w:rFonts w:ascii="Corbel" w:eastAsiaTheme="majorEastAsia" w:hAnsi="Corbel" w:cstheme="majorBidi"/>
      <w:b/>
      <w:bCs/>
      <w:color w:val="4F81BD" w:themeColor="accent1"/>
      <w:sz w:val="21"/>
      <w:u w:color="000000"/>
      <w:lang w:val="en-GB"/>
    </w:rPr>
  </w:style>
  <w:style w:type="paragraph" w:styleId="Geenafstand">
    <w:name w:val="No Spacing"/>
    <w:uiPriority w:val="1"/>
    <w:qFormat/>
    <w:rsid w:val="00B11580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977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GB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77CC4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u w:color="000000"/>
      <w:bdr w:val="nil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977CC4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77CC4"/>
    <w:rPr>
      <w:rFonts w:ascii="Corbel" w:eastAsia="Corbel" w:hAnsi="Corbel" w:cs="Corbel"/>
      <w:color w:val="000000"/>
      <w:sz w:val="21"/>
      <w:szCs w:val="21"/>
      <w:u w:color="000000"/>
      <w:bdr w:val="nil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977CC4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CC4"/>
    <w:rPr>
      <w:rFonts w:ascii="Corbel" w:eastAsia="Corbel" w:hAnsi="Corbel" w:cs="Corbel"/>
      <w:color w:val="000000"/>
      <w:sz w:val="21"/>
      <w:szCs w:val="21"/>
      <w:u w:color="000000"/>
      <w:bdr w:val="nil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44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44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443A"/>
    <w:rPr>
      <w:rFonts w:ascii="Corbel" w:eastAsia="Corbel" w:hAnsi="Corbel" w:cs="Corbel"/>
      <w:color w:val="000000"/>
      <w:sz w:val="20"/>
      <w:szCs w:val="20"/>
      <w:u w:color="000000"/>
      <w:bdr w:val="nil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44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443A"/>
    <w:rPr>
      <w:rFonts w:ascii="Corbel" w:eastAsia="Corbel" w:hAnsi="Corbel" w:cs="Corbel"/>
      <w:b/>
      <w:bCs/>
      <w:color w:val="000000"/>
      <w:sz w:val="20"/>
      <w:szCs w:val="20"/>
      <w:u w:color="000000"/>
      <w:bdr w:val="nil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44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43A"/>
    <w:rPr>
      <w:rFonts w:ascii="Segoe UI" w:eastAsia="Corbel" w:hAnsi="Segoe UI" w:cs="Segoe UI"/>
      <w:color w:val="000000"/>
      <w:sz w:val="18"/>
      <w:szCs w:val="18"/>
      <w:u w:color="000000"/>
      <w:bdr w:val="nil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Elshout, Mark van den</dc:creator>
  <cp:lastModifiedBy>Elshout, Mark van den</cp:lastModifiedBy>
  <cp:revision>2</cp:revision>
  <dcterms:created xsi:type="dcterms:W3CDTF">2021-03-26T14:58:00Z</dcterms:created>
  <dcterms:modified xsi:type="dcterms:W3CDTF">2021-03-26T14:58:00Z</dcterms:modified>
</cp:coreProperties>
</file>