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EFDBB" w14:textId="77777777" w:rsidR="001F23DE" w:rsidRPr="00494A5D" w:rsidRDefault="001F23DE" w:rsidP="001F23DE">
      <w:pPr>
        <w:spacing w:line="480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494A5D">
        <w:rPr>
          <w:rFonts w:ascii="Arial" w:hAnsi="Arial" w:cs="Arial"/>
          <w:b/>
          <w:sz w:val="22"/>
          <w:szCs w:val="22"/>
          <w:lang w:val="en-GB"/>
        </w:rPr>
        <w:t>Broadly neutralizing antibody responses in the longitudinal primary HIV-1 infection SPARTAC cohort</w:t>
      </w:r>
    </w:p>
    <w:p w14:paraId="25A8C1F5" w14:textId="77777777" w:rsidR="001F23DE" w:rsidRPr="00494A5D" w:rsidRDefault="001F23DE" w:rsidP="001F23DE">
      <w:pPr>
        <w:spacing w:line="480" w:lineRule="auto"/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Running head: Neutralizing antibodies in SPARTAC cohort</w:t>
      </w:r>
    </w:p>
    <w:p w14:paraId="5625915F" w14:textId="2C33B4F6" w:rsidR="006C1B7B" w:rsidRDefault="001F23DE" w:rsidP="001F23DE">
      <w:pPr>
        <w:spacing w:line="480" w:lineRule="auto"/>
        <w:jc w:val="center"/>
        <w:rPr>
          <w:rFonts w:ascii="Arial" w:hAnsi="Arial" w:cs="Arial"/>
          <w:sz w:val="22"/>
          <w:szCs w:val="22"/>
          <w:lang w:val="en-GB"/>
        </w:rPr>
      </w:pPr>
      <w:r w:rsidRPr="00494A5D">
        <w:rPr>
          <w:rFonts w:ascii="Arial" w:hAnsi="Arial" w:cs="Arial"/>
          <w:sz w:val="22"/>
          <w:szCs w:val="22"/>
          <w:lang w:val="en-GB"/>
        </w:rPr>
        <w:t>Luke A. Granger,</w:t>
      </w:r>
      <w:r w:rsidRPr="00494A5D">
        <w:rPr>
          <w:rFonts w:ascii="Arial" w:hAnsi="Arial" w:cs="Arial"/>
          <w:sz w:val="22"/>
          <w:szCs w:val="22"/>
          <w:vertAlign w:val="superscript"/>
          <w:lang w:val="en-GB"/>
        </w:rPr>
        <w:t>1,15,16</w:t>
      </w:r>
      <w:r w:rsidRPr="00494A5D">
        <w:rPr>
          <w:rFonts w:ascii="Arial" w:hAnsi="Arial" w:cs="Arial"/>
          <w:sz w:val="22"/>
          <w:szCs w:val="22"/>
          <w:lang w:val="en-GB"/>
        </w:rPr>
        <w:t xml:space="preserve"> Isabella Huettner,</w:t>
      </w:r>
      <w:r w:rsidRPr="00494A5D">
        <w:rPr>
          <w:rFonts w:ascii="Arial" w:hAnsi="Arial" w:cs="Arial"/>
          <w:sz w:val="22"/>
          <w:szCs w:val="22"/>
          <w:vertAlign w:val="superscript"/>
          <w:lang w:val="en-GB"/>
        </w:rPr>
        <w:t>1,16</w:t>
      </w:r>
      <w:r w:rsidRPr="00494A5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94A5D">
        <w:rPr>
          <w:rFonts w:ascii="Arial" w:hAnsi="Arial" w:cs="Arial"/>
          <w:sz w:val="22"/>
          <w:szCs w:val="22"/>
          <w:lang w:val="en-GB"/>
        </w:rPr>
        <w:t>Franka</w:t>
      </w:r>
      <w:proofErr w:type="spellEnd"/>
      <w:r w:rsidRPr="00494A5D">
        <w:rPr>
          <w:rFonts w:ascii="Arial" w:hAnsi="Arial" w:cs="Arial"/>
          <w:sz w:val="22"/>
          <w:szCs w:val="22"/>
          <w:lang w:val="en-GB"/>
        </w:rPr>
        <w:t xml:space="preserve"> Debeljak</w:t>
      </w:r>
      <w:r w:rsidRPr="00494A5D">
        <w:rPr>
          <w:rFonts w:ascii="Arial" w:hAnsi="Arial" w:cs="Arial"/>
          <w:sz w:val="22"/>
          <w:szCs w:val="22"/>
          <w:vertAlign w:val="superscript"/>
          <w:lang w:val="en-GB"/>
        </w:rPr>
        <w:t>1</w:t>
      </w:r>
      <w:r w:rsidRPr="00494A5D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494A5D">
        <w:rPr>
          <w:rFonts w:ascii="Arial" w:hAnsi="Arial" w:cs="Arial"/>
          <w:sz w:val="22"/>
          <w:szCs w:val="22"/>
          <w:lang w:val="en-GB"/>
        </w:rPr>
        <w:t>Pontiano</w:t>
      </w:r>
      <w:proofErr w:type="spellEnd"/>
      <w:r w:rsidRPr="00494A5D">
        <w:rPr>
          <w:rFonts w:ascii="Arial" w:hAnsi="Arial" w:cs="Arial"/>
          <w:sz w:val="22"/>
          <w:szCs w:val="22"/>
          <w:lang w:val="en-GB"/>
        </w:rPr>
        <w:t xml:space="preserve"> Kaleebu,</w:t>
      </w:r>
      <w:r w:rsidRPr="00494A5D">
        <w:rPr>
          <w:rFonts w:ascii="Arial" w:hAnsi="Arial" w:cs="Arial"/>
          <w:sz w:val="22"/>
          <w:szCs w:val="22"/>
          <w:vertAlign w:val="superscript"/>
          <w:lang w:val="en-GB"/>
        </w:rPr>
        <w:t>2</w:t>
      </w:r>
      <w:r w:rsidRPr="00494A5D">
        <w:rPr>
          <w:rFonts w:ascii="Arial" w:hAnsi="Arial" w:cs="Arial"/>
          <w:sz w:val="22"/>
          <w:szCs w:val="22"/>
          <w:lang w:val="en-GB"/>
        </w:rPr>
        <w:t xml:space="preserve"> Mauro Schechter,</w:t>
      </w:r>
      <w:r w:rsidRPr="00494A5D">
        <w:rPr>
          <w:rFonts w:ascii="Arial" w:hAnsi="Arial" w:cs="Arial"/>
          <w:sz w:val="22"/>
          <w:szCs w:val="22"/>
          <w:vertAlign w:val="superscript"/>
          <w:lang w:val="en-GB"/>
        </w:rPr>
        <w:t>3</w:t>
      </w:r>
      <w:r w:rsidRPr="00494A5D">
        <w:rPr>
          <w:rFonts w:ascii="Arial" w:hAnsi="Arial" w:cs="Arial"/>
          <w:sz w:val="22"/>
          <w:szCs w:val="22"/>
          <w:lang w:val="en-GB"/>
        </w:rPr>
        <w:t xml:space="preserve"> Giuseppe Tambussi,</w:t>
      </w:r>
      <w:r w:rsidRPr="00494A5D">
        <w:rPr>
          <w:rFonts w:ascii="Arial" w:hAnsi="Arial" w:cs="Arial"/>
          <w:sz w:val="22"/>
          <w:szCs w:val="22"/>
          <w:vertAlign w:val="superscript"/>
          <w:lang w:val="en-GB"/>
        </w:rPr>
        <w:t>4</w:t>
      </w:r>
      <w:r w:rsidRPr="00494A5D">
        <w:rPr>
          <w:rFonts w:ascii="Arial" w:hAnsi="Arial" w:cs="Arial"/>
          <w:sz w:val="22"/>
          <w:szCs w:val="22"/>
          <w:lang w:val="en-GB"/>
        </w:rPr>
        <w:t xml:space="preserve"> Jonathan Weber,</w:t>
      </w:r>
      <w:r w:rsidRPr="00494A5D">
        <w:rPr>
          <w:rFonts w:ascii="Arial" w:hAnsi="Arial" w:cs="Arial"/>
          <w:sz w:val="22"/>
          <w:szCs w:val="22"/>
          <w:vertAlign w:val="superscript"/>
          <w:lang w:val="en-GB"/>
        </w:rPr>
        <w:t>5</w:t>
      </w:r>
      <w:r w:rsidRPr="00494A5D">
        <w:rPr>
          <w:rFonts w:ascii="Arial" w:hAnsi="Arial" w:cs="Arial"/>
          <w:sz w:val="22"/>
          <w:szCs w:val="22"/>
          <w:lang w:val="en-GB"/>
        </w:rPr>
        <w:t xml:space="preserve"> Jose M. Miro,</w:t>
      </w:r>
      <w:r w:rsidRPr="00494A5D">
        <w:rPr>
          <w:rFonts w:ascii="Arial" w:hAnsi="Arial" w:cs="Arial"/>
          <w:sz w:val="22"/>
          <w:szCs w:val="22"/>
          <w:vertAlign w:val="superscript"/>
          <w:lang w:val="en-GB"/>
        </w:rPr>
        <w:t>6</w:t>
      </w:r>
      <w:r w:rsidRPr="00494A5D">
        <w:rPr>
          <w:rFonts w:ascii="Arial" w:hAnsi="Arial" w:cs="Arial"/>
          <w:sz w:val="22"/>
          <w:szCs w:val="22"/>
          <w:lang w:val="en-GB"/>
        </w:rPr>
        <w:t xml:space="preserve"> Rodney Phillips,</w:t>
      </w:r>
      <w:r w:rsidRPr="00494A5D">
        <w:rPr>
          <w:rFonts w:ascii="Arial" w:hAnsi="Arial" w:cs="Arial"/>
          <w:sz w:val="22"/>
          <w:szCs w:val="22"/>
          <w:vertAlign w:val="superscript"/>
          <w:lang w:val="en-GB"/>
        </w:rPr>
        <w:t>7</w:t>
      </w:r>
      <w:r w:rsidRPr="00494A5D">
        <w:rPr>
          <w:rFonts w:ascii="Arial" w:hAnsi="Arial" w:cs="Arial"/>
          <w:sz w:val="22"/>
          <w:szCs w:val="22"/>
          <w:lang w:val="en-GB"/>
        </w:rPr>
        <w:t xml:space="preserve"> Abdel Babiker,</w:t>
      </w:r>
      <w:r w:rsidRPr="00494A5D">
        <w:rPr>
          <w:rFonts w:ascii="Arial" w:hAnsi="Arial" w:cs="Arial"/>
          <w:sz w:val="22"/>
          <w:szCs w:val="22"/>
          <w:vertAlign w:val="superscript"/>
          <w:lang w:val="en-GB"/>
        </w:rPr>
        <w:t>8</w:t>
      </w:r>
      <w:r w:rsidRPr="00494A5D">
        <w:rPr>
          <w:rFonts w:ascii="Arial" w:hAnsi="Arial" w:cs="Arial"/>
          <w:sz w:val="22"/>
          <w:szCs w:val="22"/>
          <w:lang w:val="en-GB"/>
        </w:rPr>
        <w:t xml:space="preserve"> David A. Cooper,</w:t>
      </w:r>
      <w:r w:rsidRPr="00494A5D">
        <w:rPr>
          <w:rFonts w:ascii="Arial" w:hAnsi="Arial" w:cs="Arial"/>
          <w:sz w:val="22"/>
          <w:szCs w:val="22"/>
          <w:vertAlign w:val="superscript"/>
          <w:lang w:val="en-GB"/>
        </w:rPr>
        <w:t>9,17</w:t>
      </w:r>
      <w:r w:rsidRPr="00494A5D">
        <w:rPr>
          <w:rFonts w:ascii="Arial" w:hAnsi="Arial" w:cs="Arial"/>
          <w:sz w:val="22"/>
          <w:szCs w:val="22"/>
          <w:lang w:val="en-GB"/>
        </w:rPr>
        <w:t xml:space="preserve"> Martin Fisher,</w:t>
      </w:r>
      <w:r w:rsidRPr="00494A5D">
        <w:rPr>
          <w:rFonts w:ascii="Arial" w:hAnsi="Arial" w:cs="Arial"/>
          <w:sz w:val="22"/>
          <w:szCs w:val="22"/>
          <w:vertAlign w:val="superscript"/>
          <w:lang w:val="en-GB"/>
        </w:rPr>
        <w:t>10,17</w:t>
      </w:r>
      <w:r w:rsidRPr="00494A5D">
        <w:rPr>
          <w:rFonts w:ascii="Arial" w:hAnsi="Arial" w:cs="Arial"/>
          <w:sz w:val="22"/>
          <w:szCs w:val="22"/>
          <w:lang w:val="en-GB"/>
        </w:rPr>
        <w:t xml:space="preserve"> Gita Ramjee,</w:t>
      </w:r>
      <w:r w:rsidRPr="00494A5D">
        <w:rPr>
          <w:rFonts w:ascii="Arial" w:hAnsi="Arial" w:cs="Arial"/>
          <w:sz w:val="22"/>
          <w:szCs w:val="22"/>
          <w:vertAlign w:val="superscript"/>
          <w:lang w:val="en-GB"/>
        </w:rPr>
        <w:t>11,17</w:t>
      </w:r>
      <w:r w:rsidRPr="00494A5D">
        <w:rPr>
          <w:rFonts w:ascii="Arial" w:hAnsi="Arial" w:cs="Arial"/>
          <w:sz w:val="22"/>
          <w:szCs w:val="22"/>
          <w:lang w:val="en-GB"/>
        </w:rPr>
        <w:t xml:space="preserve"> Sarah Fidler,</w:t>
      </w:r>
      <w:r w:rsidRPr="00494A5D">
        <w:rPr>
          <w:rFonts w:ascii="Arial" w:hAnsi="Arial" w:cs="Arial"/>
          <w:sz w:val="22"/>
          <w:szCs w:val="22"/>
          <w:vertAlign w:val="superscript"/>
          <w:lang w:val="en-GB"/>
        </w:rPr>
        <w:t>12</w:t>
      </w:r>
      <w:r w:rsidRPr="00494A5D">
        <w:rPr>
          <w:rFonts w:ascii="Arial" w:hAnsi="Arial" w:cs="Arial"/>
          <w:sz w:val="22"/>
          <w:szCs w:val="22"/>
          <w:lang w:val="en-GB"/>
        </w:rPr>
        <w:t xml:space="preserve"> John Frater,</w:t>
      </w:r>
      <w:r w:rsidRPr="00494A5D">
        <w:rPr>
          <w:rFonts w:ascii="Arial" w:hAnsi="Arial" w:cs="Arial"/>
          <w:sz w:val="22"/>
          <w:szCs w:val="22"/>
          <w:vertAlign w:val="superscript"/>
          <w:lang w:val="en-GB"/>
        </w:rPr>
        <w:t>13</w:t>
      </w:r>
      <w:r w:rsidRPr="00494A5D">
        <w:rPr>
          <w:rFonts w:ascii="Arial" w:hAnsi="Arial" w:cs="Arial"/>
          <w:sz w:val="22"/>
          <w:szCs w:val="22"/>
          <w:lang w:val="en-GB"/>
        </w:rPr>
        <w:t xml:space="preserve"> Julie Fox,</w:t>
      </w:r>
      <w:r w:rsidRPr="00494A5D">
        <w:rPr>
          <w:rFonts w:ascii="Arial" w:hAnsi="Arial" w:cs="Arial"/>
          <w:sz w:val="22"/>
          <w:szCs w:val="22"/>
          <w:vertAlign w:val="superscript"/>
          <w:lang w:val="en-GB"/>
        </w:rPr>
        <w:t>1,14</w:t>
      </w:r>
      <w:r w:rsidRPr="00494A5D">
        <w:rPr>
          <w:rFonts w:ascii="Arial" w:hAnsi="Arial" w:cs="Arial"/>
          <w:sz w:val="22"/>
          <w:szCs w:val="22"/>
          <w:lang w:val="en-GB"/>
        </w:rPr>
        <w:t xml:space="preserve"> Katie J. Doores</w:t>
      </w:r>
      <w:r w:rsidRPr="00494A5D">
        <w:rPr>
          <w:rFonts w:ascii="Arial" w:hAnsi="Arial" w:cs="Arial"/>
          <w:sz w:val="22"/>
          <w:szCs w:val="22"/>
          <w:vertAlign w:val="superscript"/>
          <w:lang w:val="en-GB"/>
        </w:rPr>
        <w:t>1</w:t>
      </w:r>
      <w:r w:rsidRPr="00494A5D">
        <w:rPr>
          <w:rFonts w:ascii="Arial" w:hAnsi="Arial" w:cs="Arial"/>
          <w:sz w:val="22"/>
          <w:szCs w:val="22"/>
          <w:lang w:val="en-GB"/>
        </w:rPr>
        <w:t>* and the SPARTAC Trial Investigators</w:t>
      </w:r>
    </w:p>
    <w:p w14:paraId="08CB6B29" w14:textId="4510868F" w:rsidR="002E2B5C" w:rsidRDefault="002E2B5C">
      <w:pPr>
        <w:rPr>
          <w:rFonts w:ascii="Arial" w:hAnsi="Arial" w:cs="Arial"/>
          <w:sz w:val="22"/>
          <w:szCs w:val="22"/>
          <w:lang w:val="en-GB"/>
        </w:rPr>
      </w:pPr>
    </w:p>
    <w:p w14:paraId="2606E66E" w14:textId="71C2D290" w:rsidR="002E2B5C" w:rsidRDefault="002E2B5C">
      <w:pPr>
        <w:rPr>
          <w:rFonts w:ascii="Arial" w:hAnsi="Arial" w:cs="Arial"/>
          <w:sz w:val="22"/>
          <w:szCs w:val="22"/>
          <w:lang w:val="en-GB"/>
        </w:rPr>
      </w:pPr>
    </w:p>
    <w:p w14:paraId="5A14DEE3" w14:textId="6DB79EFA" w:rsidR="002E2B5C" w:rsidRDefault="002E2B5C">
      <w:pPr>
        <w:rPr>
          <w:rFonts w:ascii="Arial" w:hAnsi="Arial" w:cs="Arial"/>
          <w:sz w:val="22"/>
          <w:szCs w:val="22"/>
          <w:lang w:val="en-GB"/>
        </w:rPr>
      </w:pPr>
    </w:p>
    <w:p w14:paraId="385AC7F8" w14:textId="0DB64558" w:rsidR="002E2B5C" w:rsidRDefault="002E2B5C">
      <w:pPr>
        <w:rPr>
          <w:rFonts w:ascii="Arial" w:hAnsi="Arial" w:cs="Arial"/>
          <w:sz w:val="22"/>
          <w:szCs w:val="22"/>
          <w:lang w:val="en-GB"/>
        </w:rPr>
      </w:pPr>
    </w:p>
    <w:p w14:paraId="248F090D" w14:textId="003FA66A" w:rsidR="002E2B5C" w:rsidRPr="003142FF" w:rsidRDefault="00906FC8" w:rsidP="00C106D6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3142FF">
        <w:rPr>
          <w:rFonts w:ascii="Arial" w:hAnsi="Arial" w:cs="Arial"/>
          <w:b/>
          <w:bCs/>
          <w:sz w:val="22"/>
          <w:szCs w:val="22"/>
          <w:lang w:val="en-GB"/>
        </w:rPr>
        <w:t>Supplemental Tables S1-S6</w:t>
      </w:r>
      <w:r w:rsidR="008431D5">
        <w:rPr>
          <w:rFonts w:ascii="Arial" w:hAnsi="Arial" w:cs="Arial"/>
          <w:b/>
          <w:bCs/>
          <w:sz w:val="22"/>
          <w:szCs w:val="22"/>
          <w:lang w:val="en-GB"/>
        </w:rPr>
        <w:t>.</w:t>
      </w:r>
    </w:p>
    <w:p w14:paraId="253C6451" w14:textId="77777777" w:rsidR="002E2B5C" w:rsidRDefault="002E2B5C" w:rsidP="00C106D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AF24AFE" w14:textId="07ED3408" w:rsidR="001F23DE" w:rsidRDefault="001F23DE" w:rsidP="00C106D6">
      <w:pPr>
        <w:spacing w:line="48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31F1DAF1" w14:textId="266926B2" w:rsidR="00CD5ECD" w:rsidRDefault="00CD5ECD" w:rsidP="00C106D6">
      <w:pPr>
        <w:spacing w:line="48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2AFE37A8" w14:textId="75A9FC53" w:rsidR="00CD5ECD" w:rsidRDefault="00CD5ECD" w:rsidP="00C106D6">
      <w:pPr>
        <w:spacing w:line="48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1BB80C0F" w14:textId="77777777" w:rsidR="00CD5ECD" w:rsidRPr="00D466B6" w:rsidRDefault="00CD5ECD" w:rsidP="00C106D6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Table S1: Neutralization of 6-virus panel and clinical data for control arm of SPARTAC cohort.</w:t>
      </w:r>
      <w:r>
        <w:rPr>
          <w:rFonts w:ascii="Arial" w:hAnsi="Arial" w:cs="Arial"/>
          <w:sz w:val="22"/>
          <w:szCs w:val="22"/>
          <w:lang w:val="en-GB"/>
        </w:rPr>
        <w:t xml:space="preserve"> Neutralization breadth was measured on a cross-clade 6-virus indicator panel and this data was used to calculate a neutralization score (</w:t>
      </w:r>
      <w:proofErr w:type="spellStart"/>
      <w:r>
        <w:rPr>
          <w:rFonts w:ascii="Arial" w:hAnsi="Arial" w:cs="Arial"/>
          <w:sz w:val="22"/>
          <w:szCs w:val="22"/>
          <w:lang w:val="en-GB"/>
        </w:rPr>
        <w:t>Neut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Score, see methods). The ID</w:t>
      </w:r>
      <w:r w:rsidRPr="00472746">
        <w:rPr>
          <w:rFonts w:ascii="Arial" w:hAnsi="Arial" w:cs="Arial"/>
          <w:sz w:val="22"/>
          <w:szCs w:val="22"/>
          <w:vertAlign w:val="subscript"/>
          <w:lang w:val="en-GB"/>
        </w:rPr>
        <w:t>50</w:t>
      </w:r>
      <w:r>
        <w:rPr>
          <w:rFonts w:ascii="Arial" w:hAnsi="Arial" w:cs="Arial"/>
          <w:sz w:val="22"/>
          <w:szCs w:val="22"/>
          <w:lang w:val="en-GB"/>
        </w:rPr>
        <w:t xml:space="preserve"> values are colour coded based on potency. Data also reported includes weeks post recruitment, geometric mean ID</w:t>
      </w:r>
      <w:r w:rsidRPr="006C1B7B">
        <w:rPr>
          <w:rFonts w:ascii="Arial" w:hAnsi="Arial" w:cs="Arial"/>
          <w:sz w:val="22"/>
          <w:szCs w:val="22"/>
          <w:vertAlign w:val="subscript"/>
          <w:lang w:val="en-GB"/>
        </w:rPr>
        <w:t>50</w:t>
      </w:r>
      <w:r>
        <w:rPr>
          <w:rFonts w:ascii="Arial" w:hAnsi="Arial" w:cs="Arial"/>
          <w:sz w:val="22"/>
          <w:szCs w:val="22"/>
          <w:lang w:val="en-GB"/>
        </w:rPr>
        <w:t xml:space="preserve">, sex, transmission route (HSW, MSM, MSW), location (UK, Australia (AU), Italy (IT), Brazil (BR), South Africa (SA)), HIV-1 clade, viral load (RNA copies/mL) and CD4 count (per mL) at recruitment, setpoint and the time neutralization was measured. </w:t>
      </w:r>
    </w:p>
    <w:p w14:paraId="1541E342" w14:textId="77777777" w:rsidR="00CD5ECD" w:rsidRDefault="00CD5ECD" w:rsidP="00C106D6">
      <w:pPr>
        <w:spacing w:line="48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6801C0F4" w14:textId="4419FDE8" w:rsidR="001F23DE" w:rsidRDefault="00C44E3E" w:rsidP="00C106D6">
      <w:pPr>
        <w:spacing w:line="48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C44E3E">
        <w:rPr>
          <w:rFonts w:ascii="Arial" w:hAnsi="Arial" w:cs="Arial"/>
          <w:noProof/>
          <w:sz w:val="22"/>
          <w:szCs w:val="22"/>
          <w:lang w:val="en-GB"/>
        </w:rPr>
        <w:lastRenderedPageBreak/>
        <w:drawing>
          <wp:inline distT="0" distB="0" distL="0" distR="0" wp14:anchorId="342E979B" wp14:editId="49D294DA">
            <wp:extent cx="7637714" cy="5295595"/>
            <wp:effectExtent l="254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659150" cy="5310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C5338" w14:textId="77777777" w:rsidR="00D466B6" w:rsidRDefault="00D466B6" w:rsidP="00C106D6">
      <w:pPr>
        <w:spacing w:line="48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50C2C23C" w14:textId="77777777" w:rsidR="00E47EE6" w:rsidRDefault="00E47EE6" w:rsidP="00C106D6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br w:type="page"/>
      </w:r>
    </w:p>
    <w:p w14:paraId="5E41780C" w14:textId="77777777" w:rsidR="00E47EE6" w:rsidRDefault="00E47EE6" w:rsidP="00C106D6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lastRenderedPageBreak/>
        <w:t>Table</w:t>
      </w:r>
      <w:r w:rsidRPr="007C60A0">
        <w:rPr>
          <w:rFonts w:ascii="Arial" w:hAnsi="Arial" w:cs="Arial"/>
          <w:b/>
          <w:bCs/>
          <w:sz w:val="22"/>
          <w:szCs w:val="22"/>
          <w:lang w:val="en-GB"/>
        </w:rPr>
        <w:t xml:space="preserve"> S</w:t>
      </w:r>
      <w:r>
        <w:rPr>
          <w:rFonts w:ascii="Arial" w:hAnsi="Arial" w:cs="Arial"/>
          <w:b/>
          <w:bCs/>
          <w:sz w:val="22"/>
          <w:szCs w:val="22"/>
          <w:lang w:val="en-GB"/>
        </w:rPr>
        <w:t>2</w:t>
      </w:r>
      <w:r w:rsidRPr="007C60A0">
        <w:rPr>
          <w:rFonts w:ascii="Arial" w:hAnsi="Arial" w:cs="Arial"/>
          <w:b/>
          <w:bCs/>
          <w:sz w:val="22"/>
          <w:szCs w:val="22"/>
          <w:lang w:val="en-GB"/>
        </w:rPr>
        <w:t>: Multivariate analysis.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7C60A0">
        <w:rPr>
          <w:rFonts w:ascii="Arial" w:hAnsi="Arial" w:cs="Arial"/>
          <w:sz w:val="22"/>
          <w:szCs w:val="22"/>
          <w:lang w:val="en-GB"/>
        </w:rPr>
        <w:t xml:space="preserve">A) Correlation of neutralization score versus </w:t>
      </w:r>
      <w:r>
        <w:rPr>
          <w:rFonts w:ascii="Arial" w:hAnsi="Arial" w:cs="Arial"/>
          <w:sz w:val="22"/>
          <w:szCs w:val="22"/>
          <w:lang w:val="en-GB"/>
        </w:rPr>
        <w:t>week post infection (WPI)</w:t>
      </w:r>
      <w:r w:rsidRPr="007C60A0">
        <w:rPr>
          <w:rFonts w:ascii="Arial" w:hAnsi="Arial" w:cs="Arial"/>
          <w:sz w:val="22"/>
          <w:szCs w:val="22"/>
          <w:lang w:val="en-GB"/>
        </w:rPr>
        <w:t xml:space="preserve">, time in years to </w:t>
      </w:r>
      <w:r>
        <w:rPr>
          <w:rFonts w:ascii="Arial" w:hAnsi="Arial" w:cs="Arial"/>
          <w:sz w:val="22"/>
          <w:szCs w:val="22"/>
          <w:lang w:val="en-GB"/>
        </w:rPr>
        <w:t>initiation of anti-retroviral therapy (</w:t>
      </w:r>
      <w:r w:rsidRPr="007C60A0">
        <w:rPr>
          <w:rFonts w:ascii="Arial" w:hAnsi="Arial" w:cs="Arial"/>
          <w:sz w:val="22"/>
          <w:szCs w:val="22"/>
          <w:lang w:val="en-GB"/>
        </w:rPr>
        <w:t>ART</w:t>
      </w:r>
      <w:r>
        <w:rPr>
          <w:rFonts w:ascii="Arial" w:hAnsi="Arial" w:cs="Arial"/>
          <w:sz w:val="22"/>
          <w:szCs w:val="22"/>
          <w:lang w:val="en-GB"/>
        </w:rPr>
        <w:t>)</w:t>
      </w:r>
      <w:r w:rsidRPr="007C60A0">
        <w:rPr>
          <w:rFonts w:ascii="Arial" w:hAnsi="Arial" w:cs="Arial"/>
          <w:sz w:val="22"/>
          <w:szCs w:val="22"/>
          <w:lang w:val="en-GB"/>
        </w:rPr>
        <w:t xml:space="preserve"> and logarithmic viral load at neutralizatio</w:t>
      </w:r>
      <w:r>
        <w:rPr>
          <w:rFonts w:ascii="Arial" w:hAnsi="Arial" w:cs="Arial"/>
          <w:sz w:val="22"/>
          <w:szCs w:val="22"/>
          <w:lang w:val="en-GB"/>
        </w:rPr>
        <w:t>n measurement</w:t>
      </w:r>
      <w:r w:rsidRPr="007C60A0">
        <w:rPr>
          <w:rFonts w:ascii="Arial" w:hAnsi="Arial" w:cs="Arial"/>
          <w:sz w:val="22"/>
          <w:szCs w:val="22"/>
          <w:lang w:val="en-GB"/>
        </w:rPr>
        <w:t xml:space="preserve"> and </w:t>
      </w:r>
      <w:r>
        <w:rPr>
          <w:rFonts w:ascii="Arial" w:hAnsi="Arial" w:cs="Arial"/>
          <w:sz w:val="22"/>
          <w:szCs w:val="22"/>
          <w:lang w:val="en-GB"/>
        </w:rPr>
        <w:t xml:space="preserve">at </w:t>
      </w:r>
      <w:r w:rsidRPr="007C60A0">
        <w:rPr>
          <w:rFonts w:ascii="Arial" w:hAnsi="Arial" w:cs="Arial"/>
          <w:sz w:val="22"/>
          <w:szCs w:val="22"/>
          <w:lang w:val="en-GB"/>
        </w:rPr>
        <w:t xml:space="preserve">recruitment to trial. Reported are </w:t>
      </w:r>
      <w:r>
        <w:rPr>
          <w:rFonts w:ascii="Arial" w:hAnsi="Arial" w:cs="Arial"/>
          <w:sz w:val="22"/>
          <w:szCs w:val="22"/>
          <w:lang w:val="en-GB"/>
        </w:rPr>
        <w:t>E</w:t>
      </w:r>
      <w:r w:rsidRPr="007C60A0">
        <w:rPr>
          <w:rFonts w:ascii="Arial" w:hAnsi="Arial" w:cs="Arial"/>
          <w:sz w:val="22"/>
          <w:szCs w:val="22"/>
          <w:lang w:val="en-GB"/>
        </w:rPr>
        <w:t xml:space="preserve">stimate, </w:t>
      </w:r>
      <w:r>
        <w:rPr>
          <w:rFonts w:ascii="Arial" w:hAnsi="Arial" w:cs="Arial"/>
          <w:sz w:val="22"/>
          <w:szCs w:val="22"/>
          <w:lang w:val="en-GB"/>
        </w:rPr>
        <w:t>S</w:t>
      </w:r>
      <w:r w:rsidRPr="007C60A0">
        <w:rPr>
          <w:rFonts w:ascii="Arial" w:hAnsi="Arial" w:cs="Arial"/>
          <w:sz w:val="22"/>
          <w:szCs w:val="22"/>
          <w:lang w:val="en-GB"/>
        </w:rPr>
        <w:t xml:space="preserve">tandard (Std.) error, p- and </w:t>
      </w:r>
      <w:r w:rsidRPr="007C60A0">
        <w:rPr>
          <w:rFonts w:ascii="Arial" w:hAnsi="Arial" w:cs="Arial"/>
          <w:i/>
          <w:iCs/>
          <w:sz w:val="22"/>
          <w:szCs w:val="22"/>
          <w:lang w:val="en-GB"/>
        </w:rPr>
        <w:t>r</w:t>
      </w:r>
      <w:r w:rsidRPr="007C60A0">
        <w:rPr>
          <w:rFonts w:ascii="Arial" w:hAnsi="Arial" w:cs="Arial"/>
          <w:i/>
          <w:iCs/>
          <w:sz w:val="22"/>
          <w:szCs w:val="22"/>
          <w:vertAlign w:val="superscript"/>
          <w:lang w:val="en-GB"/>
        </w:rPr>
        <w:t>2</w:t>
      </w:r>
      <w:r w:rsidRPr="007C60A0">
        <w:rPr>
          <w:rFonts w:ascii="Arial" w:hAnsi="Arial" w:cs="Arial"/>
          <w:i/>
          <w:iCs/>
          <w:sz w:val="22"/>
          <w:szCs w:val="22"/>
          <w:lang w:val="en-GB"/>
        </w:rPr>
        <w:t>-</w:t>
      </w:r>
      <w:r w:rsidRPr="007C60A0">
        <w:rPr>
          <w:rFonts w:ascii="Arial" w:hAnsi="Arial" w:cs="Arial"/>
          <w:sz w:val="22"/>
          <w:szCs w:val="22"/>
          <w:lang w:val="en-GB"/>
        </w:rPr>
        <w:t>vales for univariate and multivariate analysis. B) Correlation of neutralization score versus WPI and logarithmic viral load at neutralization</w:t>
      </w:r>
      <w:r>
        <w:rPr>
          <w:rFonts w:ascii="Arial" w:hAnsi="Arial" w:cs="Arial"/>
          <w:sz w:val="22"/>
          <w:szCs w:val="22"/>
          <w:lang w:val="en-GB"/>
        </w:rPr>
        <w:t xml:space="preserve"> measurement</w:t>
      </w:r>
      <w:r w:rsidRPr="007C60A0">
        <w:rPr>
          <w:rFonts w:ascii="Arial" w:hAnsi="Arial" w:cs="Arial"/>
          <w:sz w:val="22"/>
          <w:szCs w:val="22"/>
          <w:lang w:val="en-GB"/>
        </w:rPr>
        <w:t xml:space="preserve">. Reported are Estimate, </w:t>
      </w:r>
      <w:r>
        <w:rPr>
          <w:rFonts w:ascii="Arial" w:hAnsi="Arial" w:cs="Arial"/>
          <w:sz w:val="22"/>
          <w:szCs w:val="22"/>
          <w:lang w:val="en-GB"/>
        </w:rPr>
        <w:t>S</w:t>
      </w:r>
      <w:r w:rsidRPr="007C60A0">
        <w:rPr>
          <w:rFonts w:ascii="Arial" w:hAnsi="Arial" w:cs="Arial"/>
          <w:sz w:val="22"/>
          <w:szCs w:val="22"/>
          <w:lang w:val="en-GB"/>
        </w:rPr>
        <w:t xml:space="preserve">tandard (Std.) error, p- and </w:t>
      </w:r>
      <w:r w:rsidRPr="007C60A0">
        <w:rPr>
          <w:rFonts w:ascii="Arial" w:hAnsi="Arial" w:cs="Arial"/>
          <w:i/>
          <w:iCs/>
          <w:sz w:val="22"/>
          <w:szCs w:val="22"/>
          <w:lang w:val="en-GB"/>
        </w:rPr>
        <w:t>r</w:t>
      </w:r>
      <w:r w:rsidRPr="007C60A0">
        <w:rPr>
          <w:rFonts w:ascii="Arial" w:hAnsi="Arial" w:cs="Arial"/>
          <w:i/>
          <w:iCs/>
          <w:sz w:val="22"/>
          <w:szCs w:val="22"/>
          <w:vertAlign w:val="superscript"/>
          <w:lang w:val="en-GB"/>
        </w:rPr>
        <w:t>2</w:t>
      </w:r>
      <w:r w:rsidRPr="007C60A0">
        <w:rPr>
          <w:rFonts w:ascii="Arial" w:hAnsi="Arial" w:cs="Arial"/>
          <w:sz w:val="22"/>
          <w:szCs w:val="22"/>
          <w:lang w:val="en-GB"/>
        </w:rPr>
        <w:t>-vales for univariate and multivariate analysis.</w:t>
      </w:r>
    </w:p>
    <w:p w14:paraId="728051B9" w14:textId="77777777" w:rsidR="00E47EE6" w:rsidRDefault="00E47EE6" w:rsidP="00C106D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3F072A8" w14:textId="77777777" w:rsidR="00E47EE6" w:rsidRDefault="00E47EE6" w:rsidP="00C106D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86EF355" w14:textId="3FCC1939" w:rsidR="003F3849" w:rsidRDefault="003F3849" w:rsidP="00C106D6">
      <w:pPr>
        <w:jc w:val="both"/>
        <w:rPr>
          <w:rFonts w:ascii="Arial" w:hAnsi="Arial" w:cs="Arial"/>
          <w:sz w:val="22"/>
          <w:szCs w:val="22"/>
          <w:lang w:val="en-GB"/>
        </w:rPr>
      </w:pPr>
      <w:r w:rsidRPr="001F23DE">
        <w:rPr>
          <w:noProof/>
        </w:rPr>
        <w:drawing>
          <wp:anchor distT="0" distB="0" distL="114300" distR="114300" simplePos="0" relativeHeight="251659264" behindDoc="0" locked="0" layoutInCell="1" allowOverlap="1" wp14:anchorId="4C8D110C" wp14:editId="75B23A03">
            <wp:simplePos x="0" y="0"/>
            <wp:positionH relativeFrom="column">
              <wp:posOffset>0</wp:posOffset>
            </wp:positionH>
            <wp:positionV relativeFrom="paragraph">
              <wp:posOffset>221129</wp:posOffset>
            </wp:positionV>
            <wp:extent cx="5727700" cy="541020"/>
            <wp:effectExtent l="0" t="0" r="0" b="5080"/>
            <wp:wrapSquare wrapText="bothSides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8E7187D8-9528-1644-959E-7B40815E676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8E7187D8-9528-1644-959E-7B40815E676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2"/>
          <w:szCs w:val="22"/>
          <w:lang w:val="en-GB"/>
        </w:rPr>
        <w:t>A</w:t>
      </w:r>
    </w:p>
    <w:p w14:paraId="2D05BB23" w14:textId="5FB3D81E" w:rsidR="003F3849" w:rsidRDefault="003F3849" w:rsidP="00C106D6">
      <w:pPr>
        <w:spacing w:line="48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0B2A0618" w14:textId="1176D7DC" w:rsidR="001F23DE" w:rsidRDefault="003F3849" w:rsidP="00C106D6">
      <w:pPr>
        <w:spacing w:line="48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1F23DE">
        <w:rPr>
          <w:noProof/>
        </w:rPr>
        <w:drawing>
          <wp:anchor distT="0" distB="0" distL="114300" distR="114300" simplePos="0" relativeHeight="251660288" behindDoc="0" locked="0" layoutInCell="1" allowOverlap="1" wp14:anchorId="0DCCC102" wp14:editId="70E5E0B5">
            <wp:simplePos x="0" y="0"/>
            <wp:positionH relativeFrom="column">
              <wp:posOffset>0</wp:posOffset>
            </wp:positionH>
            <wp:positionV relativeFrom="paragraph">
              <wp:posOffset>199129</wp:posOffset>
            </wp:positionV>
            <wp:extent cx="5727700" cy="327025"/>
            <wp:effectExtent l="0" t="0" r="0" b="3175"/>
            <wp:wrapSquare wrapText="bothSides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F04F85DB-7F0D-F141-B8A6-C08772298B5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F04F85DB-7F0D-F141-B8A6-C08772298B5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2"/>
          <w:szCs w:val="22"/>
          <w:lang w:val="en-GB"/>
        </w:rPr>
        <w:t>B</w:t>
      </w:r>
    </w:p>
    <w:p w14:paraId="1F4D267E" w14:textId="39A20FCB" w:rsidR="001F23DE" w:rsidRDefault="001F23DE" w:rsidP="00C106D6">
      <w:pPr>
        <w:spacing w:line="48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40DAE1E0" w14:textId="281824B2" w:rsidR="00D35058" w:rsidRDefault="00D35058" w:rsidP="00C106D6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290C54D9" w14:textId="77777777" w:rsidR="001605C5" w:rsidRDefault="001605C5" w:rsidP="00C106D6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3A6A9784" w14:textId="77777777" w:rsidR="00CF32A7" w:rsidRDefault="00CF32A7" w:rsidP="00C106D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00AC546F" w14:textId="3CE821AF" w:rsidR="005C4A6C" w:rsidRDefault="003430D4" w:rsidP="00C106D6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Table S3: Epitope mapping for glycan-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dependant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bnAb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epitopes.</w:t>
      </w:r>
      <w:r w:rsidR="005C4A6C" w:rsidRPr="005C4A6C">
        <w:rPr>
          <w:rFonts w:ascii="Arial" w:hAnsi="Arial"/>
          <w:sz w:val="22"/>
          <w:szCs w:val="22"/>
        </w:rPr>
        <w:t xml:space="preserve"> </w:t>
      </w:r>
      <w:r w:rsidR="005C4A6C">
        <w:rPr>
          <w:rFonts w:ascii="Arial" w:hAnsi="Arial"/>
          <w:sz w:val="22"/>
          <w:szCs w:val="22"/>
        </w:rPr>
        <w:t>Fold changes in ID</w:t>
      </w:r>
      <w:r w:rsidR="005C4A6C" w:rsidRPr="00C106D6">
        <w:rPr>
          <w:rFonts w:ascii="Arial" w:hAnsi="Arial"/>
          <w:sz w:val="22"/>
          <w:szCs w:val="22"/>
          <w:vertAlign w:val="subscript"/>
        </w:rPr>
        <w:t>50</w:t>
      </w:r>
      <w:r w:rsidR="005C4A6C">
        <w:rPr>
          <w:rFonts w:ascii="Arial" w:hAnsi="Arial"/>
          <w:sz w:val="22"/>
          <w:szCs w:val="22"/>
        </w:rPr>
        <w:t xml:space="preserve"> for mutant viruses compared to wild-type virus are reported. </w:t>
      </w:r>
      <w:r w:rsidR="005C4A6C" w:rsidRPr="006D7D7A">
        <w:rPr>
          <w:rFonts w:ascii="Arial" w:hAnsi="Arial" w:cs="Arial"/>
          <w:sz w:val="22"/>
          <w:szCs w:val="22"/>
        </w:rPr>
        <w:t xml:space="preserve">+ indicates neutralization of one virus decreased </w:t>
      </w:r>
      <w:proofErr w:type="gramStart"/>
      <w:r w:rsidR="005C4A6C" w:rsidRPr="006D7D7A">
        <w:rPr>
          <w:rFonts w:ascii="Arial" w:hAnsi="Arial" w:cs="Arial"/>
          <w:sz w:val="22"/>
          <w:szCs w:val="22"/>
        </w:rPr>
        <w:t>3-5 fold</w:t>
      </w:r>
      <w:proofErr w:type="gramEnd"/>
      <w:r w:rsidR="005C4A6C" w:rsidRPr="006D7D7A">
        <w:rPr>
          <w:rFonts w:ascii="Arial" w:hAnsi="Arial" w:cs="Arial"/>
          <w:sz w:val="22"/>
          <w:szCs w:val="22"/>
        </w:rPr>
        <w:t xml:space="preserve">, ++ indicates </w:t>
      </w:r>
      <m:oMath>
        <m:r>
          <w:rPr>
            <w:rFonts w:ascii="Cambria Math" w:hAnsi="Cambria Math" w:cs="Arial"/>
            <w:sz w:val="22"/>
            <w:szCs w:val="22"/>
          </w:rPr>
          <m:t>≥</m:t>
        </m:r>
      </m:oMath>
      <w:r w:rsidR="005C4A6C" w:rsidRPr="006D7D7A">
        <w:rPr>
          <w:rFonts w:ascii="Arial" w:eastAsiaTheme="minorEastAsia" w:hAnsi="Arial" w:cs="Arial"/>
          <w:sz w:val="22"/>
          <w:szCs w:val="22"/>
        </w:rPr>
        <w:t xml:space="preserve">2 viurses decreased </w:t>
      </w:r>
      <w:r w:rsidR="005C4A6C" w:rsidRPr="006D7D7A">
        <w:rPr>
          <w:rFonts w:ascii="Arial" w:hAnsi="Arial" w:cs="Arial"/>
          <w:sz w:val="22"/>
          <w:szCs w:val="22"/>
        </w:rPr>
        <w:t xml:space="preserve">3-5-fold, +++ indicates </w:t>
      </w:r>
      <m:oMath>
        <m:r>
          <w:rPr>
            <w:rFonts w:ascii="Cambria Math" w:hAnsi="Cambria Math" w:cs="Arial"/>
            <w:sz w:val="22"/>
            <w:szCs w:val="22"/>
          </w:rPr>
          <m:t>≥</m:t>
        </m:r>
      </m:oMath>
      <w:r w:rsidR="005C4A6C" w:rsidRPr="006D7D7A">
        <w:rPr>
          <w:rFonts w:ascii="Arial" w:hAnsi="Arial" w:cs="Arial"/>
          <w:sz w:val="22"/>
          <w:szCs w:val="22"/>
        </w:rPr>
        <w:t>5-fold decrease for at least 2 viruses with glycan site deletion.</w:t>
      </w:r>
      <w:r w:rsidR="005C4A6C">
        <w:rPr>
          <w:rFonts w:ascii="Arial" w:hAnsi="Arial" w:cs="Arial"/>
          <w:sz w:val="22"/>
          <w:szCs w:val="22"/>
        </w:rPr>
        <w:t xml:space="preserve"> </w:t>
      </w:r>
    </w:p>
    <w:p w14:paraId="156BF59B" w14:textId="3061027A" w:rsidR="005C4A6C" w:rsidRDefault="00070A7A" w:rsidP="00520BD3">
      <w:pPr>
        <w:spacing w:line="480" w:lineRule="auto"/>
        <w:jc w:val="center"/>
        <w:rPr>
          <w:rFonts w:ascii="Arial" w:hAnsi="Arial"/>
          <w:sz w:val="22"/>
          <w:szCs w:val="22"/>
        </w:rPr>
      </w:pPr>
      <w:r w:rsidRPr="00520BD3">
        <w:rPr>
          <w:rFonts w:ascii="Arial" w:hAnsi="Arial"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7011CF28" wp14:editId="4FD0B6F5">
            <wp:simplePos x="0" y="0"/>
            <wp:positionH relativeFrom="column">
              <wp:posOffset>-2759710</wp:posOffset>
            </wp:positionH>
            <wp:positionV relativeFrom="paragraph">
              <wp:posOffset>1492250</wp:posOffset>
            </wp:positionV>
            <wp:extent cx="7442200" cy="1874520"/>
            <wp:effectExtent l="2540" t="0" r="2540" b="254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442200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15C270" w14:textId="77777777" w:rsidR="00070A7A" w:rsidRDefault="00070A7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5B83B793" w14:textId="774BD270" w:rsidR="005C4A6C" w:rsidRDefault="00C106D6" w:rsidP="00C10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06D6">
        <w:rPr>
          <w:rFonts w:ascii="Arial" w:hAnsi="Arial" w:cs="Arial"/>
          <w:b/>
          <w:bCs/>
          <w:sz w:val="22"/>
          <w:szCs w:val="22"/>
        </w:rPr>
        <w:lastRenderedPageBreak/>
        <w:t xml:space="preserve">Table S4: MPER peptide competition </w:t>
      </w:r>
      <w:r w:rsidR="00120086">
        <w:rPr>
          <w:rFonts w:ascii="Arial" w:hAnsi="Arial" w:cs="Arial"/>
          <w:b/>
          <w:bCs/>
          <w:sz w:val="22"/>
          <w:szCs w:val="22"/>
        </w:rPr>
        <w:t>for</w:t>
      </w:r>
      <w:r w:rsidRPr="00C106D6">
        <w:rPr>
          <w:rFonts w:ascii="Arial" w:hAnsi="Arial" w:cs="Arial"/>
          <w:b/>
          <w:bCs/>
          <w:sz w:val="22"/>
          <w:szCs w:val="22"/>
        </w:rPr>
        <w:t xml:space="preserve"> neutral</w:t>
      </w:r>
      <w:r w:rsidR="00FE3855">
        <w:rPr>
          <w:rFonts w:ascii="Arial" w:hAnsi="Arial" w:cs="Arial"/>
          <w:b/>
          <w:bCs/>
          <w:sz w:val="22"/>
          <w:szCs w:val="22"/>
        </w:rPr>
        <w:t>iz</w:t>
      </w:r>
      <w:r w:rsidRPr="00C106D6">
        <w:rPr>
          <w:rFonts w:ascii="Arial" w:hAnsi="Arial" w:cs="Arial"/>
          <w:b/>
          <w:bCs/>
          <w:sz w:val="22"/>
          <w:szCs w:val="22"/>
        </w:rPr>
        <w:t>ation.</w:t>
      </w:r>
      <w:r w:rsidRPr="00C106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</w:t>
      </w:r>
      <w:r w:rsidRPr="00C106D6">
        <w:rPr>
          <w:rFonts w:ascii="Arial" w:hAnsi="Arial" w:cs="Arial"/>
          <w:sz w:val="22"/>
          <w:szCs w:val="22"/>
        </w:rPr>
        <w:t xml:space="preserve">old-decrease </w:t>
      </w:r>
      <w:r>
        <w:rPr>
          <w:rFonts w:ascii="Arial" w:hAnsi="Arial" w:cs="Arial"/>
          <w:sz w:val="22"/>
          <w:szCs w:val="22"/>
        </w:rPr>
        <w:t>in plasma</w:t>
      </w:r>
      <w:r w:rsidRPr="00C106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neutralization (ID</w:t>
      </w:r>
      <w:r w:rsidRPr="00C106D6">
        <w:rPr>
          <w:rFonts w:ascii="Arial" w:hAnsi="Arial" w:cs="Arial"/>
          <w:sz w:val="22"/>
          <w:szCs w:val="22"/>
          <w:vertAlign w:val="subscript"/>
        </w:rPr>
        <w:t>50</w:t>
      </w:r>
      <w:r>
        <w:rPr>
          <w:rFonts w:ascii="Arial" w:hAnsi="Arial" w:cs="Arial"/>
          <w:sz w:val="22"/>
          <w:szCs w:val="22"/>
        </w:rPr>
        <w:t>)</w:t>
      </w:r>
      <w:r w:rsidRPr="00C106D6">
        <w:rPr>
          <w:rFonts w:ascii="Arial" w:hAnsi="Arial" w:cs="Arial"/>
          <w:sz w:val="22"/>
          <w:szCs w:val="22"/>
        </w:rPr>
        <w:t xml:space="preserve"> when competed with MPER peptide. + indicates a decrease in plasma neutral</w:t>
      </w:r>
      <w:r w:rsidR="00FE3855">
        <w:rPr>
          <w:rFonts w:ascii="Arial" w:hAnsi="Arial" w:cs="Arial"/>
          <w:sz w:val="22"/>
          <w:szCs w:val="22"/>
        </w:rPr>
        <w:t>iz</w:t>
      </w:r>
      <w:r w:rsidRPr="00C106D6">
        <w:rPr>
          <w:rFonts w:ascii="Arial" w:hAnsi="Arial" w:cs="Arial"/>
          <w:sz w:val="22"/>
          <w:szCs w:val="22"/>
        </w:rPr>
        <w:t xml:space="preserve">ation potency of </w:t>
      </w:r>
      <m:oMath>
        <m:r>
          <w:rPr>
            <w:rFonts w:ascii="Cambria Math" w:hAnsi="Cambria Math" w:cs="Arial"/>
            <w:sz w:val="22"/>
            <w:szCs w:val="22"/>
          </w:rPr>
          <m:t>≥</m:t>
        </m:r>
      </m:oMath>
      <w:r w:rsidRPr="00C106D6">
        <w:rPr>
          <w:rFonts w:ascii="Arial" w:hAnsi="Arial" w:cs="Arial"/>
          <w:sz w:val="22"/>
          <w:szCs w:val="22"/>
        </w:rPr>
        <w:t>3-fold when competed with soluble MPER peptide. The virus</w:t>
      </w:r>
      <w:r>
        <w:rPr>
          <w:rFonts w:ascii="Arial" w:hAnsi="Arial" w:cs="Arial"/>
          <w:sz w:val="22"/>
          <w:szCs w:val="22"/>
        </w:rPr>
        <w:t>es</w:t>
      </w:r>
      <w:r w:rsidRPr="00C106D6">
        <w:rPr>
          <w:rFonts w:ascii="Arial" w:hAnsi="Arial" w:cs="Arial"/>
          <w:sz w:val="22"/>
          <w:szCs w:val="22"/>
        </w:rPr>
        <w:t xml:space="preserve"> used in this assay w</w:t>
      </w:r>
      <w:r>
        <w:rPr>
          <w:rFonts w:ascii="Arial" w:hAnsi="Arial" w:cs="Arial"/>
          <w:sz w:val="22"/>
          <w:szCs w:val="22"/>
        </w:rPr>
        <w:t>ere</w:t>
      </w:r>
      <w:r w:rsidRPr="00C106D6">
        <w:rPr>
          <w:rFonts w:ascii="Arial" w:hAnsi="Arial" w:cs="Arial"/>
          <w:sz w:val="22"/>
          <w:szCs w:val="22"/>
        </w:rPr>
        <w:t xml:space="preserve"> </w:t>
      </w:r>
      <w:r w:rsidR="008D6995">
        <w:rPr>
          <w:rFonts w:ascii="Arial" w:hAnsi="Arial" w:cs="Arial"/>
          <w:sz w:val="22"/>
          <w:szCs w:val="22"/>
        </w:rPr>
        <w:t>selected based up</w:t>
      </w:r>
      <w:r>
        <w:rPr>
          <w:rFonts w:ascii="Arial" w:hAnsi="Arial" w:cs="Arial"/>
          <w:sz w:val="22"/>
          <w:szCs w:val="22"/>
        </w:rPr>
        <w:t>on the neutralization sensitivity in plasma.</w:t>
      </w:r>
    </w:p>
    <w:p w14:paraId="50D56C39" w14:textId="77777777" w:rsidR="00870F6F" w:rsidRPr="00C106D6" w:rsidRDefault="00870F6F" w:rsidP="00C10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745B5D5" w14:textId="7D7F20E3" w:rsidR="005C4A6C" w:rsidRDefault="00832BD2" w:rsidP="00870F6F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32BD2">
        <w:rPr>
          <w:rFonts w:ascii="Arial" w:hAnsi="Arial" w:cs="Arial"/>
          <w:b/>
          <w:bCs/>
          <w:sz w:val="22"/>
          <w:szCs w:val="22"/>
        </w:rPr>
        <w:drawing>
          <wp:inline distT="0" distB="0" distL="0" distR="0" wp14:anchorId="111DABCA" wp14:editId="7B9470F8">
            <wp:extent cx="2812211" cy="227572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16959" cy="227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3EE1E" w14:textId="33EAD0B2" w:rsidR="003430D4" w:rsidRDefault="003430D4" w:rsidP="00C106D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474541D" w14:textId="77777777" w:rsidR="00070A7A" w:rsidRDefault="00070A7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2D1B999F" w14:textId="75065AD0" w:rsidR="00CF32A7" w:rsidRPr="00CF32A7" w:rsidRDefault="00CF32A7" w:rsidP="00C10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32A7">
        <w:rPr>
          <w:rFonts w:ascii="Arial" w:hAnsi="Arial" w:cs="Arial"/>
          <w:b/>
          <w:bCs/>
          <w:sz w:val="22"/>
          <w:szCs w:val="22"/>
        </w:rPr>
        <w:lastRenderedPageBreak/>
        <w:t xml:space="preserve">Table </w:t>
      </w:r>
      <w:r w:rsidR="00906FC8">
        <w:rPr>
          <w:rFonts w:ascii="Arial" w:hAnsi="Arial" w:cs="Arial"/>
          <w:b/>
          <w:bCs/>
          <w:sz w:val="22"/>
          <w:szCs w:val="22"/>
        </w:rPr>
        <w:t>S5</w:t>
      </w:r>
      <w:r w:rsidRPr="00CF32A7">
        <w:rPr>
          <w:rFonts w:ascii="Arial" w:hAnsi="Arial" w:cs="Arial"/>
          <w:b/>
          <w:bCs/>
          <w:sz w:val="22"/>
          <w:szCs w:val="22"/>
        </w:rPr>
        <w:t>: RSC3 binding</w:t>
      </w:r>
      <w:r w:rsidR="007E79A0">
        <w:rPr>
          <w:rFonts w:ascii="Arial" w:hAnsi="Arial" w:cs="Arial"/>
          <w:b/>
          <w:bCs/>
          <w:sz w:val="22"/>
          <w:szCs w:val="22"/>
        </w:rPr>
        <w:t xml:space="preserve"> to determine CD4 binding site specific</w:t>
      </w:r>
      <w:r w:rsidR="00431591">
        <w:rPr>
          <w:rFonts w:ascii="Arial" w:hAnsi="Arial" w:cs="Arial"/>
          <w:b/>
          <w:bCs/>
          <w:sz w:val="22"/>
          <w:szCs w:val="22"/>
        </w:rPr>
        <w:t>ity</w:t>
      </w:r>
      <w:r w:rsidRPr="00CF32A7">
        <w:rPr>
          <w:rFonts w:ascii="Arial" w:hAnsi="Arial" w:cs="Arial"/>
          <w:b/>
          <w:bCs/>
          <w:sz w:val="22"/>
          <w:szCs w:val="22"/>
        </w:rPr>
        <w:t>.</w:t>
      </w:r>
      <w:r w:rsidRPr="00CF32A7">
        <w:rPr>
          <w:rFonts w:ascii="Arial" w:hAnsi="Arial" w:cs="Arial"/>
          <w:sz w:val="22"/>
          <w:szCs w:val="22"/>
        </w:rPr>
        <w:t xml:space="preserve"> Reported are area under the curve (AUC) of serum binding </w:t>
      </w:r>
      <w:proofErr w:type="spellStart"/>
      <w:r w:rsidRPr="00CF32A7">
        <w:rPr>
          <w:rFonts w:ascii="Arial" w:hAnsi="Arial" w:cs="Arial"/>
          <w:sz w:val="22"/>
          <w:szCs w:val="22"/>
        </w:rPr>
        <w:t>titres</w:t>
      </w:r>
      <w:proofErr w:type="spellEnd"/>
      <w:r w:rsidRPr="00CF32A7">
        <w:rPr>
          <w:rFonts w:ascii="Arial" w:hAnsi="Arial" w:cs="Arial"/>
          <w:sz w:val="22"/>
          <w:szCs w:val="22"/>
        </w:rPr>
        <w:t xml:space="preserve"> to RSC3, RSC3Δ371I and RSC3Δ371I P363N and the AUC-ratio of RSC3 and RSC3Δ371I P363N. AUCs smaller than the AUC of VRC01 to RSC3Δ371I P363N were set to 50 for simplicity. Binding intensities of sera at 1:50 serum dilution to RSC3 were related to 2G12 binding at 20 µg/</w:t>
      </w:r>
      <w:proofErr w:type="spellStart"/>
      <w:r w:rsidRPr="00CF32A7">
        <w:rPr>
          <w:rFonts w:ascii="Arial" w:hAnsi="Arial" w:cs="Arial"/>
          <w:sz w:val="22"/>
          <w:szCs w:val="22"/>
        </w:rPr>
        <w:t>mL.</w:t>
      </w:r>
      <w:proofErr w:type="spellEnd"/>
      <w:r w:rsidRPr="00CF32A7">
        <w:rPr>
          <w:rFonts w:ascii="Arial" w:hAnsi="Arial" w:cs="Arial"/>
          <w:sz w:val="22"/>
          <w:szCs w:val="22"/>
        </w:rPr>
        <w:t xml:space="preserve"> RSC3 (VRC01-like): If the ratio between the area under the curve (AUC) for RSC3 /RSC3Δ371I P363N is 2-3 </w:t>
      </w:r>
      <w:r w:rsidRPr="00CF32A7">
        <w:rPr>
          <w:rFonts w:ascii="Arial" w:hAnsi="Arial" w:cs="Arial"/>
          <w:sz w:val="22"/>
          <w:szCs w:val="22"/>
          <w:lang w:val="en-GB"/>
        </w:rPr>
        <w:t>(+/-), 3-8 (+) and &gt;8 (++)</w:t>
      </w:r>
      <w:r w:rsidRPr="00CF32A7">
        <w:rPr>
          <w:rFonts w:ascii="Arial" w:hAnsi="Arial" w:cs="Arial"/>
          <w:sz w:val="22"/>
          <w:szCs w:val="22"/>
        </w:rPr>
        <w:t>. RSC3 (</w:t>
      </w:r>
      <w:r w:rsidRPr="00CF32A7">
        <w:rPr>
          <w:rFonts w:ascii="Arial" w:hAnsi="Arial" w:cs="Arial"/>
          <w:color w:val="000000" w:themeColor="text1"/>
          <w:sz w:val="22"/>
          <w:szCs w:val="22"/>
        </w:rPr>
        <w:t>no-differential</w:t>
      </w:r>
      <w:r w:rsidRPr="00CF32A7">
        <w:rPr>
          <w:rFonts w:ascii="Arial" w:hAnsi="Arial" w:cs="Arial"/>
          <w:sz w:val="22"/>
          <w:szCs w:val="22"/>
        </w:rPr>
        <w:t xml:space="preserve">): If the ratio between AUC of RSC3/RSC3Δ371I/P363N) is </w:t>
      </w:r>
      <m:oMath>
        <m:r>
          <w:rPr>
            <w:rFonts w:ascii="Cambria Math" w:hAnsi="Cambria Math" w:cs="Arial"/>
            <w:sz w:val="22"/>
            <w:szCs w:val="22"/>
          </w:rPr>
          <m:t>≤</m:t>
        </m:r>
      </m:oMath>
      <w:r w:rsidRPr="00CF32A7">
        <w:rPr>
          <w:rFonts w:ascii="Arial" w:hAnsi="Arial" w:cs="Arial"/>
          <w:sz w:val="22"/>
          <w:szCs w:val="22"/>
        </w:rPr>
        <w:t xml:space="preserve">1.8 and the strength is dependent on percentage of 2G12-binding (20 µg/mL) at 1:50 serum-dilution: ++ is </w:t>
      </w:r>
      <m:oMath>
        <m:r>
          <w:rPr>
            <w:rFonts w:ascii="Cambria Math" w:hAnsi="Cambria Math" w:cs="Arial"/>
            <w:sz w:val="22"/>
            <w:szCs w:val="22"/>
          </w:rPr>
          <m:t>≥</m:t>
        </m:r>
      </m:oMath>
      <w:r w:rsidRPr="00CF32A7">
        <w:rPr>
          <w:rFonts w:ascii="Arial" w:hAnsi="Arial" w:cs="Arial"/>
          <w:sz w:val="22"/>
          <w:szCs w:val="22"/>
        </w:rPr>
        <w:t xml:space="preserve">50%, + is &lt;50%, but </w:t>
      </w:r>
      <m:oMath>
        <m:r>
          <w:rPr>
            <w:rFonts w:ascii="Cambria Math" w:hAnsi="Cambria Math" w:cs="Arial"/>
            <w:sz w:val="22"/>
            <w:szCs w:val="22"/>
          </w:rPr>
          <m:t>≥</m:t>
        </m:r>
      </m:oMath>
      <w:r w:rsidRPr="00CF32A7">
        <w:rPr>
          <w:rFonts w:ascii="Arial" w:hAnsi="Arial" w:cs="Arial"/>
          <w:sz w:val="22"/>
          <w:szCs w:val="22"/>
        </w:rPr>
        <w:t>25%, +/- is &lt;25%</w:t>
      </w:r>
      <w:r w:rsidR="005C4A6C">
        <w:rPr>
          <w:rFonts w:ascii="Arial" w:hAnsi="Arial" w:cs="Arial"/>
          <w:sz w:val="22"/>
          <w:szCs w:val="22"/>
        </w:rPr>
        <w:t>.</w:t>
      </w:r>
    </w:p>
    <w:p w14:paraId="4C27742B" w14:textId="29B28595" w:rsidR="00906FC8" w:rsidRDefault="00070A7A" w:rsidP="00BD5973">
      <w:pPr>
        <w:jc w:val="center"/>
      </w:pPr>
      <w:r w:rsidRPr="00CF32A7">
        <w:rPr>
          <w:noProof/>
        </w:rPr>
        <w:drawing>
          <wp:anchor distT="0" distB="0" distL="114300" distR="114300" simplePos="0" relativeHeight="251664384" behindDoc="0" locked="0" layoutInCell="1" allowOverlap="1" wp14:anchorId="18AEFB80" wp14:editId="668DF389">
            <wp:simplePos x="0" y="0"/>
            <wp:positionH relativeFrom="column">
              <wp:posOffset>736138</wp:posOffset>
            </wp:positionH>
            <wp:positionV relativeFrom="paragraph">
              <wp:posOffset>131041</wp:posOffset>
            </wp:positionV>
            <wp:extent cx="3923607" cy="2259336"/>
            <wp:effectExtent l="0" t="0" r="1270" b="127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3607" cy="2259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F46E6B" w14:textId="33C9DDAD" w:rsidR="00BD5973" w:rsidRDefault="00BD5973" w:rsidP="00BD5973">
      <w:pPr>
        <w:jc w:val="center"/>
      </w:pPr>
    </w:p>
    <w:p w14:paraId="7A303CD9" w14:textId="5828A0ED" w:rsidR="00BD5973" w:rsidRPr="00C106D6" w:rsidRDefault="00BD5973" w:rsidP="00BD5973">
      <w:pPr>
        <w:jc w:val="center"/>
      </w:pPr>
    </w:p>
    <w:p w14:paraId="4881A181" w14:textId="4A0AE2FD" w:rsidR="00070A7A" w:rsidRDefault="00070A7A" w:rsidP="00906FC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7AF82517" w14:textId="77777777" w:rsidR="00070A7A" w:rsidRDefault="00070A7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2972B214" w14:textId="369A96F8" w:rsidR="00906FC8" w:rsidRPr="00CF32A7" w:rsidRDefault="00906FC8" w:rsidP="00906FC8">
      <w:pPr>
        <w:spacing w:line="360" w:lineRule="auto"/>
        <w:rPr>
          <w:rFonts w:ascii="Arial" w:hAnsi="Arial" w:cs="Arial"/>
          <w:sz w:val="22"/>
          <w:szCs w:val="22"/>
        </w:rPr>
      </w:pPr>
      <w:r w:rsidRPr="00CF32A7">
        <w:rPr>
          <w:rFonts w:ascii="Arial" w:hAnsi="Arial" w:cs="Arial"/>
          <w:b/>
          <w:bCs/>
          <w:sz w:val="22"/>
          <w:szCs w:val="22"/>
        </w:rPr>
        <w:lastRenderedPageBreak/>
        <w:t xml:space="preserve">Table </w:t>
      </w:r>
      <w:r>
        <w:rPr>
          <w:rFonts w:ascii="Arial" w:hAnsi="Arial" w:cs="Arial"/>
          <w:b/>
          <w:bCs/>
          <w:sz w:val="22"/>
          <w:szCs w:val="22"/>
        </w:rPr>
        <w:t>S6</w:t>
      </w:r>
      <w:r w:rsidRPr="00CF32A7">
        <w:rPr>
          <w:rFonts w:ascii="Arial" w:hAnsi="Arial" w:cs="Arial"/>
          <w:b/>
          <w:bCs/>
          <w:sz w:val="22"/>
          <w:szCs w:val="22"/>
        </w:rPr>
        <w:t xml:space="preserve">: RSC3 competition </w:t>
      </w:r>
      <w:r w:rsidR="00120086">
        <w:rPr>
          <w:rFonts w:ascii="Arial" w:hAnsi="Arial" w:cs="Arial"/>
          <w:b/>
          <w:bCs/>
          <w:sz w:val="22"/>
          <w:szCs w:val="22"/>
        </w:rPr>
        <w:t>for</w:t>
      </w:r>
      <w:r w:rsidRPr="00CF32A7">
        <w:rPr>
          <w:rFonts w:ascii="Arial" w:hAnsi="Arial" w:cs="Arial"/>
          <w:b/>
          <w:bCs/>
          <w:sz w:val="22"/>
          <w:szCs w:val="22"/>
        </w:rPr>
        <w:t xml:space="preserve"> neutrali</w:t>
      </w:r>
      <w:r w:rsidR="00FE3855">
        <w:rPr>
          <w:rFonts w:ascii="Arial" w:hAnsi="Arial" w:cs="Arial"/>
          <w:b/>
          <w:bCs/>
          <w:sz w:val="22"/>
          <w:szCs w:val="22"/>
        </w:rPr>
        <w:t>z</w:t>
      </w:r>
      <w:r w:rsidRPr="00CF32A7">
        <w:rPr>
          <w:rFonts w:ascii="Arial" w:hAnsi="Arial" w:cs="Arial"/>
          <w:b/>
          <w:bCs/>
          <w:sz w:val="22"/>
          <w:szCs w:val="22"/>
        </w:rPr>
        <w:t xml:space="preserve">ation. </w:t>
      </w:r>
      <w:r w:rsidRPr="00CF32A7">
        <w:rPr>
          <w:rFonts w:ascii="Arial" w:hAnsi="Arial" w:cs="Arial"/>
          <w:sz w:val="22"/>
          <w:szCs w:val="22"/>
        </w:rPr>
        <w:t>Reported are</w:t>
      </w:r>
      <w:r w:rsidRPr="00CF32A7">
        <w:rPr>
          <w:rFonts w:ascii="Arial" w:hAnsi="Arial" w:cs="Arial"/>
          <w:b/>
          <w:bCs/>
          <w:sz w:val="22"/>
          <w:szCs w:val="22"/>
        </w:rPr>
        <w:t xml:space="preserve"> </w:t>
      </w:r>
      <w:r w:rsidRPr="00CF32A7">
        <w:rPr>
          <w:rFonts w:ascii="Arial" w:hAnsi="Arial" w:cs="Arial"/>
          <w:sz w:val="22"/>
          <w:szCs w:val="22"/>
        </w:rPr>
        <w:t xml:space="preserve">fold-decreases in ID50 when plasma are competed with RSC3 and RSC3Δ371I/P363N, as well as the ratio between ID50 fold changes for each RSC3 and RSC3Δ371I/P363N. RSC3 competition (VRC01-like): + if the neutralization is decreased by </w:t>
      </w:r>
      <m:oMath>
        <m:r>
          <w:rPr>
            <w:rFonts w:ascii="Cambria Math" w:hAnsi="Cambria Math" w:cs="Arial"/>
            <w:sz w:val="22"/>
            <w:szCs w:val="22"/>
          </w:rPr>
          <m:t>≥</m:t>
        </m:r>
      </m:oMath>
      <w:r w:rsidRPr="00CF32A7">
        <w:rPr>
          <w:rFonts w:ascii="Arial" w:eastAsiaTheme="minorEastAsia" w:hAnsi="Arial" w:cs="Arial"/>
          <w:sz w:val="22"/>
          <w:szCs w:val="22"/>
        </w:rPr>
        <w:t xml:space="preserve">3 fold for RSC3 but not </w:t>
      </w:r>
      <w:r w:rsidRPr="00CF32A7">
        <w:rPr>
          <w:rFonts w:ascii="Arial" w:hAnsi="Arial" w:cs="Arial"/>
          <w:sz w:val="22"/>
          <w:szCs w:val="22"/>
        </w:rPr>
        <w:t>RSC3Δ371I/P363N</w:t>
      </w:r>
      <w:r w:rsidRPr="00CF32A7">
        <w:rPr>
          <w:rFonts w:ascii="Arial" w:eastAsiaTheme="minorEastAsia" w:hAnsi="Arial" w:cs="Arial"/>
          <w:sz w:val="22"/>
          <w:szCs w:val="22"/>
        </w:rPr>
        <w:t>.</w:t>
      </w:r>
      <w:r w:rsidRPr="00CF32A7">
        <w:rPr>
          <w:rFonts w:ascii="Arial" w:hAnsi="Arial" w:cs="Arial"/>
          <w:sz w:val="22"/>
          <w:szCs w:val="22"/>
        </w:rPr>
        <w:t xml:space="preserve"> RSC3 competition (</w:t>
      </w:r>
      <w:r w:rsidRPr="00CF32A7">
        <w:rPr>
          <w:rFonts w:ascii="Arial" w:hAnsi="Arial" w:cs="Arial"/>
          <w:color w:val="000000" w:themeColor="text1"/>
          <w:sz w:val="22"/>
          <w:szCs w:val="22"/>
        </w:rPr>
        <w:t>non-differential</w:t>
      </w:r>
      <w:r w:rsidRPr="00CF32A7">
        <w:rPr>
          <w:rFonts w:ascii="Arial" w:hAnsi="Arial" w:cs="Arial"/>
          <w:sz w:val="22"/>
          <w:szCs w:val="22"/>
        </w:rPr>
        <w:t xml:space="preserve">): + if the neutralization is decreased by </w:t>
      </w:r>
      <m:oMath>
        <m:r>
          <w:rPr>
            <w:rFonts w:ascii="Cambria Math" w:hAnsi="Cambria Math" w:cs="Arial"/>
            <w:sz w:val="22"/>
            <w:szCs w:val="22"/>
          </w:rPr>
          <m:t>≥</m:t>
        </m:r>
      </m:oMath>
      <w:r w:rsidRPr="00CF32A7">
        <w:rPr>
          <w:rFonts w:ascii="Arial" w:eastAsiaTheme="minorEastAsia" w:hAnsi="Arial" w:cs="Arial"/>
          <w:sz w:val="22"/>
          <w:szCs w:val="22"/>
        </w:rPr>
        <w:t xml:space="preserve">3 fold for both RCS3 and </w:t>
      </w:r>
      <w:r w:rsidRPr="00CF32A7">
        <w:rPr>
          <w:rFonts w:ascii="Arial" w:hAnsi="Arial" w:cs="Arial"/>
          <w:sz w:val="22"/>
          <w:szCs w:val="22"/>
        </w:rPr>
        <w:t>RSC3Δ371I/P363N.</w:t>
      </w:r>
    </w:p>
    <w:p w14:paraId="30268355" w14:textId="41809C51" w:rsidR="00906FC8" w:rsidRPr="00D35058" w:rsidRDefault="00906FC8" w:rsidP="00906FC8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50891417" w14:textId="1C24BC0F" w:rsidR="00906FC8" w:rsidRPr="00494A5D" w:rsidRDefault="00906FC8" w:rsidP="00906FC8">
      <w:pPr>
        <w:spacing w:line="48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35D4A9BF" w14:textId="7E1FCD49" w:rsidR="00906FC8" w:rsidRPr="00D466B6" w:rsidRDefault="00906FC8" w:rsidP="00906FC8">
      <w:pPr>
        <w:rPr>
          <w:b/>
          <w:bCs/>
        </w:rPr>
      </w:pPr>
      <w:r w:rsidRPr="00CF32A7">
        <w:rPr>
          <w:noProof/>
        </w:rPr>
        <w:drawing>
          <wp:anchor distT="0" distB="0" distL="114300" distR="114300" simplePos="0" relativeHeight="251661312" behindDoc="0" locked="0" layoutInCell="1" allowOverlap="1" wp14:anchorId="09D7F1B9" wp14:editId="51CC2292">
            <wp:simplePos x="0" y="0"/>
            <wp:positionH relativeFrom="column">
              <wp:posOffset>-3233420</wp:posOffset>
            </wp:positionH>
            <wp:positionV relativeFrom="paragraph">
              <wp:posOffset>1340485</wp:posOffset>
            </wp:positionV>
            <wp:extent cx="8737600" cy="2269490"/>
            <wp:effectExtent l="0" t="4445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37600" cy="2269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80D3BD" w14:textId="52E7B9EC" w:rsidR="00906FC8" w:rsidRDefault="00906FC8" w:rsidP="00906FC8"/>
    <w:p w14:paraId="7B47BAD8" w14:textId="0A4E6FB3" w:rsidR="00906FC8" w:rsidRDefault="00906FC8" w:rsidP="00906FC8"/>
    <w:p w14:paraId="6A1B03EE" w14:textId="7B201956" w:rsidR="00906FC8" w:rsidRDefault="00906FC8"/>
    <w:sectPr w:rsidR="00906FC8" w:rsidSect="001E5771">
      <w:headerReference w:type="default" r:id="rId13"/>
      <w:footerReference w:type="even" r:id="rId14"/>
      <w:footerReference w:type="defaul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51FCF" w14:textId="77777777" w:rsidR="005846F6" w:rsidRDefault="005846F6" w:rsidP="001F23DE">
      <w:r>
        <w:separator/>
      </w:r>
    </w:p>
  </w:endnote>
  <w:endnote w:type="continuationSeparator" w:id="0">
    <w:p w14:paraId="72EFC940" w14:textId="77777777" w:rsidR="005846F6" w:rsidRDefault="005846F6" w:rsidP="001F2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548317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7FAEC3" w14:textId="4E2AAB67" w:rsidR="00F671B2" w:rsidRDefault="00F671B2" w:rsidP="000D6AD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5CA708F" w14:textId="77777777" w:rsidR="00F671B2" w:rsidRDefault="00F671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44163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92F070" w14:textId="6A835E08" w:rsidR="00F671B2" w:rsidRDefault="00F671B2" w:rsidP="000D6AD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7673BA5" w14:textId="77777777" w:rsidR="00F671B2" w:rsidRPr="00F671B2" w:rsidRDefault="00F671B2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E55F3" w14:textId="77777777" w:rsidR="005846F6" w:rsidRDefault="005846F6" w:rsidP="001F23DE">
      <w:r>
        <w:separator/>
      </w:r>
    </w:p>
  </w:footnote>
  <w:footnote w:type="continuationSeparator" w:id="0">
    <w:p w14:paraId="1D00BD53" w14:textId="77777777" w:rsidR="005846F6" w:rsidRDefault="005846F6" w:rsidP="001F2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007D3" w14:textId="42F929E5" w:rsidR="001F23DE" w:rsidRPr="00CF2841" w:rsidRDefault="001F23DE" w:rsidP="001F23DE">
    <w:pPr>
      <w:pStyle w:val="Header"/>
      <w:jc w:val="right"/>
      <w:rPr>
        <w:rFonts w:ascii="Arial" w:hAnsi="Arial" w:cs="Arial"/>
        <w:sz w:val="22"/>
        <w:szCs w:val="22"/>
        <w:lang w:val="en-GB"/>
      </w:rPr>
    </w:pPr>
    <w:r w:rsidRPr="00CF2841">
      <w:rPr>
        <w:rFonts w:ascii="Arial" w:hAnsi="Arial" w:cs="Arial"/>
        <w:sz w:val="22"/>
        <w:szCs w:val="22"/>
        <w:lang w:val="en-GB"/>
      </w:rPr>
      <w:t>Supplementary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DE"/>
    <w:rsid w:val="00000F40"/>
    <w:rsid w:val="00002873"/>
    <w:rsid w:val="000131B5"/>
    <w:rsid w:val="000230D9"/>
    <w:rsid w:val="00042618"/>
    <w:rsid w:val="00070A7A"/>
    <w:rsid w:val="00080E7E"/>
    <w:rsid w:val="000871E7"/>
    <w:rsid w:val="000B6D11"/>
    <w:rsid w:val="000C05A2"/>
    <w:rsid w:val="000C2EF2"/>
    <w:rsid w:val="000E712B"/>
    <w:rsid w:val="000F02AE"/>
    <w:rsid w:val="000F1521"/>
    <w:rsid w:val="00120086"/>
    <w:rsid w:val="00131B1E"/>
    <w:rsid w:val="0016019A"/>
    <w:rsid w:val="001605C5"/>
    <w:rsid w:val="00161717"/>
    <w:rsid w:val="0016554D"/>
    <w:rsid w:val="001657C3"/>
    <w:rsid w:val="001962B6"/>
    <w:rsid w:val="001A1877"/>
    <w:rsid w:val="001C3B87"/>
    <w:rsid w:val="001E067A"/>
    <w:rsid w:val="001E18C5"/>
    <w:rsid w:val="001E5771"/>
    <w:rsid w:val="001F23DE"/>
    <w:rsid w:val="00210932"/>
    <w:rsid w:val="0023609A"/>
    <w:rsid w:val="0023783C"/>
    <w:rsid w:val="00241608"/>
    <w:rsid w:val="0024318D"/>
    <w:rsid w:val="00256A1F"/>
    <w:rsid w:val="00261B84"/>
    <w:rsid w:val="00270889"/>
    <w:rsid w:val="00271E3C"/>
    <w:rsid w:val="00282AC4"/>
    <w:rsid w:val="0029055C"/>
    <w:rsid w:val="002939BA"/>
    <w:rsid w:val="002A7361"/>
    <w:rsid w:val="002B7609"/>
    <w:rsid w:val="002D3869"/>
    <w:rsid w:val="002E2B5C"/>
    <w:rsid w:val="002E5E29"/>
    <w:rsid w:val="003142FF"/>
    <w:rsid w:val="0032186C"/>
    <w:rsid w:val="003256F7"/>
    <w:rsid w:val="0032694E"/>
    <w:rsid w:val="003430D4"/>
    <w:rsid w:val="00356FC0"/>
    <w:rsid w:val="00365D8B"/>
    <w:rsid w:val="003C3231"/>
    <w:rsid w:val="003D265B"/>
    <w:rsid w:val="003D7668"/>
    <w:rsid w:val="003F3849"/>
    <w:rsid w:val="004210AC"/>
    <w:rsid w:val="00425AD9"/>
    <w:rsid w:val="00431591"/>
    <w:rsid w:val="00431E7A"/>
    <w:rsid w:val="00456418"/>
    <w:rsid w:val="00461A44"/>
    <w:rsid w:val="00466719"/>
    <w:rsid w:val="00466DB4"/>
    <w:rsid w:val="00472746"/>
    <w:rsid w:val="00476A3C"/>
    <w:rsid w:val="00483025"/>
    <w:rsid w:val="00496284"/>
    <w:rsid w:val="004C1944"/>
    <w:rsid w:val="004C5520"/>
    <w:rsid w:val="004D45BC"/>
    <w:rsid w:val="004F0E6D"/>
    <w:rsid w:val="00512F7D"/>
    <w:rsid w:val="00520BD3"/>
    <w:rsid w:val="00522D21"/>
    <w:rsid w:val="00534BC1"/>
    <w:rsid w:val="00545F26"/>
    <w:rsid w:val="00565AAE"/>
    <w:rsid w:val="0057404E"/>
    <w:rsid w:val="005846F6"/>
    <w:rsid w:val="005B28C4"/>
    <w:rsid w:val="005C4A6C"/>
    <w:rsid w:val="005C4B83"/>
    <w:rsid w:val="005E1DDB"/>
    <w:rsid w:val="005E545F"/>
    <w:rsid w:val="005F412A"/>
    <w:rsid w:val="00612A0C"/>
    <w:rsid w:val="006154BE"/>
    <w:rsid w:val="00640919"/>
    <w:rsid w:val="00670276"/>
    <w:rsid w:val="006858F3"/>
    <w:rsid w:val="006A68D3"/>
    <w:rsid w:val="006A6F6A"/>
    <w:rsid w:val="006C1B7B"/>
    <w:rsid w:val="006D1B49"/>
    <w:rsid w:val="00702A1C"/>
    <w:rsid w:val="00716C97"/>
    <w:rsid w:val="00722D9B"/>
    <w:rsid w:val="00724AAD"/>
    <w:rsid w:val="00727696"/>
    <w:rsid w:val="007333EB"/>
    <w:rsid w:val="00737CCC"/>
    <w:rsid w:val="007523D2"/>
    <w:rsid w:val="00761E78"/>
    <w:rsid w:val="007974A7"/>
    <w:rsid w:val="007A3E5A"/>
    <w:rsid w:val="007B3E6A"/>
    <w:rsid w:val="007B44A2"/>
    <w:rsid w:val="007C60A0"/>
    <w:rsid w:val="007E79A0"/>
    <w:rsid w:val="00806119"/>
    <w:rsid w:val="00821B95"/>
    <w:rsid w:val="0082403C"/>
    <w:rsid w:val="00832BD2"/>
    <w:rsid w:val="008431D5"/>
    <w:rsid w:val="00845DEE"/>
    <w:rsid w:val="00853AD1"/>
    <w:rsid w:val="008635FF"/>
    <w:rsid w:val="00867104"/>
    <w:rsid w:val="00870F6F"/>
    <w:rsid w:val="008767D4"/>
    <w:rsid w:val="00894E2D"/>
    <w:rsid w:val="008B0C99"/>
    <w:rsid w:val="008C771D"/>
    <w:rsid w:val="008D6995"/>
    <w:rsid w:val="00906FC8"/>
    <w:rsid w:val="0094092D"/>
    <w:rsid w:val="00944B9D"/>
    <w:rsid w:val="00982E6D"/>
    <w:rsid w:val="00A03BBF"/>
    <w:rsid w:val="00A05D2B"/>
    <w:rsid w:val="00A2428A"/>
    <w:rsid w:val="00A67568"/>
    <w:rsid w:val="00A82E38"/>
    <w:rsid w:val="00AB62EE"/>
    <w:rsid w:val="00B2290B"/>
    <w:rsid w:val="00B24924"/>
    <w:rsid w:val="00B25AB2"/>
    <w:rsid w:val="00B82147"/>
    <w:rsid w:val="00B8421F"/>
    <w:rsid w:val="00BB7692"/>
    <w:rsid w:val="00BD5973"/>
    <w:rsid w:val="00BF68BC"/>
    <w:rsid w:val="00BF6E67"/>
    <w:rsid w:val="00C063C0"/>
    <w:rsid w:val="00C106D6"/>
    <w:rsid w:val="00C26F57"/>
    <w:rsid w:val="00C319C7"/>
    <w:rsid w:val="00C358E3"/>
    <w:rsid w:val="00C41E14"/>
    <w:rsid w:val="00C44E3E"/>
    <w:rsid w:val="00C508F4"/>
    <w:rsid w:val="00C57095"/>
    <w:rsid w:val="00C5789E"/>
    <w:rsid w:val="00C7393B"/>
    <w:rsid w:val="00C74BEE"/>
    <w:rsid w:val="00C74D4D"/>
    <w:rsid w:val="00C7563D"/>
    <w:rsid w:val="00C76A03"/>
    <w:rsid w:val="00C867D6"/>
    <w:rsid w:val="00CB704F"/>
    <w:rsid w:val="00CB7E43"/>
    <w:rsid w:val="00CD5ECD"/>
    <w:rsid w:val="00CD7CF6"/>
    <w:rsid w:val="00CE0CD0"/>
    <w:rsid w:val="00CF2841"/>
    <w:rsid w:val="00CF32A7"/>
    <w:rsid w:val="00D35058"/>
    <w:rsid w:val="00D41873"/>
    <w:rsid w:val="00D466B6"/>
    <w:rsid w:val="00D6695E"/>
    <w:rsid w:val="00D700D0"/>
    <w:rsid w:val="00D75842"/>
    <w:rsid w:val="00DA5537"/>
    <w:rsid w:val="00DB3C6B"/>
    <w:rsid w:val="00DC10EA"/>
    <w:rsid w:val="00DE0FB7"/>
    <w:rsid w:val="00E01621"/>
    <w:rsid w:val="00E1232F"/>
    <w:rsid w:val="00E14C26"/>
    <w:rsid w:val="00E266EC"/>
    <w:rsid w:val="00E30531"/>
    <w:rsid w:val="00E41AE3"/>
    <w:rsid w:val="00E42EC2"/>
    <w:rsid w:val="00E43E06"/>
    <w:rsid w:val="00E47EE6"/>
    <w:rsid w:val="00E63534"/>
    <w:rsid w:val="00EA31C2"/>
    <w:rsid w:val="00EA61EB"/>
    <w:rsid w:val="00EC6988"/>
    <w:rsid w:val="00EE474E"/>
    <w:rsid w:val="00EE5029"/>
    <w:rsid w:val="00EF0BBE"/>
    <w:rsid w:val="00EF6DAA"/>
    <w:rsid w:val="00EF7AF8"/>
    <w:rsid w:val="00F23ABF"/>
    <w:rsid w:val="00F51A22"/>
    <w:rsid w:val="00F6041E"/>
    <w:rsid w:val="00F65C9C"/>
    <w:rsid w:val="00F671B2"/>
    <w:rsid w:val="00F7709B"/>
    <w:rsid w:val="00FA4721"/>
    <w:rsid w:val="00FA61E0"/>
    <w:rsid w:val="00FC0A3C"/>
    <w:rsid w:val="00FC68FA"/>
    <w:rsid w:val="00FD3394"/>
    <w:rsid w:val="00FD62AE"/>
    <w:rsid w:val="00FE3855"/>
    <w:rsid w:val="00FE4CFF"/>
    <w:rsid w:val="00FE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940B7"/>
  <w15:chartTrackingRefBased/>
  <w15:docId w15:val="{D3576C6D-94BA-5847-8785-492E664D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3DE"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3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3D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23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3DE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F671B2"/>
  </w:style>
  <w:style w:type="paragraph" w:styleId="BalloonText">
    <w:name w:val="Balloon Text"/>
    <w:basedOn w:val="Normal"/>
    <w:link w:val="BalloonTextChar"/>
    <w:uiPriority w:val="99"/>
    <w:semiHidden/>
    <w:unhideWhenUsed/>
    <w:rsid w:val="002E2B5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B5C"/>
    <w:rPr>
      <w:rFonts w:ascii="Times New Roman" w:hAnsi="Times New Roman" w:cs="Times New Roman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832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Doores, Katie</dc:creator>
  <cp:keywords/>
  <dc:description/>
  <cp:lastModifiedBy>Doores, Katie</cp:lastModifiedBy>
  <cp:revision>37</cp:revision>
  <dcterms:created xsi:type="dcterms:W3CDTF">2020-12-08T11:11:00Z</dcterms:created>
  <dcterms:modified xsi:type="dcterms:W3CDTF">2020-12-15T22:34:00Z</dcterms:modified>
</cp:coreProperties>
</file>