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71D23" w14:textId="77777777" w:rsidR="00F65511" w:rsidRDefault="00F65511" w:rsidP="00F65511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5DEE29F8">
        <w:rPr>
          <w:rFonts w:ascii="Calibri" w:eastAsia="Calibri" w:hAnsi="Calibri" w:cs="Calibri"/>
          <w:b/>
          <w:bCs/>
          <w:color w:val="000000" w:themeColor="text1"/>
        </w:rPr>
        <w:t>Supplemental Figure</w:t>
      </w:r>
      <w:r w:rsidRPr="5DEE29F8">
        <w:rPr>
          <w:rFonts w:ascii="Calibri" w:eastAsia="Calibri" w:hAnsi="Calibri" w:cs="Calibri"/>
          <w:color w:val="000000" w:themeColor="text1"/>
        </w:rPr>
        <w:t>. Local site and systemic adverse reactions in 14 PWH within the first week following D1 and D2 of SARS-CoV-2 mRNA vaccination</w:t>
      </w:r>
      <w:r>
        <w:rPr>
          <w:rFonts w:ascii="Calibri" w:eastAsia="Calibri" w:hAnsi="Calibri" w:cs="Calibri"/>
          <w:color w:val="000000" w:themeColor="text1"/>
        </w:rPr>
        <w:t>.</w:t>
      </w:r>
    </w:p>
    <w:p w14:paraId="0E157127" w14:textId="77777777" w:rsidR="00F65511" w:rsidRDefault="00F65511" w:rsidP="00F65511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67A2A9CD" w14:textId="77777777" w:rsidR="00F65511" w:rsidRDefault="00F65511" w:rsidP="00F65511">
      <w:pPr>
        <w:spacing w:after="0" w:line="480" w:lineRule="auto"/>
      </w:pPr>
      <w:r>
        <w:rPr>
          <w:noProof/>
        </w:rPr>
        <w:drawing>
          <wp:inline distT="0" distB="0" distL="0" distR="0" wp14:anchorId="747DF7E7" wp14:editId="1F9C59B9">
            <wp:extent cx="5943600" cy="4314190"/>
            <wp:effectExtent l="0" t="0" r="0" b="3810"/>
            <wp:docPr id="4" name="Picture 4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bar 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905FF" w14:textId="77777777" w:rsidR="00F65511" w:rsidRDefault="00F65511" w:rsidP="00872E71">
      <w:pPr>
        <w:spacing w:after="0" w:line="240" w:lineRule="auto"/>
      </w:pPr>
      <w:r>
        <w:t>Legend:</w:t>
      </w:r>
    </w:p>
    <w:p w14:paraId="46220B1F" w14:textId="4C2ACAF9" w:rsidR="00440BF9" w:rsidRDefault="00F65511" w:rsidP="00872E71">
      <w:pPr>
        <w:spacing w:after="0" w:line="240" w:lineRule="auto"/>
      </w:pPr>
      <w:r w:rsidRPr="5DEE29F8">
        <w:rPr>
          <w:rFonts w:ascii="Calibri" w:eastAsia="Calibri" w:hAnsi="Calibri" w:cs="Calibri"/>
          <w:color w:val="000000" w:themeColor="text1"/>
        </w:rPr>
        <w:t>Mild: does not interfere with activity, moderate: some interference with activity, severe: prevents daily activity.</w:t>
      </w:r>
      <w:r>
        <w:rPr>
          <w:rFonts w:ascii="Calibri" w:eastAsia="Calibri" w:hAnsi="Calibri" w:cs="Calibri"/>
          <w:color w:val="000000" w:themeColor="text1"/>
        </w:rPr>
        <w:t xml:space="preserve"> Rates of adverse reactions in BNT162b2 trial within 7 days of D1 and D2:</w:t>
      </w:r>
      <w:r>
        <w:rPr>
          <w:rFonts w:ascii="Calibri" w:eastAsia="Calibri" w:hAnsi="Calibri" w:cs="Calibri"/>
          <w:color w:val="000000" w:themeColor="text1"/>
          <w:vertAlign w:val="superscript"/>
        </w:rPr>
        <w:t>[15]</w:t>
      </w:r>
      <w:r>
        <w:rPr>
          <w:rFonts w:ascii="Calibri" w:eastAsia="Calibri" w:hAnsi="Calibri" w:cs="Calibri"/>
          <w:color w:val="000000" w:themeColor="text1"/>
        </w:rPr>
        <w:t xml:space="preserve"> pain D1 78%</w:t>
      </w:r>
      <w:r w:rsidRPr="005238A1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and D2 72.9%, swelling D1 6.4%</w:t>
      </w:r>
      <w:r w:rsidRPr="005238A1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and D2 6.4%, erythema D1 5.0%</w:t>
      </w:r>
      <w:r w:rsidRPr="005238A1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and D2 6.4%, fatigue D1 41.5%</w:t>
      </w:r>
      <w:r w:rsidRPr="005238A1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and D2 55.6%, headache D1 34.8%</w:t>
      </w:r>
      <w:r w:rsidRPr="005238A1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and D2 46.5%, myalgia D1 18.0%</w:t>
      </w:r>
      <w:r w:rsidRPr="005238A1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and D2 33.6%, chills D1 10.6%</w:t>
      </w:r>
      <w:r w:rsidRPr="005238A1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and D2 29.9%, fever D1 2.7%</w:t>
      </w:r>
      <w:r w:rsidRPr="005238A1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and D2 13.9%, diarrhea D1 9.7%</w:t>
      </w:r>
      <w:r w:rsidRPr="005238A1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and D2 9.1%, vomiting D1 0.6%</w:t>
      </w:r>
      <w:r w:rsidRPr="005238A1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and D2 1.6%.</w:t>
      </w:r>
      <w:r w:rsidRPr="0041757F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Rates of adverse reactions in mRNA-1273 trial within 7 days of D1 and D2:</w:t>
      </w:r>
      <w:r>
        <w:rPr>
          <w:rFonts w:ascii="Calibri" w:eastAsia="Calibri" w:hAnsi="Calibri" w:cs="Calibri"/>
          <w:color w:val="000000" w:themeColor="text1"/>
          <w:vertAlign w:val="superscript"/>
        </w:rPr>
        <w:t>[16]</w:t>
      </w:r>
      <w:r>
        <w:rPr>
          <w:rFonts w:ascii="Calibri" w:eastAsia="Calibri" w:hAnsi="Calibri" w:cs="Calibri"/>
          <w:color w:val="000000" w:themeColor="text1"/>
        </w:rPr>
        <w:t xml:space="preserve"> Pain D1 83.7% and D2 88.2%, swelling D1 6.1% and D2 12.2%, erythema D1 2.8% and D2 8.6%, fatigue D1 37.2% and D2 65.3%, headache D1 32.7% and D2 58.6%, myalgia D1 22.7% and D2 58.0%, chills D1 8.3% and D2 44.2%, and fever D1 0.8% and D2 15.5%. Rates of diarrhea and vomiting were not measured in the mRNA-1273 trial.</w:t>
      </w:r>
    </w:p>
    <w:sectPr w:rsidR="00440BF9" w:rsidSect="00884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11"/>
    <w:rsid w:val="00385BCE"/>
    <w:rsid w:val="00872E71"/>
    <w:rsid w:val="00B816EE"/>
    <w:rsid w:val="00E27CE6"/>
    <w:rsid w:val="00F6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08A9A9"/>
  <w15:chartTrackingRefBased/>
  <w15:docId w15:val="{DD50A32D-EEFA-2E40-A3EC-3F1EB001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1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Ruddy</dc:creator>
  <cp:keywords/>
  <dc:description/>
  <cp:lastModifiedBy>Jake Ruddy</cp:lastModifiedBy>
  <cp:revision>2</cp:revision>
  <dcterms:created xsi:type="dcterms:W3CDTF">2021-06-29T00:00:00Z</dcterms:created>
  <dcterms:modified xsi:type="dcterms:W3CDTF">2021-06-29T00:01:00Z</dcterms:modified>
</cp:coreProperties>
</file>