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73A1" w14:textId="77777777" w:rsidR="00457AC1" w:rsidRPr="00457AC1" w:rsidRDefault="00457AC1" w:rsidP="00457AC1">
      <w:pPr>
        <w:keepNext/>
        <w:keepLines/>
        <w:spacing w:before="40" w:after="0"/>
        <w:outlineLvl w:val="1"/>
        <w:rPr>
          <w:rFonts w:asciiTheme="majorHAnsi" w:eastAsiaTheme="majorEastAsia" w:hAnsiTheme="majorHAnsi" w:cstheme="majorBidi"/>
          <w:b/>
          <w:bCs/>
          <w:color w:val="2F5496" w:themeColor="accent1" w:themeShade="BF"/>
          <w:sz w:val="26"/>
          <w:szCs w:val="26"/>
          <w:lang w:val="en-US"/>
        </w:rPr>
      </w:pPr>
      <w:r w:rsidRPr="00457AC1">
        <w:rPr>
          <w:rFonts w:asciiTheme="majorHAnsi" w:eastAsiaTheme="majorEastAsia" w:hAnsiTheme="majorHAnsi" w:cstheme="majorBidi"/>
          <w:b/>
          <w:bCs/>
          <w:color w:val="2F5496" w:themeColor="accent1" w:themeShade="BF"/>
          <w:sz w:val="26"/>
          <w:szCs w:val="26"/>
          <w:lang w:val="en-US"/>
        </w:rPr>
        <w:t>Supplemental Digital Content</w:t>
      </w:r>
    </w:p>
    <w:p w14:paraId="6B88CEAA" w14:textId="77777777" w:rsidR="00457AC1" w:rsidRPr="00457AC1" w:rsidRDefault="00457AC1" w:rsidP="00457AC1">
      <w:pPr>
        <w:keepNext/>
        <w:keepLines/>
        <w:spacing w:before="40" w:after="0"/>
        <w:outlineLvl w:val="2"/>
        <w:rPr>
          <w:rFonts w:asciiTheme="majorHAnsi" w:eastAsiaTheme="majorEastAsia" w:hAnsiTheme="majorHAnsi" w:cstheme="majorBidi"/>
          <w:color w:val="1F3763" w:themeColor="accent1" w:themeShade="7F"/>
          <w:sz w:val="24"/>
          <w:szCs w:val="24"/>
          <w:lang w:val="en-US"/>
        </w:rPr>
      </w:pPr>
      <w:r w:rsidRPr="00457AC1">
        <w:rPr>
          <w:rFonts w:asciiTheme="majorHAnsi" w:eastAsiaTheme="majorEastAsia" w:hAnsiTheme="majorHAnsi" w:cstheme="majorBidi"/>
          <w:color w:val="1F3763" w:themeColor="accent1" w:themeShade="7F"/>
          <w:sz w:val="24"/>
          <w:szCs w:val="24"/>
          <w:lang w:val="en-US"/>
        </w:rPr>
        <w:t xml:space="preserve">Figure S1. ATLAS plasma CAB and RPV trough concentrations over </w:t>
      </w:r>
      <w:proofErr w:type="spellStart"/>
      <w:r w:rsidRPr="00457AC1">
        <w:rPr>
          <w:rFonts w:asciiTheme="majorHAnsi" w:eastAsiaTheme="majorEastAsia" w:hAnsiTheme="majorHAnsi" w:cstheme="majorBidi"/>
          <w:color w:val="1F3763" w:themeColor="accent1" w:themeShade="7F"/>
          <w:sz w:val="24"/>
          <w:szCs w:val="24"/>
          <w:lang w:val="en-US"/>
        </w:rPr>
        <w:t>time</w:t>
      </w:r>
      <w:r w:rsidRPr="00457AC1">
        <w:rPr>
          <w:rFonts w:asciiTheme="majorHAnsi" w:eastAsiaTheme="majorEastAsia" w:hAnsiTheme="majorHAnsi" w:cstheme="majorBidi"/>
          <w:color w:val="1F3763" w:themeColor="accent1" w:themeShade="7F"/>
          <w:sz w:val="24"/>
          <w:szCs w:val="24"/>
          <w:vertAlign w:val="superscript"/>
          <w:lang w:val="en-US"/>
        </w:rPr>
        <w:t>a</w:t>
      </w:r>
      <w:proofErr w:type="spellEnd"/>
    </w:p>
    <w:p w14:paraId="7A6D2E3D" w14:textId="77777777" w:rsidR="00457AC1" w:rsidRPr="00457AC1" w:rsidRDefault="00457AC1" w:rsidP="00457AC1">
      <w:pPr>
        <w:rPr>
          <w:lang w:val="en-US"/>
        </w:rPr>
      </w:pPr>
      <w:r w:rsidRPr="00457AC1">
        <w:rPr>
          <w:noProof/>
          <w:lang w:val="en-US"/>
        </w:rPr>
        <w:drawing>
          <wp:inline distT="0" distB="0" distL="0" distR="0" wp14:anchorId="23AB3F09" wp14:editId="7B9E01E0">
            <wp:extent cx="5639435" cy="353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b="12965"/>
                    <a:stretch/>
                  </pic:blipFill>
                  <pic:spPr bwMode="auto">
                    <a:xfrm>
                      <a:off x="0" y="0"/>
                      <a:ext cx="5639435" cy="3533775"/>
                    </a:xfrm>
                    <a:prstGeom prst="rect">
                      <a:avLst/>
                    </a:prstGeom>
                    <a:noFill/>
                    <a:ln>
                      <a:noFill/>
                    </a:ln>
                    <a:extLst>
                      <a:ext uri="{53640926-AAD7-44D8-BBD7-CCE9431645EC}">
                        <a14:shadowObscured xmlns:a14="http://schemas.microsoft.com/office/drawing/2010/main"/>
                      </a:ext>
                    </a:extLst>
                  </pic:spPr>
                </pic:pic>
              </a:graphicData>
            </a:graphic>
          </wp:inline>
        </w:drawing>
      </w:r>
    </w:p>
    <w:p w14:paraId="4993DC4F" w14:textId="77777777" w:rsidR="00457AC1" w:rsidRPr="00457AC1" w:rsidRDefault="00457AC1" w:rsidP="00457AC1">
      <w:pPr>
        <w:rPr>
          <w:lang w:val="en-US"/>
        </w:rPr>
      </w:pPr>
      <w:r w:rsidRPr="00457AC1">
        <w:rPr>
          <w:noProof/>
          <w:lang w:val="en-US"/>
        </w:rPr>
        <mc:AlternateContent>
          <mc:Choice Requires="wps">
            <w:drawing>
              <wp:anchor distT="0" distB="0" distL="114300" distR="114300" simplePos="0" relativeHeight="251659264" behindDoc="0" locked="0" layoutInCell="1" allowOverlap="1" wp14:anchorId="77BAE4C2" wp14:editId="57E6E661">
                <wp:simplePos x="0" y="0"/>
                <wp:positionH relativeFrom="column">
                  <wp:posOffset>3811905</wp:posOffset>
                </wp:positionH>
                <wp:positionV relativeFrom="paragraph">
                  <wp:posOffset>2875280</wp:posOffset>
                </wp:positionV>
                <wp:extent cx="1213485" cy="246380"/>
                <wp:effectExtent l="0" t="0" r="2476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3485" cy="246380"/>
                        </a:xfrm>
                        <a:prstGeom prst="rect">
                          <a:avLst/>
                        </a:prstGeom>
                        <a:solidFill>
                          <a:srgbClr val="FFFFFF"/>
                        </a:solidFill>
                        <a:ln w="25400" cap="flat" cmpd="sng" algn="ctr">
                          <a:solidFill>
                            <a:srgbClr val="FFFFFF"/>
                          </a:solidFill>
                          <a:prstDash val="solid"/>
                        </a:ln>
                        <a:effectLst/>
                      </wps:spPr>
                      <wps:txbx>
                        <w:txbxContent>
                          <w:p w14:paraId="1C66D615" w14:textId="77777777" w:rsidR="00457AC1" w:rsidRDefault="00457AC1" w:rsidP="00457AC1">
                            <w:pPr>
                              <w:jc w:val="center"/>
                            </w:pPr>
                          </w:p>
                        </w:txbxContent>
                      </wps:txbx>
                      <wps:bodyPr/>
                    </wps:wsp>
                  </a:graphicData>
                </a:graphic>
                <wp14:sizeRelH relativeFrom="page">
                  <wp14:pctWidth>0</wp14:pctWidth>
                </wp14:sizeRelH>
                <wp14:sizeRelV relativeFrom="page">
                  <wp14:pctHeight>0</wp14:pctHeight>
                </wp14:sizeRelV>
              </wp:anchor>
            </w:drawing>
          </mc:Choice>
          <mc:Fallback>
            <w:pict>
              <v:rect w14:anchorId="77BAE4C2" id="Rectangle 12" o:spid="_x0000_s1026" style="position:absolute;margin-left:300.15pt;margin-top:226.4pt;width:95.5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" strokecolor="white" strokeweight="2pt">
                <v:path arrowok="t"/>
                <v:textbox>
                  <w:txbxContent>
                    <w:p w14:paraId="1C66D615" w14:textId="77777777" w:rsidR="00457AC1" w:rsidRDefault="00457AC1" w:rsidP="00457AC1">
                      <w:pPr>
                        <w:jc w:val="center"/>
                      </w:pPr>
                    </w:p>
                  </w:txbxContent>
                </v:textbox>
              </v:rect>
            </w:pict>
          </mc:Fallback>
        </mc:AlternateContent>
      </w:r>
      <w:r w:rsidRPr="00457AC1">
        <w:rPr>
          <w:noProof/>
          <w:lang w:val="en-US"/>
        </w:rPr>
        <w:drawing>
          <wp:inline distT="0" distB="0" distL="0" distR="0" wp14:anchorId="5020F379" wp14:editId="1B2959CD">
            <wp:extent cx="5639435" cy="4060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9435" cy="4060190"/>
                    </a:xfrm>
                    <a:prstGeom prst="rect">
                      <a:avLst/>
                    </a:prstGeom>
                    <a:noFill/>
                  </pic:spPr>
                </pic:pic>
              </a:graphicData>
            </a:graphic>
          </wp:inline>
        </w:drawing>
      </w:r>
    </w:p>
    <w:p w14:paraId="4877B02B" w14:textId="77777777" w:rsidR="00457AC1" w:rsidRPr="00562848" w:rsidRDefault="00457AC1" w:rsidP="00457AC1">
      <w:pPr>
        <w:spacing w:after="40"/>
        <w:rPr>
          <w:rFonts w:eastAsia="+mn-ea" w:cstheme="minorHAnsi"/>
          <w:lang w:val="en-US" w:eastAsia="en-GB"/>
        </w:rPr>
      </w:pPr>
      <w:bookmarkStart w:id="0" w:name="_Hlk37922866"/>
      <w:proofErr w:type="spellStart"/>
      <w:r w:rsidRPr="00562848">
        <w:rPr>
          <w:rFonts w:eastAsia="+mn-ea" w:cstheme="minorHAnsi"/>
          <w:vertAlign w:val="superscript"/>
          <w:lang w:val="en-US" w:eastAsia="en-GB"/>
        </w:rPr>
        <w:t>a</w:t>
      </w:r>
      <w:r w:rsidRPr="00562848">
        <w:rPr>
          <w:rFonts w:eastAsia="+mn-ea" w:cstheme="minorHAnsi"/>
          <w:lang w:val="en-US" w:eastAsia="en-GB"/>
        </w:rPr>
        <w:t>Median</w:t>
      </w:r>
      <w:proofErr w:type="spellEnd"/>
      <w:r w:rsidRPr="00562848">
        <w:rPr>
          <w:rFonts w:eastAsia="+mn-ea" w:cstheme="minorHAnsi"/>
          <w:lang w:val="en-US" w:eastAsia="en-GB"/>
        </w:rPr>
        <w:t xml:space="preserve"> (5</w:t>
      </w:r>
      <w:r w:rsidRPr="00562848">
        <w:rPr>
          <w:rFonts w:eastAsia="+mn-ea" w:cstheme="minorHAnsi"/>
          <w:vertAlign w:val="superscript"/>
          <w:lang w:val="en-US" w:eastAsia="en-GB"/>
        </w:rPr>
        <w:t>th</w:t>
      </w:r>
      <w:r w:rsidRPr="00562848">
        <w:rPr>
          <w:rFonts w:eastAsia="+mn-ea" w:cstheme="minorHAnsi"/>
          <w:lang w:val="en-US" w:eastAsia="en-GB"/>
        </w:rPr>
        <w:t xml:space="preserve"> and 95</w:t>
      </w:r>
      <w:r w:rsidRPr="00562848">
        <w:rPr>
          <w:rFonts w:eastAsia="+mn-ea" w:cstheme="minorHAnsi"/>
          <w:vertAlign w:val="superscript"/>
          <w:lang w:val="en-US" w:eastAsia="en-GB"/>
        </w:rPr>
        <w:t>th</w:t>
      </w:r>
      <w:r w:rsidRPr="00562848">
        <w:rPr>
          <w:rFonts w:eastAsia="+mn-ea" w:cstheme="minorHAnsi"/>
          <w:lang w:val="en-US" w:eastAsia="en-GB"/>
        </w:rPr>
        <w:t xml:space="preserve"> percentile) concentration–time data for CAB (top) and RPV (bottom) following Q4W LA administration. Values plotted at Week 4 represent steady-state oral dosing concentrations.</w:t>
      </w:r>
    </w:p>
    <w:p w14:paraId="32AE49EC" w14:textId="77777777" w:rsidR="00457AC1" w:rsidRPr="00562848" w:rsidRDefault="00457AC1" w:rsidP="00457AC1">
      <w:pPr>
        <w:spacing w:after="40"/>
        <w:rPr>
          <w:lang w:val="en-US"/>
        </w:rPr>
      </w:pPr>
      <w:proofErr w:type="spellStart"/>
      <w:r w:rsidRPr="00562848">
        <w:rPr>
          <w:vertAlign w:val="superscript"/>
          <w:lang w:val="en-US"/>
        </w:rPr>
        <w:lastRenderedPageBreak/>
        <w:t>b</w:t>
      </w:r>
      <w:r w:rsidRPr="00562848">
        <w:rPr>
          <w:lang w:val="en-US"/>
        </w:rPr>
        <w:t>Timepoint</w:t>
      </w:r>
      <w:proofErr w:type="spellEnd"/>
      <w:r w:rsidRPr="00562848">
        <w:rPr>
          <w:lang w:val="en-US"/>
        </w:rPr>
        <w:t>, n (CAB/RPV): Week 4, n=259/258; Week 8, n=252/251; Week 12, n=261; Week 16, n=248/247; Week 20, n=233; Week 24, n=234/231; Week 28, n=232; Week 32, n=219/218; Week 36, n=209; Week 40, n=209/208; Week 44, n=221/223; Week 48, n=217/216; Week 52, n=215/214; Week 96, n=19.</w:t>
      </w:r>
    </w:p>
    <w:p w14:paraId="6356B694" w14:textId="77777777" w:rsidR="00457AC1" w:rsidRPr="00562848" w:rsidRDefault="00457AC1" w:rsidP="00457AC1">
      <w:pPr>
        <w:spacing w:after="40"/>
        <w:rPr>
          <w:rFonts w:eastAsia="+mn-ea" w:cstheme="minorHAnsi"/>
          <w:lang w:val="en-US" w:eastAsia="en-GB"/>
        </w:rPr>
      </w:pPr>
      <w:proofErr w:type="spellStart"/>
      <w:r w:rsidRPr="00562848">
        <w:rPr>
          <w:rFonts w:eastAsia="+mn-ea" w:cstheme="minorHAnsi"/>
          <w:vertAlign w:val="superscript"/>
          <w:lang w:val="en-US" w:eastAsia="en-GB"/>
        </w:rPr>
        <w:t>c</w:t>
      </w:r>
      <w:r w:rsidRPr="00562848">
        <w:rPr>
          <w:rFonts w:eastAsia="+mn-ea" w:cstheme="minorHAnsi"/>
          <w:lang w:val="en-US" w:eastAsia="en-GB"/>
        </w:rPr>
        <w:t>Sparse</w:t>
      </w:r>
      <w:proofErr w:type="spellEnd"/>
      <w:r w:rsidRPr="00562848">
        <w:rPr>
          <w:rFonts w:eastAsia="+mn-ea" w:cstheme="minorHAnsi"/>
          <w:lang w:val="en-US" w:eastAsia="en-GB"/>
        </w:rPr>
        <w:t xml:space="preserve"> pharmacokinetic sampling. Data for the Switch arm is time-adjusted to data from the LA arm (i.e. Week 56 values for the Switch arm are plotted to Week 4, Week 60 values are plotted to Week 8, and Week 96 values are plotted to Week 44). Timepoint, n (CAB/RPV): Week 56, n=149; Week 60, n=127; Week 96, n=24. </w:t>
      </w:r>
    </w:p>
    <w:p w14:paraId="10A72F6C" w14:textId="77777777" w:rsidR="00457AC1" w:rsidRPr="00457AC1" w:rsidRDefault="00457AC1" w:rsidP="00457AC1">
      <w:pPr>
        <w:spacing w:after="40"/>
        <w:rPr>
          <w:rFonts w:eastAsia="+mn-ea" w:cstheme="minorHAnsi"/>
          <w:lang w:val="en-US" w:eastAsia="en-GB"/>
        </w:rPr>
      </w:pPr>
      <w:r w:rsidRPr="00562848">
        <w:rPr>
          <w:rFonts w:eastAsia="+mn-ea" w:cstheme="minorHAnsi"/>
          <w:lang w:val="en-US" w:eastAsia="en-GB"/>
        </w:rPr>
        <w:br/>
        <w:t>CAB, cabotegravir; LA, long-acting; PA-IC</w:t>
      </w:r>
      <w:r w:rsidRPr="00562848">
        <w:rPr>
          <w:rFonts w:eastAsia="+mn-ea" w:cstheme="minorHAnsi"/>
          <w:vertAlign w:val="subscript"/>
          <w:lang w:val="en-US" w:eastAsia="en-GB"/>
        </w:rPr>
        <w:t>90</w:t>
      </w:r>
      <w:r w:rsidRPr="00562848">
        <w:rPr>
          <w:rFonts w:eastAsia="+mn-ea" w:cstheme="minorHAnsi"/>
          <w:lang w:val="en-US" w:eastAsia="en-GB"/>
        </w:rPr>
        <w:t xml:space="preserve">, protein binding–adjusted concentration required for 90% inhibition; Q4W, </w:t>
      </w:r>
      <w:r w:rsidRPr="00562848">
        <w:rPr>
          <w:lang w:val="en-US"/>
        </w:rPr>
        <w:t>every 4 weeks;</w:t>
      </w:r>
      <w:r w:rsidRPr="00562848">
        <w:rPr>
          <w:rFonts w:eastAsia="+mn-ea" w:cstheme="minorHAnsi"/>
          <w:lang w:val="en-US" w:eastAsia="en-GB"/>
        </w:rPr>
        <w:t xml:space="preserve"> RPV, rilpivirine.</w:t>
      </w:r>
    </w:p>
    <w:bookmarkEnd w:id="0"/>
    <w:p w14:paraId="78D30C09" w14:textId="77777777" w:rsidR="00457AC1" w:rsidRPr="00457AC1" w:rsidRDefault="00457AC1" w:rsidP="00457AC1">
      <w:pPr>
        <w:rPr>
          <w:lang w:val="en-US"/>
        </w:rPr>
      </w:pPr>
    </w:p>
    <w:p w14:paraId="5381B240" w14:textId="77777777" w:rsidR="00457AC1" w:rsidRPr="00457AC1" w:rsidRDefault="00457AC1" w:rsidP="00457AC1">
      <w:pPr>
        <w:rPr>
          <w:lang w:val="en-US"/>
        </w:rPr>
      </w:pPr>
    </w:p>
    <w:p w14:paraId="31A01A31" w14:textId="77777777" w:rsidR="00457AC1" w:rsidRPr="00457AC1" w:rsidRDefault="00457AC1" w:rsidP="00457AC1">
      <w:pPr>
        <w:rPr>
          <w:lang w:val="en-US"/>
        </w:rPr>
      </w:pPr>
    </w:p>
    <w:p w14:paraId="66199494" w14:textId="77777777" w:rsidR="00457AC1" w:rsidRPr="00457AC1" w:rsidRDefault="00457AC1" w:rsidP="00457AC1">
      <w:pPr>
        <w:rPr>
          <w:lang w:val="en-US"/>
        </w:rPr>
        <w:sectPr w:rsidR="00457AC1" w:rsidRPr="00457AC1" w:rsidSect="00AC6E21">
          <w:pgSz w:w="11906" w:h="16838"/>
          <w:pgMar w:top="1440" w:right="1440" w:bottom="1440" w:left="1440" w:header="708" w:footer="708" w:gutter="0"/>
          <w:cols w:space="708"/>
          <w:docGrid w:linePitch="360"/>
        </w:sectPr>
      </w:pPr>
    </w:p>
    <w:p w14:paraId="7E65D63E" w14:textId="77777777" w:rsidR="00457AC1" w:rsidRPr="00457AC1" w:rsidRDefault="00457AC1" w:rsidP="00457AC1">
      <w:pPr>
        <w:keepNext/>
        <w:keepLines/>
        <w:spacing w:before="40" w:after="0"/>
        <w:outlineLvl w:val="2"/>
        <w:rPr>
          <w:rFonts w:asciiTheme="majorHAnsi" w:eastAsia="Raleway" w:hAnsiTheme="majorHAnsi" w:cstheme="majorBidi"/>
          <w:color w:val="1F3763" w:themeColor="accent1" w:themeShade="7F"/>
          <w:sz w:val="24"/>
          <w:szCs w:val="24"/>
          <w:lang w:val="en-US" w:eastAsia="en-GB"/>
        </w:rPr>
      </w:pPr>
      <w:bookmarkStart w:id="1" w:name="_GoBack"/>
      <w:r w:rsidRPr="00457AC1">
        <w:rPr>
          <w:rFonts w:asciiTheme="majorHAnsi" w:eastAsia="Raleway" w:hAnsiTheme="majorHAnsi" w:cstheme="majorBidi"/>
          <w:color w:val="1F3763" w:themeColor="accent1" w:themeShade="7F"/>
          <w:sz w:val="24"/>
          <w:szCs w:val="24"/>
          <w:lang w:val="en-US" w:eastAsia="en-GB"/>
        </w:rPr>
        <w:lastRenderedPageBreak/>
        <w:t>Table S1. Overview of common non-serious AEs</w:t>
      </w:r>
    </w:p>
    <w:bookmarkEnd w:id="1"/>
    <w:tbl>
      <w:tblPr>
        <w:tblStyle w:val="PlainTable4"/>
        <w:tblpPr w:leftFromText="180" w:rightFromText="180" w:vertAnchor="text" w:horzAnchor="margin" w:tblpY="231"/>
        <w:tblW w:w="9781" w:type="dxa"/>
        <w:tblLook w:val="0420" w:firstRow="1" w:lastRow="0" w:firstColumn="0" w:lastColumn="0" w:noHBand="0" w:noVBand="1"/>
      </w:tblPr>
      <w:tblGrid>
        <w:gridCol w:w="3261"/>
        <w:gridCol w:w="1630"/>
        <w:gridCol w:w="1630"/>
        <w:gridCol w:w="1630"/>
        <w:gridCol w:w="1630"/>
      </w:tblGrid>
      <w:tr w:rsidR="00457AC1" w:rsidRPr="00457AC1" w14:paraId="3C725BA4" w14:textId="77777777" w:rsidTr="0069168A">
        <w:trPr>
          <w:cnfStyle w:val="100000000000" w:firstRow="1" w:lastRow="0" w:firstColumn="0" w:lastColumn="0" w:oddVBand="0" w:evenVBand="0" w:oddHBand="0" w:evenHBand="0" w:firstRowFirstColumn="0" w:firstRowLastColumn="0" w:lastRowFirstColumn="0" w:lastRowLastColumn="0"/>
          <w:trHeight w:val="663"/>
        </w:trPr>
        <w:tc>
          <w:tcPr>
            <w:tcW w:w="3261" w:type="dxa"/>
          </w:tcPr>
          <w:p w14:paraId="23D8F89E" w14:textId="77777777" w:rsidR="00457AC1" w:rsidRPr="00457AC1" w:rsidRDefault="00457AC1" w:rsidP="00457AC1">
            <w:pPr>
              <w:rPr>
                <w:rFonts w:eastAsia="Times New Roman" w:cstheme="minorHAnsi"/>
                <w:lang w:val="en-US" w:eastAsia="en-GB"/>
              </w:rPr>
            </w:pPr>
          </w:p>
        </w:tc>
        <w:tc>
          <w:tcPr>
            <w:tcW w:w="3260" w:type="dxa"/>
            <w:gridSpan w:val="2"/>
          </w:tcPr>
          <w:p w14:paraId="55C6950C" w14:textId="2C457195" w:rsidR="00457AC1" w:rsidRPr="00457AC1" w:rsidRDefault="00457AC1" w:rsidP="00457AC1">
            <w:pPr>
              <w:jc w:val="center"/>
              <w:rPr>
                <w:rFonts w:eastAsia="Calibri" w:cstheme="minorHAnsi"/>
                <w:lang w:val="en-US"/>
              </w:rPr>
            </w:pPr>
            <w:r w:rsidRPr="00457AC1">
              <w:rPr>
                <w:rFonts w:eastAsia="Calibri" w:cstheme="minorHAnsi"/>
                <w:lang w:val="en-US"/>
              </w:rPr>
              <w:t>Maintenance Phas</w:t>
            </w:r>
            <w:r w:rsidRPr="00562848">
              <w:rPr>
                <w:rFonts w:eastAsia="Calibri" w:cstheme="minorHAnsi"/>
                <w:lang w:val="en-US"/>
              </w:rPr>
              <w:t>e</w:t>
            </w:r>
            <w:r w:rsidR="00562848">
              <w:rPr>
                <w:rFonts w:eastAsia="Calibri" w:cstheme="minorHAnsi"/>
                <w:lang w:val="en-US"/>
              </w:rPr>
              <w:fldChar w:fldCharType="begin">
                <w:fldData xml:space="preserve">PEVuZE5vdGU+PENpdGU+PEF1dGhvcj5Td2luZGVsbHM8L0F1dGhvcj48WWVhcj4yMDIwPC9ZZWFy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</w:fldData>
              </w:fldChar>
            </w:r>
            <w:r w:rsidR="00700BCA">
              <w:rPr>
                <w:rFonts w:eastAsia="Calibri" w:cstheme="minorHAnsi"/>
                <w:lang w:val="en-US"/>
              </w:rPr>
              <w:instrText xml:space="preserve"> ADDIN EN.CITE </w:instrText>
            </w:r>
            <w:r w:rsidR="00700BCA">
              <w:rPr>
                <w:rFonts w:eastAsia="Calibri" w:cstheme="minorHAnsi"/>
                <w:lang w:val="en-US"/>
              </w:rPr>
              <w:fldChar w:fldCharType="begin">
                <w:fldData xml:space="preserve">PEVuZE5vdGU+PENpdGU+PEF1dGhvcj5Td2luZGVsbHM8L0F1dGhvcj48WWVhcj4yMDIwPC9ZZWFy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</w:fldData>
              </w:fldChar>
            </w:r>
            <w:r w:rsidR="00700BCA">
              <w:rPr>
                <w:rFonts w:eastAsia="Calibri" w:cstheme="minorHAnsi"/>
                <w:lang w:val="en-US"/>
              </w:rPr>
              <w:instrText xml:space="preserve"> ADDIN EN.CITE.DATA </w:instrText>
            </w:r>
            <w:r w:rsidR="00700BCA">
              <w:rPr>
                <w:rFonts w:eastAsia="Calibri" w:cstheme="minorHAnsi"/>
                <w:lang w:val="en-US"/>
              </w:rPr>
            </w:r>
            <w:r w:rsidR="00700BCA">
              <w:rPr>
                <w:rFonts w:eastAsia="Calibri" w:cstheme="minorHAnsi"/>
                <w:lang w:val="en-US"/>
              </w:rPr>
              <w:fldChar w:fldCharType="end"/>
            </w:r>
            <w:r w:rsidR="00562848">
              <w:rPr>
                <w:rFonts w:eastAsia="Calibri" w:cstheme="minorHAnsi"/>
                <w:lang w:val="en-US"/>
              </w:rPr>
            </w:r>
            <w:r w:rsidR="00562848">
              <w:rPr>
                <w:rFonts w:eastAsia="Calibri" w:cstheme="minorHAnsi"/>
                <w:lang w:val="en-US"/>
              </w:rPr>
              <w:fldChar w:fldCharType="separate"/>
            </w:r>
            <w:r w:rsidR="00700BCA" w:rsidRPr="00700BCA">
              <w:rPr>
                <w:rFonts w:eastAsia="Calibri" w:cstheme="minorHAnsi"/>
                <w:noProof/>
                <w:vertAlign w:val="superscript"/>
                <w:lang w:val="en-US"/>
              </w:rPr>
              <w:t>[1]</w:t>
            </w:r>
            <w:r w:rsidR="00562848">
              <w:rPr>
                <w:rFonts w:eastAsia="Calibri" w:cstheme="minorHAnsi"/>
                <w:lang w:val="en-US"/>
              </w:rPr>
              <w:fldChar w:fldCharType="end"/>
            </w:r>
          </w:p>
        </w:tc>
        <w:tc>
          <w:tcPr>
            <w:tcW w:w="3260" w:type="dxa"/>
            <w:gridSpan w:val="2"/>
          </w:tcPr>
          <w:p w14:paraId="3E50CA6C" w14:textId="77777777" w:rsidR="00457AC1" w:rsidRPr="00457AC1" w:rsidRDefault="00457AC1" w:rsidP="00457AC1">
            <w:pPr>
              <w:keepNext/>
              <w:spacing w:before="20" w:after="20"/>
              <w:jc w:val="center"/>
              <w:rPr>
                <w:rFonts w:eastAsia="Calibri" w:cstheme="minorHAnsi"/>
                <w:lang w:val="en-US"/>
              </w:rPr>
            </w:pPr>
            <w:r w:rsidRPr="00457AC1">
              <w:rPr>
                <w:rFonts w:eastAsia="Calibri" w:cstheme="minorHAnsi"/>
                <w:lang w:val="en-US"/>
              </w:rPr>
              <w:t>Extension Phase</w:t>
            </w:r>
          </w:p>
        </w:tc>
      </w:tr>
      <w:tr w:rsidR="00457AC1" w:rsidRPr="00457AC1" w14:paraId="602A9F5D" w14:textId="77777777" w:rsidTr="0069168A">
        <w:trPr>
          <w:cnfStyle w:val="000000100000" w:firstRow="0" w:lastRow="0" w:firstColumn="0" w:lastColumn="0" w:oddVBand="0" w:evenVBand="0" w:oddHBand="1" w:evenHBand="0" w:firstRowFirstColumn="0" w:firstRowLastColumn="0" w:lastRowFirstColumn="0" w:lastRowLastColumn="0"/>
          <w:trHeight w:val="663"/>
        </w:trPr>
        <w:tc>
          <w:tcPr>
            <w:tcW w:w="0" w:type="dxa"/>
            <w:hideMark/>
          </w:tcPr>
          <w:p w14:paraId="0A326438" w14:textId="77777777" w:rsidR="00457AC1" w:rsidRPr="00457AC1" w:rsidRDefault="00457AC1" w:rsidP="00457AC1">
            <w:pPr>
              <w:rPr>
                <w:rFonts w:eastAsia="Times New Roman" w:cstheme="minorHAnsi"/>
                <w:b/>
                <w:bCs/>
                <w:lang w:val="en-US" w:eastAsia="en-GB"/>
              </w:rPr>
            </w:pPr>
            <w:proofErr w:type="spellStart"/>
            <w:r w:rsidRPr="00457AC1">
              <w:rPr>
                <w:rFonts w:eastAsia="Times New Roman" w:cstheme="minorHAnsi"/>
                <w:b/>
                <w:bCs/>
                <w:lang w:val="en-US" w:eastAsia="en-GB"/>
              </w:rPr>
              <w:t>Common</w:t>
            </w:r>
            <w:r w:rsidRPr="00457AC1">
              <w:rPr>
                <w:rFonts w:eastAsia="Times New Roman" w:cstheme="minorHAnsi"/>
                <w:b/>
                <w:bCs/>
                <w:vertAlign w:val="superscript"/>
                <w:lang w:val="en-US" w:eastAsia="en-GB"/>
              </w:rPr>
              <w:t>a</w:t>
            </w:r>
            <w:proofErr w:type="spellEnd"/>
            <w:r w:rsidRPr="00457AC1">
              <w:rPr>
                <w:rFonts w:eastAsia="Times New Roman" w:cstheme="minorHAnsi"/>
                <w:b/>
                <w:bCs/>
                <w:lang w:val="en-US" w:eastAsia="en-GB"/>
              </w:rPr>
              <w:t xml:space="preserve"> AEs excluding ISRs, </w:t>
            </w:r>
            <w:r w:rsidRPr="00457AC1">
              <w:rPr>
                <w:rFonts w:eastAsia="Times New Roman" w:cstheme="minorHAnsi"/>
                <w:b/>
                <w:bCs/>
                <w:lang w:val="en-US" w:eastAsia="en-GB"/>
              </w:rPr>
              <w:br/>
              <w:t>n (%)</w:t>
            </w:r>
          </w:p>
        </w:tc>
        <w:tc>
          <w:tcPr>
            <w:tcW w:w="1630" w:type="dxa"/>
            <w:hideMark/>
          </w:tcPr>
          <w:p w14:paraId="4A3B7051"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LA arm</w:t>
            </w:r>
          </w:p>
          <w:p w14:paraId="6550A133"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 (Day 1 to </w:t>
            </w:r>
            <w:r w:rsidRPr="00457AC1">
              <w:rPr>
                <w:rFonts w:eastAsia="Calibri" w:cstheme="minorHAnsi"/>
                <w:b/>
                <w:lang w:val="en-US"/>
              </w:rPr>
              <w:br/>
              <w:t>Week 52)</w:t>
            </w:r>
            <w:r w:rsidRPr="00457AC1">
              <w:rPr>
                <w:rFonts w:eastAsia="Calibri" w:cstheme="minorHAnsi"/>
                <w:b/>
                <w:lang w:val="en-US"/>
              </w:rPr>
              <w:br/>
              <w:t>n=308</w:t>
            </w:r>
          </w:p>
        </w:tc>
        <w:tc>
          <w:tcPr>
            <w:tcW w:w="1630" w:type="dxa"/>
            <w:hideMark/>
          </w:tcPr>
          <w:p w14:paraId="61451032"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CAR arm </w:t>
            </w:r>
            <w:r w:rsidRPr="00457AC1">
              <w:rPr>
                <w:rFonts w:eastAsia="Calibri" w:cstheme="minorHAnsi"/>
                <w:b/>
                <w:lang w:val="en-US"/>
              </w:rPr>
              <w:br/>
              <w:t xml:space="preserve">(Day 1 to </w:t>
            </w:r>
            <w:r w:rsidRPr="00457AC1">
              <w:rPr>
                <w:rFonts w:eastAsia="Calibri" w:cstheme="minorHAnsi"/>
                <w:b/>
                <w:lang w:val="en-US"/>
              </w:rPr>
              <w:br/>
              <w:t>Week 52)</w:t>
            </w:r>
            <w:r w:rsidRPr="00457AC1">
              <w:rPr>
                <w:rFonts w:eastAsia="Calibri" w:cstheme="minorHAnsi"/>
                <w:b/>
                <w:lang w:val="en-US"/>
              </w:rPr>
              <w:br/>
              <w:t>n=308</w:t>
            </w:r>
          </w:p>
        </w:tc>
        <w:tc>
          <w:tcPr>
            <w:tcW w:w="1630" w:type="dxa"/>
            <w:hideMark/>
          </w:tcPr>
          <w:p w14:paraId="318B32DE"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 xml:space="preserve">LA </w:t>
            </w:r>
            <w:proofErr w:type="spellStart"/>
            <w:r w:rsidRPr="00457AC1">
              <w:rPr>
                <w:rFonts w:eastAsia="Calibri" w:cstheme="minorHAnsi"/>
                <w:b/>
                <w:lang w:val="en-US"/>
              </w:rPr>
              <w:t>arm</w:t>
            </w:r>
            <w:r w:rsidRPr="00457AC1">
              <w:rPr>
                <w:rFonts w:eastAsia="Calibri" w:cstheme="minorHAnsi"/>
                <w:b/>
                <w:vertAlign w:val="superscript"/>
                <w:lang w:val="en-US"/>
              </w:rPr>
              <w:t>b</w:t>
            </w:r>
            <w:proofErr w:type="spellEnd"/>
            <w:r w:rsidRPr="00457AC1">
              <w:rPr>
                <w:rFonts w:eastAsia="Calibri" w:cstheme="minorHAnsi"/>
                <w:b/>
                <w:lang w:val="en-US"/>
              </w:rPr>
              <w:t xml:space="preserve"> </w:t>
            </w:r>
          </w:p>
          <w:p w14:paraId="442B4D48"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 xml:space="preserve">(Week 52 to </w:t>
            </w:r>
            <w:r w:rsidRPr="00457AC1">
              <w:rPr>
                <w:rFonts w:eastAsia="Calibri" w:cstheme="minorHAnsi"/>
                <w:b/>
                <w:lang w:val="en-US"/>
              </w:rPr>
              <w:br/>
              <w:t>Week 96)</w:t>
            </w:r>
            <w:r w:rsidRPr="00457AC1">
              <w:rPr>
                <w:rFonts w:eastAsia="Calibri" w:cstheme="minorHAnsi"/>
                <w:b/>
                <w:vertAlign w:val="superscript"/>
                <w:lang w:val="en-US"/>
              </w:rPr>
              <w:t>c</w:t>
            </w:r>
          </w:p>
          <w:p w14:paraId="4C40ACCE" w14:textId="77777777" w:rsidR="00457AC1" w:rsidRPr="00457AC1" w:rsidRDefault="00457AC1" w:rsidP="00457AC1">
            <w:pPr>
              <w:rPr>
                <w:rFonts w:eastAsia="Times New Roman" w:cstheme="minorHAnsi"/>
                <w:lang w:val="en-US" w:eastAsia="en-GB"/>
              </w:rPr>
            </w:pPr>
          </w:p>
        </w:tc>
        <w:tc>
          <w:tcPr>
            <w:tcW w:w="1630" w:type="dxa"/>
            <w:hideMark/>
          </w:tcPr>
          <w:p w14:paraId="68323905"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Switch arm</w:t>
            </w:r>
          </w:p>
          <w:p w14:paraId="69C25B04"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 (Week 52 to </w:t>
            </w:r>
            <w:r w:rsidRPr="00457AC1">
              <w:rPr>
                <w:rFonts w:eastAsia="Calibri" w:cstheme="minorHAnsi"/>
                <w:b/>
                <w:lang w:val="en-US"/>
              </w:rPr>
              <w:br/>
              <w:t>Week 96)</w:t>
            </w:r>
            <w:r w:rsidRPr="00457AC1">
              <w:rPr>
                <w:rFonts w:eastAsia="Calibri" w:cstheme="minorHAnsi"/>
                <w:b/>
                <w:vertAlign w:val="superscript"/>
                <w:lang w:val="en-US"/>
              </w:rPr>
              <w:t>d</w:t>
            </w:r>
            <w:r w:rsidRPr="00457AC1">
              <w:rPr>
                <w:rFonts w:eastAsia="Calibri" w:cstheme="minorHAnsi"/>
                <w:b/>
                <w:lang w:val="en-US"/>
              </w:rPr>
              <w:br/>
            </w:r>
          </w:p>
        </w:tc>
      </w:tr>
      <w:tr w:rsidR="00457AC1" w:rsidRPr="00457AC1" w14:paraId="1A40ED80" w14:textId="77777777" w:rsidTr="0069168A">
        <w:trPr>
          <w:trHeight w:val="276"/>
        </w:trPr>
        <w:tc>
          <w:tcPr>
            <w:tcW w:w="3261" w:type="dxa"/>
          </w:tcPr>
          <w:p w14:paraId="5E3096BD" w14:textId="77777777" w:rsidR="00457AC1" w:rsidRPr="00457AC1" w:rsidRDefault="00457AC1" w:rsidP="00457AC1">
            <w:pPr>
              <w:rPr>
                <w:rFonts w:eastAsia="Times New Roman" w:cstheme="minorHAnsi"/>
                <w:kern w:val="24"/>
                <w:lang w:val="en-US" w:eastAsia="en-GB"/>
              </w:rPr>
            </w:pPr>
            <w:r w:rsidRPr="00457AC1">
              <w:rPr>
                <w:rFonts w:eastAsia="Times New Roman" w:cstheme="minorHAnsi"/>
                <w:kern w:val="24"/>
                <w:lang w:val="en-US" w:eastAsia="en-GB"/>
              </w:rPr>
              <w:t xml:space="preserve">Nasopharyngitis </w:t>
            </w:r>
          </w:p>
        </w:tc>
        <w:tc>
          <w:tcPr>
            <w:tcW w:w="1630" w:type="dxa"/>
          </w:tcPr>
          <w:p w14:paraId="0913B657"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52 (17)</w:t>
            </w:r>
          </w:p>
        </w:tc>
        <w:tc>
          <w:tcPr>
            <w:tcW w:w="1630" w:type="dxa"/>
          </w:tcPr>
          <w:p w14:paraId="5446EDBD"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42 (14)</w:t>
            </w:r>
          </w:p>
        </w:tc>
        <w:tc>
          <w:tcPr>
            <w:tcW w:w="1630" w:type="dxa"/>
          </w:tcPr>
          <w:p w14:paraId="401B4619"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7</w:t>
            </w:r>
          </w:p>
        </w:tc>
        <w:tc>
          <w:tcPr>
            <w:tcW w:w="1630" w:type="dxa"/>
          </w:tcPr>
          <w:p w14:paraId="715D1022"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10</w:t>
            </w:r>
          </w:p>
        </w:tc>
      </w:tr>
      <w:tr w:rsidR="00457AC1" w:rsidRPr="00457AC1" w14:paraId="76A2EB36"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0" w:type="dxa"/>
          </w:tcPr>
          <w:p w14:paraId="47E418CC"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Headache</w:t>
            </w:r>
          </w:p>
        </w:tc>
        <w:tc>
          <w:tcPr>
            <w:tcW w:w="1630" w:type="dxa"/>
          </w:tcPr>
          <w:p w14:paraId="14982706"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34 (11)</w:t>
            </w:r>
          </w:p>
        </w:tc>
        <w:tc>
          <w:tcPr>
            <w:tcW w:w="1630" w:type="dxa"/>
          </w:tcPr>
          <w:p w14:paraId="2C1DCDA6"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17 (6)</w:t>
            </w:r>
          </w:p>
        </w:tc>
        <w:tc>
          <w:tcPr>
            <w:tcW w:w="1630" w:type="dxa"/>
          </w:tcPr>
          <w:p w14:paraId="0E672330"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1</w:t>
            </w:r>
          </w:p>
        </w:tc>
        <w:tc>
          <w:tcPr>
            <w:tcW w:w="1630" w:type="dxa"/>
          </w:tcPr>
          <w:p w14:paraId="25BD9FA9"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4</w:t>
            </w:r>
          </w:p>
        </w:tc>
      </w:tr>
      <w:tr w:rsidR="00457AC1" w:rsidRPr="00457AC1" w14:paraId="144BCB21" w14:textId="77777777" w:rsidTr="0069168A">
        <w:trPr>
          <w:trHeight w:val="276"/>
        </w:trPr>
        <w:tc>
          <w:tcPr>
            <w:tcW w:w="3261" w:type="dxa"/>
          </w:tcPr>
          <w:p w14:paraId="63266822"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Upper respiratory tract infection</w:t>
            </w:r>
          </w:p>
        </w:tc>
        <w:tc>
          <w:tcPr>
            <w:tcW w:w="1630" w:type="dxa"/>
          </w:tcPr>
          <w:p w14:paraId="5375C162"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32 (10)</w:t>
            </w:r>
          </w:p>
        </w:tc>
        <w:tc>
          <w:tcPr>
            <w:tcW w:w="1630" w:type="dxa"/>
          </w:tcPr>
          <w:p w14:paraId="6788AF0E"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25 (8)</w:t>
            </w:r>
          </w:p>
        </w:tc>
        <w:tc>
          <w:tcPr>
            <w:tcW w:w="1630" w:type="dxa"/>
          </w:tcPr>
          <w:p w14:paraId="01B09FDB"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4</w:t>
            </w:r>
          </w:p>
        </w:tc>
        <w:tc>
          <w:tcPr>
            <w:tcW w:w="1630" w:type="dxa"/>
          </w:tcPr>
          <w:p w14:paraId="6FF13A05"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2</w:t>
            </w:r>
          </w:p>
        </w:tc>
      </w:tr>
      <w:tr w:rsidR="00457AC1" w:rsidRPr="00457AC1" w14:paraId="5FEB32B1"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0" w:type="dxa"/>
            <w:hideMark/>
          </w:tcPr>
          <w:p w14:paraId="3ABC7E64"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 xml:space="preserve">Diarrhea </w:t>
            </w:r>
          </w:p>
        </w:tc>
        <w:tc>
          <w:tcPr>
            <w:tcW w:w="1630" w:type="dxa"/>
            <w:hideMark/>
          </w:tcPr>
          <w:p w14:paraId="6C498E27" w14:textId="77777777" w:rsidR="00457AC1" w:rsidRPr="00457AC1" w:rsidRDefault="00457AC1" w:rsidP="00457AC1">
            <w:pPr>
              <w:ind w:left="144"/>
              <w:jc w:val="center"/>
              <w:rPr>
                <w:rFonts w:eastAsia="Times New Roman" w:cstheme="minorHAnsi"/>
                <w:lang w:val="en-US" w:eastAsia="en-GB"/>
              </w:rPr>
            </w:pPr>
            <w:r w:rsidRPr="00457AC1">
              <w:rPr>
                <w:rFonts w:eastAsia="Times New Roman" w:cstheme="minorHAnsi"/>
                <w:lang w:val="en-US" w:eastAsia="en-GB"/>
              </w:rPr>
              <w:t>22 (7)</w:t>
            </w:r>
          </w:p>
        </w:tc>
        <w:tc>
          <w:tcPr>
            <w:tcW w:w="1630" w:type="dxa"/>
            <w:hideMark/>
          </w:tcPr>
          <w:p w14:paraId="5CDF677A" w14:textId="77777777" w:rsidR="00457AC1" w:rsidRPr="00457AC1" w:rsidRDefault="00457AC1" w:rsidP="00457AC1">
            <w:pPr>
              <w:ind w:left="144"/>
              <w:jc w:val="center"/>
              <w:rPr>
                <w:rFonts w:eastAsia="Times New Roman" w:cstheme="minorHAnsi"/>
                <w:lang w:val="en-US" w:eastAsia="en-GB"/>
              </w:rPr>
            </w:pPr>
            <w:r w:rsidRPr="00457AC1">
              <w:rPr>
                <w:rFonts w:eastAsia="Calibri" w:cstheme="minorHAnsi"/>
                <w:lang w:val="en-US"/>
              </w:rPr>
              <w:t>15 (5)</w:t>
            </w:r>
          </w:p>
        </w:tc>
        <w:tc>
          <w:tcPr>
            <w:tcW w:w="1630" w:type="dxa"/>
            <w:hideMark/>
          </w:tcPr>
          <w:p w14:paraId="01919029"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2</w:t>
            </w:r>
          </w:p>
        </w:tc>
        <w:tc>
          <w:tcPr>
            <w:tcW w:w="1630" w:type="dxa"/>
            <w:hideMark/>
          </w:tcPr>
          <w:p w14:paraId="48542A65"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6</w:t>
            </w:r>
          </w:p>
        </w:tc>
      </w:tr>
      <w:tr w:rsidR="00457AC1" w:rsidRPr="00457AC1" w14:paraId="579207CF" w14:textId="77777777" w:rsidTr="0069168A">
        <w:trPr>
          <w:trHeight w:val="276"/>
        </w:trPr>
        <w:tc>
          <w:tcPr>
            <w:tcW w:w="3261" w:type="dxa"/>
          </w:tcPr>
          <w:p w14:paraId="5D0498F9"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 xml:space="preserve">Fatigue </w:t>
            </w:r>
          </w:p>
        </w:tc>
        <w:tc>
          <w:tcPr>
            <w:tcW w:w="1630" w:type="dxa"/>
          </w:tcPr>
          <w:p w14:paraId="146D7F25" w14:textId="77777777" w:rsidR="00457AC1" w:rsidRPr="00457AC1" w:rsidRDefault="00457AC1" w:rsidP="00457AC1">
            <w:pPr>
              <w:ind w:left="144"/>
              <w:jc w:val="center"/>
              <w:rPr>
                <w:rFonts w:eastAsia="Times New Roman" w:cstheme="minorHAnsi"/>
                <w:lang w:val="en-US" w:eastAsia="en-GB"/>
              </w:rPr>
            </w:pPr>
            <w:r w:rsidRPr="00457AC1">
              <w:rPr>
                <w:rFonts w:eastAsia="Times New Roman" w:cstheme="minorHAnsi"/>
                <w:lang w:val="en-US" w:eastAsia="en-GB"/>
              </w:rPr>
              <w:t>22 (7)</w:t>
            </w:r>
          </w:p>
        </w:tc>
        <w:tc>
          <w:tcPr>
            <w:tcW w:w="1630" w:type="dxa"/>
          </w:tcPr>
          <w:p w14:paraId="47B37D7E" w14:textId="77777777" w:rsidR="00457AC1" w:rsidRPr="00457AC1" w:rsidRDefault="00457AC1" w:rsidP="00457AC1">
            <w:pPr>
              <w:ind w:left="144"/>
              <w:jc w:val="center"/>
              <w:rPr>
                <w:rFonts w:eastAsia="Calibri" w:cstheme="minorHAnsi"/>
                <w:lang w:val="en-US"/>
              </w:rPr>
            </w:pPr>
            <w:r w:rsidRPr="00457AC1">
              <w:rPr>
                <w:rFonts w:eastAsia="Calibri" w:cstheme="minorHAnsi"/>
                <w:lang w:val="en-US"/>
              </w:rPr>
              <w:t>6 (2)</w:t>
            </w:r>
          </w:p>
        </w:tc>
        <w:tc>
          <w:tcPr>
            <w:tcW w:w="1630" w:type="dxa"/>
          </w:tcPr>
          <w:p w14:paraId="4BE21673"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1</w:t>
            </w:r>
          </w:p>
        </w:tc>
        <w:tc>
          <w:tcPr>
            <w:tcW w:w="1630" w:type="dxa"/>
          </w:tcPr>
          <w:p w14:paraId="3B842526"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5</w:t>
            </w:r>
          </w:p>
        </w:tc>
      </w:tr>
      <w:tr w:rsidR="00457AC1" w:rsidRPr="00457AC1" w14:paraId="37279B60"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0" w:type="dxa"/>
          </w:tcPr>
          <w:p w14:paraId="18426459"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Pyrexia</w:t>
            </w:r>
          </w:p>
        </w:tc>
        <w:tc>
          <w:tcPr>
            <w:tcW w:w="1630" w:type="dxa"/>
          </w:tcPr>
          <w:p w14:paraId="46105D22" w14:textId="77777777" w:rsidR="00457AC1" w:rsidRPr="00457AC1" w:rsidRDefault="00457AC1" w:rsidP="00457AC1">
            <w:pPr>
              <w:ind w:left="144"/>
              <w:jc w:val="center"/>
              <w:rPr>
                <w:rFonts w:eastAsia="Times New Roman" w:cstheme="minorHAnsi"/>
                <w:lang w:val="en-US" w:eastAsia="en-GB"/>
              </w:rPr>
            </w:pPr>
            <w:r w:rsidRPr="00457AC1">
              <w:rPr>
                <w:rFonts w:eastAsia="Times New Roman" w:cstheme="minorHAnsi"/>
                <w:lang w:val="en-US" w:eastAsia="en-GB"/>
              </w:rPr>
              <w:t>21 (7)</w:t>
            </w:r>
          </w:p>
        </w:tc>
        <w:tc>
          <w:tcPr>
            <w:tcW w:w="1630" w:type="dxa"/>
          </w:tcPr>
          <w:p w14:paraId="7CD1C108" w14:textId="77777777" w:rsidR="00457AC1" w:rsidRPr="00457AC1" w:rsidRDefault="00457AC1" w:rsidP="00457AC1">
            <w:pPr>
              <w:ind w:left="144"/>
              <w:jc w:val="center"/>
              <w:rPr>
                <w:rFonts w:eastAsia="Calibri" w:cstheme="minorHAnsi"/>
                <w:lang w:val="en-US"/>
              </w:rPr>
            </w:pPr>
            <w:r w:rsidRPr="00457AC1">
              <w:rPr>
                <w:rFonts w:eastAsia="Calibri" w:cstheme="minorHAnsi"/>
                <w:lang w:val="en-US"/>
              </w:rPr>
              <w:t>9 (3)</w:t>
            </w:r>
          </w:p>
        </w:tc>
        <w:tc>
          <w:tcPr>
            <w:tcW w:w="1630" w:type="dxa"/>
          </w:tcPr>
          <w:p w14:paraId="15E74E63"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0</w:t>
            </w:r>
          </w:p>
        </w:tc>
        <w:tc>
          <w:tcPr>
            <w:tcW w:w="1630" w:type="dxa"/>
          </w:tcPr>
          <w:p w14:paraId="65B6F6D1"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6</w:t>
            </w:r>
          </w:p>
        </w:tc>
      </w:tr>
      <w:tr w:rsidR="00457AC1" w:rsidRPr="00457AC1" w14:paraId="6D7F20AE" w14:textId="77777777" w:rsidTr="0069168A">
        <w:trPr>
          <w:trHeight w:val="276"/>
        </w:trPr>
        <w:tc>
          <w:tcPr>
            <w:tcW w:w="3261" w:type="dxa"/>
            <w:hideMark/>
          </w:tcPr>
          <w:p w14:paraId="0580777D" w14:textId="77777777" w:rsidR="00457AC1" w:rsidRPr="00457AC1" w:rsidRDefault="00457AC1" w:rsidP="00457AC1">
            <w:pPr>
              <w:rPr>
                <w:rFonts w:eastAsia="Times New Roman" w:cstheme="minorHAnsi"/>
                <w:lang w:val="en-US" w:eastAsia="en-GB"/>
              </w:rPr>
            </w:pPr>
            <w:r w:rsidRPr="00457AC1">
              <w:rPr>
                <w:rFonts w:eastAsia="Times New Roman" w:cstheme="minorHAnsi"/>
                <w:kern w:val="24"/>
                <w:lang w:val="en-US" w:eastAsia="en-GB"/>
              </w:rPr>
              <w:t xml:space="preserve">Influenza </w:t>
            </w:r>
          </w:p>
        </w:tc>
        <w:tc>
          <w:tcPr>
            <w:tcW w:w="1630" w:type="dxa"/>
            <w:hideMark/>
          </w:tcPr>
          <w:p w14:paraId="2C74A012" w14:textId="77777777" w:rsidR="00457AC1" w:rsidRPr="00457AC1" w:rsidRDefault="00457AC1" w:rsidP="00457AC1">
            <w:pPr>
              <w:ind w:left="144"/>
              <w:jc w:val="center"/>
              <w:rPr>
                <w:rFonts w:eastAsia="Times New Roman" w:cstheme="minorHAnsi"/>
                <w:lang w:val="en-US" w:eastAsia="en-GB"/>
              </w:rPr>
            </w:pPr>
            <w:r w:rsidRPr="00457AC1">
              <w:rPr>
                <w:rFonts w:eastAsia="Calibri" w:cstheme="minorHAnsi"/>
                <w:lang w:val="en-US"/>
              </w:rPr>
              <w:t>17 (6)</w:t>
            </w:r>
          </w:p>
        </w:tc>
        <w:tc>
          <w:tcPr>
            <w:tcW w:w="1630" w:type="dxa"/>
            <w:hideMark/>
          </w:tcPr>
          <w:p w14:paraId="112DAC15" w14:textId="77777777" w:rsidR="00457AC1" w:rsidRPr="00457AC1" w:rsidRDefault="00457AC1" w:rsidP="00457AC1">
            <w:pPr>
              <w:ind w:left="144"/>
              <w:jc w:val="center"/>
              <w:rPr>
                <w:rFonts w:eastAsia="Times New Roman" w:cstheme="minorHAnsi"/>
                <w:lang w:val="en-US" w:eastAsia="en-GB"/>
              </w:rPr>
            </w:pPr>
            <w:r w:rsidRPr="00457AC1">
              <w:rPr>
                <w:rFonts w:eastAsia="Calibri" w:cstheme="minorHAnsi"/>
                <w:lang w:val="en-US"/>
              </w:rPr>
              <w:t>14 (5)</w:t>
            </w:r>
          </w:p>
        </w:tc>
        <w:tc>
          <w:tcPr>
            <w:tcW w:w="1630" w:type="dxa"/>
            <w:hideMark/>
          </w:tcPr>
          <w:p w14:paraId="202F576E" w14:textId="77777777" w:rsidR="00457AC1" w:rsidRPr="00457AC1" w:rsidRDefault="00457AC1" w:rsidP="00457AC1">
            <w:pPr>
              <w:jc w:val="center"/>
              <w:rPr>
                <w:rFonts w:eastAsia="Times New Roman" w:cstheme="minorHAnsi"/>
                <w:lang w:val="en-US" w:eastAsia="en-GB"/>
              </w:rPr>
            </w:pPr>
            <w:r w:rsidRPr="00457AC1">
              <w:rPr>
                <w:rFonts w:eastAsia="Times New Roman" w:cstheme="minorHAnsi"/>
                <w:lang w:val="en-US" w:eastAsia="en-GB"/>
              </w:rPr>
              <w:t>1</w:t>
            </w:r>
          </w:p>
        </w:tc>
        <w:tc>
          <w:tcPr>
            <w:tcW w:w="1630" w:type="dxa"/>
            <w:hideMark/>
          </w:tcPr>
          <w:p w14:paraId="5339DA78" w14:textId="77777777" w:rsidR="00457AC1" w:rsidRPr="00457AC1" w:rsidRDefault="00457AC1" w:rsidP="00457AC1">
            <w:pPr>
              <w:jc w:val="center"/>
              <w:rPr>
                <w:rFonts w:eastAsia="Times New Roman" w:cstheme="minorHAnsi"/>
                <w:lang w:val="en-US" w:eastAsia="en-GB"/>
              </w:rPr>
            </w:pPr>
            <w:r w:rsidRPr="00562848">
              <w:rPr>
                <w:rFonts w:eastAsia="Times New Roman" w:cstheme="minorHAnsi"/>
                <w:lang w:val="en-US" w:eastAsia="en-GB"/>
              </w:rPr>
              <w:t>8</w:t>
            </w:r>
          </w:p>
        </w:tc>
      </w:tr>
      <w:tr w:rsidR="00457AC1" w:rsidRPr="00457AC1" w14:paraId="4D6E914A"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0" w:type="dxa"/>
          </w:tcPr>
          <w:p w14:paraId="4115B36A" w14:textId="77777777" w:rsidR="00457AC1" w:rsidRPr="00457AC1" w:rsidRDefault="00457AC1" w:rsidP="00457AC1">
            <w:pPr>
              <w:rPr>
                <w:rFonts w:eastAsia="Times New Roman" w:cstheme="minorHAnsi"/>
                <w:kern w:val="24"/>
                <w:lang w:val="en-US" w:eastAsia="en-GB"/>
              </w:rPr>
            </w:pPr>
            <w:r w:rsidRPr="00457AC1">
              <w:rPr>
                <w:rFonts w:eastAsia="Times New Roman" w:cstheme="minorHAnsi"/>
                <w:kern w:val="24"/>
                <w:lang w:val="en-US" w:eastAsia="en-GB"/>
              </w:rPr>
              <w:t>Back pain</w:t>
            </w:r>
          </w:p>
        </w:tc>
        <w:tc>
          <w:tcPr>
            <w:tcW w:w="1630" w:type="dxa"/>
          </w:tcPr>
          <w:p w14:paraId="7890BB40"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20 (6)</w:t>
            </w:r>
          </w:p>
        </w:tc>
        <w:tc>
          <w:tcPr>
            <w:tcW w:w="1630" w:type="dxa"/>
          </w:tcPr>
          <w:p w14:paraId="636C8CF8"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10 (3)</w:t>
            </w:r>
          </w:p>
        </w:tc>
        <w:tc>
          <w:tcPr>
            <w:tcW w:w="1630" w:type="dxa"/>
          </w:tcPr>
          <w:p w14:paraId="5668F6B6"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2</w:t>
            </w:r>
          </w:p>
        </w:tc>
        <w:tc>
          <w:tcPr>
            <w:tcW w:w="1630" w:type="dxa"/>
          </w:tcPr>
          <w:p w14:paraId="13CD7E2F"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2</w:t>
            </w:r>
          </w:p>
        </w:tc>
      </w:tr>
      <w:tr w:rsidR="00457AC1" w:rsidRPr="00457AC1" w14:paraId="7C592445" w14:textId="77777777" w:rsidTr="0069168A">
        <w:trPr>
          <w:trHeight w:val="276"/>
        </w:trPr>
        <w:tc>
          <w:tcPr>
            <w:tcW w:w="3261" w:type="dxa"/>
          </w:tcPr>
          <w:p w14:paraId="25C890E9" w14:textId="77777777" w:rsidR="00457AC1" w:rsidRPr="00457AC1" w:rsidRDefault="00457AC1" w:rsidP="00457AC1">
            <w:pPr>
              <w:rPr>
                <w:rFonts w:eastAsia="Times New Roman" w:cstheme="minorHAnsi"/>
                <w:kern w:val="24"/>
                <w:lang w:val="en-US" w:eastAsia="en-GB"/>
              </w:rPr>
            </w:pPr>
            <w:r w:rsidRPr="00457AC1">
              <w:rPr>
                <w:rFonts w:eastAsia="Times New Roman" w:cstheme="minorHAnsi"/>
                <w:kern w:val="24"/>
                <w:lang w:val="en-US" w:eastAsia="en-GB"/>
              </w:rPr>
              <w:t>Cough</w:t>
            </w:r>
          </w:p>
        </w:tc>
        <w:tc>
          <w:tcPr>
            <w:tcW w:w="1630" w:type="dxa"/>
          </w:tcPr>
          <w:p w14:paraId="1A6C09FF"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16 (5)</w:t>
            </w:r>
          </w:p>
        </w:tc>
        <w:tc>
          <w:tcPr>
            <w:tcW w:w="1630" w:type="dxa"/>
          </w:tcPr>
          <w:p w14:paraId="3DC83CD3"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14 (5)</w:t>
            </w:r>
          </w:p>
        </w:tc>
        <w:tc>
          <w:tcPr>
            <w:tcW w:w="1630" w:type="dxa"/>
          </w:tcPr>
          <w:p w14:paraId="45D2458A"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2</w:t>
            </w:r>
          </w:p>
        </w:tc>
        <w:tc>
          <w:tcPr>
            <w:tcW w:w="1630" w:type="dxa"/>
          </w:tcPr>
          <w:p w14:paraId="2EC2A5A3"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4</w:t>
            </w:r>
          </w:p>
        </w:tc>
      </w:tr>
      <w:tr w:rsidR="00457AC1" w:rsidRPr="00457AC1" w14:paraId="73A76401"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0" w:type="dxa"/>
          </w:tcPr>
          <w:p w14:paraId="02D164E7" w14:textId="77777777" w:rsidR="00457AC1" w:rsidRPr="00457AC1" w:rsidRDefault="00457AC1" w:rsidP="00457AC1">
            <w:pPr>
              <w:rPr>
                <w:rFonts w:eastAsia="Times New Roman" w:cstheme="minorHAnsi"/>
                <w:kern w:val="24"/>
                <w:lang w:val="en-US" w:eastAsia="en-GB"/>
              </w:rPr>
            </w:pPr>
            <w:r w:rsidRPr="00457AC1">
              <w:rPr>
                <w:rFonts w:eastAsia="Times New Roman" w:cstheme="minorHAnsi"/>
                <w:kern w:val="24"/>
                <w:lang w:val="en-US" w:eastAsia="en-GB"/>
              </w:rPr>
              <w:t>Insomnia</w:t>
            </w:r>
          </w:p>
        </w:tc>
        <w:tc>
          <w:tcPr>
            <w:tcW w:w="1630" w:type="dxa"/>
          </w:tcPr>
          <w:p w14:paraId="3618B2E2"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15 (5)</w:t>
            </w:r>
          </w:p>
        </w:tc>
        <w:tc>
          <w:tcPr>
            <w:tcW w:w="1630" w:type="dxa"/>
          </w:tcPr>
          <w:p w14:paraId="6C934E16"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4 (1)</w:t>
            </w:r>
          </w:p>
        </w:tc>
        <w:tc>
          <w:tcPr>
            <w:tcW w:w="1630" w:type="dxa"/>
          </w:tcPr>
          <w:p w14:paraId="6A27857F"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1</w:t>
            </w:r>
          </w:p>
        </w:tc>
        <w:tc>
          <w:tcPr>
            <w:tcW w:w="1630" w:type="dxa"/>
          </w:tcPr>
          <w:p w14:paraId="09393B5F"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0</w:t>
            </w:r>
          </w:p>
        </w:tc>
      </w:tr>
      <w:tr w:rsidR="00457AC1" w:rsidRPr="00457AC1" w14:paraId="2A2550E0" w14:textId="77777777" w:rsidTr="0069168A">
        <w:trPr>
          <w:trHeight w:val="276"/>
        </w:trPr>
        <w:tc>
          <w:tcPr>
            <w:tcW w:w="3261" w:type="dxa"/>
          </w:tcPr>
          <w:p w14:paraId="77B478EA" w14:textId="77777777" w:rsidR="00457AC1" w:rsidRPr="00457AC1" w:rsidRDefault="00457AC1" w:rsidP="00457AC1">
            <w:pPr>
              <w:rPr>
                <w:rFonts w:eastAsia="Times New Roman" w:cstheme="minorHAnsi"/>
                <w:kern w:val="24"/>
                <w:lang w:val="en-US" w:eastAsia="en-GB"/>
              </w:rPr>
            </w:pPr>
            <w:r w:rsidRPr="00457AC1">
              <w:rPr>
                <w:rFonts w:eastAsia="Times New Roman" w:cstheme="minorHAnsi"/>
                <w:kern w:val="24"/>
                <w:lang w:val="en-US" w:eastAsia="en-GB"/>
              </w:rPr>
              <w:t>Respiratory tract infection viral</w:t>
            </w:r>
          </w:p>
        </w:tc>
        <w:tc>
          <w:tcPr>
            <w:tcW w:w="1630" w:type="dxa"/>
          </w:tcPr>
          <w:p w14:paraId="618FA144"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11 (4)</w:t>
            </w:r>
          </w:p>
        </w:tc>
        <w:tc>
          <w:tcPr>
            <w:tcW w:w="1630" w:type="dxa"/>
          </w:tcPr>
          <w:p w14:paraId="5E2A9C12" w14:textId="77777777" w:rsidR="00457AC1" w:rsidRPr="00457AC1"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17 (6)</w:t>
            </w:r>
          </w:p>
        </w:tc>
        <w:tc>
          <w:tcPr>
            <w:tcW w:w="1630" w:type="dxa"/>
          </w:tcPr>
          <w:p w14:paraId="23B24DBC"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3</w:t>
            </w:r>
          </w:p>
        </w:tc>
        <w:tc>
          <w:tcPr>
            <w:tcW w:w="1630" w:type="dxa"/>
          </w:tcPr>
          <w:p w14:paraId="0A5CEE0E"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4</w:t>
            </w:r>
          </w:p>
        </w:tc>
      </w:tr>
    </w:tbl>
    <w:p w14:paraId="73FDCB7F" w14:textId="77777777" w:rsidR="00700BCA" w:rsidRPr="00700BCA" w:rsidRDefault="00700BCA" w:rsidP="00457AC1">
      <w:pPr>
        <w:spacing w:after="0" w:line="240" w:lineRule="auto"/>
        <w:rPr>
          <w:rFonts w:cstheme="minorHAnsi"/>
          <w:lang w:val="en-US"/>
        </w:rPr>
      </w:pPr>
    </w:p>
    <w:p w14:paraId="749C6748" w14:textId="5729A723" w:rsidR="00457AC1" w:rsidRPr="00457AC1" w:rsidRDefault="00457AC1" w:rsidP="00457AC1">
      <w:pPr>
        <w:spacing w:after="0" w:line="240" w:lineRule="auto"/>
        <w:rPr>
          <w:rFonts w:cstheme="minorHAnsi"/>
          <w:lang w:val="en-US"/>
        </w:rPr>
      </w:pPr>
      <w:proofErr w:type="spellStart"/>
      <w:r w:rsidRPr="00457AC1">
        <w:rPr>
          <w:rFonts w:cstheme="minorHAnsi"/>
          <w:vertAlign w:val="superscript"/>
          <w:lang w:val="en-US"/>
        </w:rPr>
        <w:t>a</w:t>
      </w:r>
      <w:r w:rsidRPr="00457AC1">
        <w:rPr>
          <w:rFonts w:cstheme="minorHAnsi"/>
          <w:lang w:val="en-US"/>
        </w:rPr>
        <w:t>Common</w:t>
      </w:r>
      <w:proofErr w:type="spellEnd"/>
      <w:r w:rsidRPr="00457AC1">
        <w:rPr>
          <w:rFonts w:cstheme="minorHAnsi"/>
          <w:lang w:val="en-US"/>
        </w:rPr>
        <w:t xml:space="preserve"> is defined as a ≥5% incidence of event in either treatment group (148 and 174 are used as the denominator for the LA and Switch arms, respectively).</w:t>
      </w:r>
    </w:p>
    <w:p w14:paraId="2F33210E" w14:textId="77777777" w:rsidR="00457AC1" w:rsidRPr="00457AC1" w:rsidRDefault="00457AC1" w:rsidP="00457AC1">
      <w:pPr>
        <w:spacing w:after="0" w:line="240" w:lineRule="auto"/>
        <w:rPr>
          <w:rFonts w:cstheme="minorHAnsi"/>
          <w:lang w:val="en-US"/>
        </w:rPr>
      </w:pPr>
      <w:proofErr w:type="spellStart"/>
      <w:r w:rsidRPr="00457AC1">
        <w:rPr>
          <w:rFonts w:cstheme="minorHAnsi"/>
          <w:vertAlign w:val="superscript"/>
          <w:lang w:val="en-US"/>
        </w:rPr>
        <w:t>b</w:t>
      </w:r>
      <w:r w:rsidRPr="00457AC1">
        <w:rPr>
          <w:rFonts w:cstheme="minorHAnsi"/>
          <w:lang w:val="en-US"/>
        </w:rPr>
        <w:t>Values</w:t>
      </w:r>
      <w:proofErr w:type="spellEnd"/>
      <w:r w:rsidRPr="00457AC1">
        <w:rPr>
          <w:rFonts w:cstheme="minorHAnsi"/>
          <w:lang w:val="en-US"/>
        </w:rPr>
        <w:t xml:space="preserve"> represent the number of new participants with AEs in the LA arm during the Extension Phase.</w:t>
      </w:r>
    </w:p>
    <w:p w14:paraId="5787DF24" w14:textId="77777777" w:rsidR="00457AC1" w:rsidRPr="00457AC1" w:rsidRDefault="00457AC1" w:rsidP="00457AC1">
      <w:pPr>
        <w:spacing w:after="0" w:line="240" w:lineRule="auto"/>
        <w:rPr>
          <w:rFonts w:cstheme="minorHAnsi"/>
          <w:lang w:val="en-US"/>
        </w:rPr>
      </w:pPr>
      <w:r w:rsidRPr="00457AC1">
        <w:rPr>
          <w:rFonts w:cstheme="minorHAnsi"/>
          <w:vertAlign w:val="superscript"/>
          <w:lang w:val="en-US"/>
        </w:rPr>
        <w:t>c</w:t>
      </w:r>
      <w:r w:rsidRPr="00457AC1">
        <w:rPr>
          <w:rFonts w:cstheme="minorHAnsi"/>
          <w:lang w:val="en-US"/>
        </w:rPr>
        <w:t xml:space="preserve">148 participants entered the Extension Phase; however, this number declined throughout the study, leaving 23 participants at the Week 96 analysis. </w:t>
      </w:r>
      <w:r w:rsidRPr="00457AC1">
        <w:rPr>
          <w:rFonts w:cstheme="minorHAnsi"/>
          <w:lang w:val="en-US"/>
        </w:rPr>
        <w:br/>
      </w:r>
      <w:r w:rsidRPr="00457AC1">
        <w:rPr>
          <w:rFonts w:cstheme="minorHAnsi"/>
          <w:vertAlign w:val="superscript"/>
          <w:lang w:val="en-US"/>
        </w:rPr>
        <w:t>d</w:t>
      </w:r>
      <w:r w:rsidRPr="00457AC1">
        <w:rPr>
          <w:rFonts w:cstheme="minorHAnsi"/>
          <w:lang w:val="en-US"/>
        </w:rPr>
        <w:t xml:space="preserve">174 participants entered the Extension Phase; however, this number declined throughout the study, leaving 29 participants at the Week 96 analysis. </w:t>
      </w:r>
    </w:p>
    <w:p w14:paraId="128845BE" w14:textId="77777777" w:rsidR="00457AC1" w:rsidRPr="00457AC1" w:rsidRDefault="00457AC1" w:rsidP="00457AC1">
      <w:pPr>
        <w:spacing w:after="0" w:line="240" w:lineRule="auto"/>
        <w:rPr>
          <w:rFonts w:cstheme="minorHAnsi"/>
          <w:lang w:val="en-US"/>
        </w:rPr>
      </w:pPr>
    </w:p>
    <w:p w14:paraId="10E83F73" w14:textId="77777777" w:rsidR="00457AC1" w:rsidRPr="00457AC1" w:rsidRDefault="00457AC1" w:rsidP="00457AC1">
      <w:pPr>
        <w:rPr>
          <w:rFonts w:cstheme="minorHAnsi"/>
          <w:lang w:val="en-US"/>
        </w:rPr>
      </w:pPr>
      <w:r w:rsidRPr="00457AC1">
        <w:rPr>
          <w:rFonts w:cstheme="minorHAnsi"/>
          <w:lang w:val="en-US"/>
        </w:rPr>
        <w:t>AE, adverse event; CAR, current antiretroviral therapy; ISR, injection site reaction; LA, long-acting.</w:t>
      </w:r>
    </w:p>
    <w:p w14:paraId="38D6E5CF" w14:textId="77777777" w:rsidR="00457AC1" w:rsidRPr="00457AC1" w:rsidRDefault="00457AC1" w:rsidP="00457AC1">
      <w:pPr>
        <w:rPr>
          <w:rFonts w:cstheme="minorHAnsi"/>
          <w:lang w:val="en-US"/>
        </w:rPr>
      </w:pPr>
      <w:r w:rsidRPr="00457AC1">
        <w:rPr>
          <w:rFonts w:cstheme="minorHAnsi"/>
          <w:lang w:val="en-US"/>
        </w:rPr>
        <w:br w:type="page"/>
      </w:r>
    </w:p>
    <w:p w14:paraId="273B1788" w14:textId="77777777" w:rsidR="00457AC1" w:rsidRPr="00457AC1" w:rsidRDefault="00457AC1" w:rsidP="00457AC1">
      <w:pPr>
        <w:keepNext/>
        <w:keepLines/>
        <w:spacing w:before="40" w:after="0"/>
        <w:outlineLvl w:val="2"/>
        <w:rPr>
          <w:rFonts w:asciiTheme="majorHAnsi" w:eastAsia="Raleway" w:hAnsiTheme="majorHAnsi" w:cstheme="majorBidi"/>
          <w:color w:val="1F3763" w:themeColor="accent1" w:themeShade="7F"/>
          <w:sz w:val="24"/>
          <w:szCs w:val="24"/>
          <w:lang w:val="en-US" w:eastAsia="en-GB"/>
        </w:rPr>
      </w:pPr>
      <w:r w:rsidRPr="00457AC1">
        <w:rPr>
          <w:rFonts w:asciiTheme="majorHAnsi" w:eastAsia="Raleway" w:hAnsiTheme="majorHAnsi" w:cstheme="majorBidi"/>
          <w:color w:val="1F3763" w:themeColor="accent1" w:themeShade="7F"/>
          <w:sz w:val="24"/>
          <w:szCs w:val="24"/>
          <w:lang w:val="en-US" w:eastAsia="en-GB"/>
        </w:rPr>
        <w:lastRenderedPageBreak/>
        <w:t>Table S2. Summary of maximum emergent chemistry toxicities</w:t>
      </w:r>
    </w:p>
    <w:tbl>
      <w:tblPr>
        <w:tblStyle w:val="PlainTable4"/>
        <w:tblpPr w:leftFromText="180" w:rightFromText="180" w:vertAnchor="text" w:horzAnchor="margin" w:tblpY="231"/>
        <w:tblW w:w="9639" w:type="dxa"/>
        <w:tblLayout w:type="fixed"/>
        <w:tblLook w:val="0420" w:firstRow="1" w:lastRow="0" w:firstColumn="0" w:lastColumn="0" w:noHBand="0" w:noVBand="1"/>
      </w:tblPr>
      <w:tblGrid>
        <w:gridCol w:w="2694"/>
        <w:gridCol w:w="1736"/>
        <w:gridCol w:w="1736"/>
        <w:gridCol w:w="1736"/>
        <w:gridCol w:w="1737"/>
      </w:tblGrid>
      <w:tr w:rsidR="00457AC1" w:rsidRPr="00457AC1" w14:paraId="78148DC2" w14:textId="77777777" w:rsidTr="0069168A">
        <w:trPr>
          <w:cnfStyle w:val="100000000000" w:firstRow="1" w:lastRow="0" w:firstColumn="0" w:lastColumn="0" w:oddVBand="0" w:evenVBand="0" w:oddHBand="0" w:evenHBand="0" w:firstRowFirstColumn="0" w:firstRowLastColumn="0" w:lastRowFirstColumn="0" w:lastRowLastColumn="0"/>
          <w:trHeight w:val="663"/>
        </w:trPr>
        <w:tc>
          <w:tcPr>
            <w:tcW w:w="2694" w:type="dxa"/>
          </w:tcPr>
          <w:p w14:paraId="21029460" w14:textId="77777777" w:rsidR="00457AC1" w:rsidRPr="00457AC1" w:rsidRDefault="00457AC1" w:rsidP="00457AC1">
            <w:pPr>
              <w:rPr>
                <w:rFonts w:eastAsia="Times New Roman" w:cstheme="minorHAnsi"/>
                <w:lang w:val="en-US" w:eastAsia="en-GB"/>
              </w:rPr>
            </w:pPr>
          </w:p>
        </w:tc>
        <w:tc>
          <w:tcPr>
            <w:tcW w:w="3472" w:type="dxa"/>
            <w:gridSpan w:val="2"/>
          </w:tcPr>
          <w:p w14:paraId="7B02E3CA" w14:textId="77777777" w:rsidR="00457AC1" w:rsidRPr="00457AC1" w:rsidRDefault="00457AC1" w:rsidP="00457AC1">
            <w:pPr>
              <w:jc w:val="center"/>
              <w:rPr>
                <w:rFonts w:eastAsia="Calibri" w:cstheme="minorHAnsi"/>
                <w:lang w:val="en-US"/>
              </w:rPr>
            </w:pPr>
            <w:r w:rsidRPr="00457AC1">
              <w:rPr>
                <w:rFonts w:eastAsia="Calibri" w:cstheme="minorHAnsi"/>
                <w:lang w:val="en-US"/>
              </w:rPr>
              <w:t>Maintenance Phase</w:t>
            </w:r>
          </w:p>
        </w:tc>
        <w:tc>
          <w:tcPr>
            <w:tcW w:w="3473" w:type="dxa"/>
            <w:gridSpan w:val="2"/>
          </w:tcPr>
          <w:p w14:paraId="38E9B013" w14:textId="77777777" w:rsidR="00457AC1" w:rsidRPr="00457AC1" w:rsidRDefault="00457AC1" w:rsidP="00457AC1">
            <w:pPr>
              <w:keepNext/>
              <w:spacing w:before="20" w:after="20"/>
              <w:jc w:val="center"/>
              <w:rPr>
                <w:rFonts w:eastAsia="Calibri" w:cstheme="minorHAnsi"/>
                <w:lang w:val="en-US"/>
              </w:rPr>
            </w:pPr>
            <w:r w:rsidRPr="00457AC1">
              <w:rPr>
                <w:rFonts w:eastAsia="Calibri" w:cstheme="minorHAnsi"/>
                <w:lang w:val="en-US"/>
              </w:rPr>
              <w:t>Extension Phase</w:t>
            </w:r>
          </w:p>
        </w:tc>
      </w:tr>
      <w:tr w:rsidR="00457AC1" w:rsidRPr="00457AC1" w14:paraId="76F4D6A4" w14:textId="77777777" w:rsidTr="0069168A">
        <w:trPr>
          <w:cnfStyle w:val="000000100000" w:firstRow="0" w:lastRow="0" w:firstColumn="0" w:lastColumn="0" w:oddVBand="0" w:evenVBand="0" w:oddHBand="1" w:evenHBand="0" w:firstRowFirstColumn="0" w:firstRowLastColumn="0" w:lastRowFirstColumn="0" w:lastRowLastColumn="0"/>
          <w:trHeight w:val="663"/>
        </w:trPr>
        <w:tc>
          <w:tcPr>
            <w:tcW w:w="2694" w:type="dxa"/>
            <w:vAlign w:val="bottom"/>
            <w:hideMark/>
          </w:tcPr>
          <w:p w14:paraId="478F48E8" w14:textId="77777777" w:rsidR="00457AC1" w:rsidRPr="00457AC1" w:rsidRDefault="00457AC1" w:rsidP="00457AC1">
            <w:pPr>
              <w:rPr>
                <w:rFonts w:eastAsia="Times New Roman" w:cstheme="minorHAnsi"/>
                <w:b/>
                <w:bCs/>
                <w:lang w:val="en-US" w:eastAsia="en-GB"/>
              </w:rPr>
            </w:pPr>
            <w:r w:rsidRPr="00457AC1">
              <w:rPr>
                <w:rFonts w:eastAsia="Times New Roman" w:cstheme="minorHAnsi"/>
                <w:b/>
                <w:bCs/>
                <w:lang w:val="en-US" w:eastAsia="en-GB"/>
              </w:rPr>
              <w:t>Maximum emergent chemistry toxicities, n (%)</w:t>
            </w:r>
          </w:p>
        </w:tc>
        <w:tc>
          <w:tcPr>
            <w:tcW w:w="1736" w:type="dxa"/>
            <w:hideMark/>
          </w:tcPr>
          <w:p w14:paraId="5EECC8D1"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LA arm</w:t>
            </w:r>
          </w:p>
          <w:p w14:paraId="3CE0E047"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(Day 1 to </w:t>
            </w:r>
            <w:r w:rsidRPr="00457AC1">
              <w:rPr>
                <w:rFonts w:eastAsia="Calibri" w:cstheme="minorHAnsi"/>
                <w:b/>
                <w:lang w:val="en-US"/>
              </w:rPr>
              <w:br/>
              <w:t>Week 52)</w:t>
            </w:r>
            <w:r w:rsidRPr="00457AC1">
              <w:rPr>
                <w:rFonts w:eastAsia="Calibri" w:cstheme="minorHAnsi"/>
                <w:b/>
                <w:lang w:val="en-US"/>
              </w:rPr>
              <w:br/>
              <w:t>n=308</w:t>
            </w:r>
          </w:p>
        </w:tc>
        <w:tc>
          <w:tcPr>
            <w:tcW w:w="1736" w:type="dxa"/>
            <w:hideMark/>
          </w:tcPr>
          <w:p w14:paraId="1A08E248"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CAR arm </w:t>
            </w:r>
            <w:r w:rsidRPr="00457AC1">
              <w:rPr>
                <w:rFonts w:eastAsia="Calibri" w:cstheme="minorHAnsi"/>
                <w:b/>
                <w:lang w:val="en-US"/>
              </w:rPr>
              <w:br/>
              <w:t>(Day 1 to</w:t>
            </w:r>
            <w:r w:rsidRPr="00457AC1">
              <w:rPr>
                <w:rFonts w:eastAsia="Calibri" w:cstheme="minorHAnsi"/>
                <w:b/>
                <w:lang w:val="en-US"/>
              </w:rPr>
              <w:br/>
              <w:t xml:space="preserve"> Week 52)</w:t>
            </w:r>
            <w:r w:rsidRPr="00457AC1">
              <w:rPr>
                <w:rFonts w:eastAsia="Calibri" w:cstheme="minorHAnsi"/>
                <w:b/>
                <w:lang w:val="en-US"/>
              </w:rPr>
              <w:br/>
              <w:t>n=308</w:t>
            </w:r>
          </w:p>
        </w:tc>
        <w:tc>
          <w:tcPr>
            <w:tcW w:w="1736" w:type="dxa"/>
            <w:hideMark/>
          </w:tcPr>
          <w:p w14:paraId="61DD9981"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 xml:space="preserve">LA </w:t>
            </w:r>
            <w:proofErr w:type="spellStart"/>
            <w:r w:rsidRPr="00457AC1">
              <w:rPr>
                <w:rFonts w:eastAsia="Calibri" w:cstheme="minorHAnsi"/>
                <w:b/>
                <w:lang w:val="en-US"/>
              </w:rPr>
              <w:t>arm</w:t>
            </w:r>
            <w:r w:rsidRPr="00457AC1">
              <w:rPr>
                <w:rFonts w:eastAsia="Calibri" w:cstheme="minorHAnsi"/>
                <w:b/>
                <w:vertAlign w:val="superscript"/>
                <w:lang w:val="en-US"/>
              </w:rPr>
              <w:t>a</w:t>
            </w:r>
            <w:proofErr w:type="spellEnd"/>
            <w:r w:rsidRPr="00457AC1">
              <w:rPr>
                <w:rFonts w:eastAsia="Calibri" w:cstheme="minorHAnsi"/>
                <w:b/>
                <w:lang w:val="en-US"/>
              </w:rPr>
              <w:t xml:space="preserve"> </w:t>
            </w:r>
          </w:p>
          <w:p w14:paraId="0D56D04B"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 xml:space="preserve">(Week 52 to </w:t>
            </w:r>
            <w:r w:rsidRPr="00457AC1">
              <w:rPr>
                <w:rFonts w:eastAsia="Calibri" w:cstheme="minorHAnsi"/>
                <w:b/>
                <w:lang w:val="en-US"/>
              </w:rPr>
              <w:br/>
              <w:t>Week 96)</w:t>
            </w:r>
            <w:r w:rsidRPr="00457AC1">
              <w:rPr>
                <w:rFonts w:eastAsia="Calibri" w:cstheme="minorHAnsi"/>
                <w:b/>
                <w:vertAlign w:val="superscript"/>
                <w:lang w:val="en-US"/>
              </w:rPr>
              <w:t>b</w:t>
            </w:r>
          </w:p>
          <w:p w14:paraId="56818C56" w14:textId="77777777" w:rsidR="00457AC1" w:rsidRPr="00457AC1" w:rsidRDefault="00457AC1" w:rsidP="00457AC1">
            <w:pPr>
              <w:rPr>
                <w:rFonts w:eastAsia="Times New Roman" w:cstheme="minorHAnsi"/>
                <w:lang w:val="en-US" w:eastAsia="en-GB"/>
              </w:rPr>
            </w:pPr>
          </w:p>
        </w:tc>
        <w:tc>
          <w:tcPr>
            <w:tcW w:w="1737" w:type="dxa"/>
            <w:hideMark/>
          </w:tcPr>
          <w:p w14:paraId="42F196D5" w14:textId="77777777" w:rsidR="00457AC1" w:rsidRPr="00457AC1" w:rsidRDefault="00457AC1" w:rsidP="00457AC1">
            <w:pPr>
              <w:keepNext/>
              <w:spacing w:before="20" w:after="20"/>
              <w:jc w:val="center"/>
              <w:rPr>
                <w:rFonts w:eastAsia="Calibri" w:cstheme="minorHAnsi"/>
                <w:b/>
                <w:lang w:val="en-US"/>
              </w:rPr>
            </w:pPr>
            <w:r w:rsidRPr="00457AC1">
              <w:rPr>
                <w:rFonts w:eastAsia="Calibri" w:cstheme="minorHAnsi"/>
                <w:b/>
                <w:lang w:val="en-US"/>
              </w:rPr>
              <w:t>Switch arm</w:t>
            </w:r>
          </w:p>
          <w:p w14:paraId="4934502E" w14:textId="77777777" w:rsidR="00457AC1" w:rsidRPr="00457AC1" w:rsidRDefault="00457AC1" w:rsidP="00457AC1">
            <w:pPr>
              <w:jc w:val="center"/>
              <w:rPr>
                <w:rFonts w:eastAsia="Times New Roman" w:cstheme="minorHAnsi"/>
                <w:lang w:val="en-US" w:eastAsia="en-GB"/>
              </w:rPr>
            </w:pPr>
            <w:r w:rsidRPr="00457AC1">
              <w:rPr>
                <w:rFonts w:eastAsia="Calibri" w:cstheme="minorHAnsi"/>
                <w:b/>
                <w:lang w:val="en-US"/>
              </w:rPr>
              <w:t xml:space="preserve">(Week 52 to </w:t>
            </w:r>
            <w:r w:rsidRPr="00457AC1">
              <w:rPr>
                <w:rFonts w:eastAsia="Calibri" w:cstheme="minorHAnsi"/>
                <w:b/>
                <w:lang w:val="en-US"/>
              </w:rPr>
              <w:br/>
              <w:t>Week 96)</w:t>
            </w:r>
            <w:r w:rsidRPr="00457AC1">
              <w:rPr>
                <w:rFonts w:eastAsia="Calibri" w:cstheme="minorHAnsi"/>
                <w:b/>
                <w:vertAlign w:val="superscript"/>
                <w:lang w:val="en-US"/>
              </w:rPr>
              <w:t>c</w:t>
            </w:r>
            <w:r w:rsidRPr="00457AC1">
              <w:rPr>
                <w:rFonts w:eastAsia="Calibri" w:cstheme="minorHAnsi"/>
                <w:b/>
                <w:lang w:val="en-US"/>
              </w:rPr>
              <w:br/>
            </w:r>
          </w:p>
        </w:tc>
      </w:tr>
      <w:tr w:rsidR="00457AC1" w:rsidRPr="00457AC1" w14:paraId="56D1836F" w14:textId="77777777" w:rsidTr="0069168A">
        <w:trPr>
          <w:trHeight w:val="276"/>
        </w:trPr>
        <w:tc>
          <w:tcPr>
            <w:tcW w:w="2694" w:type="dxa"/>
          </w:tcPr>
          <w:p w14:paraId="29DB3AEE" w14:textId="77777777" w:rsidR="00457AC1" w:rsidRPr="00457AC1" w:rsidDel="00D856F8" w:rsidRDefault="00457AC1" w:rsidP="00457AC1">
            <w:pPr>
              <w:rPr>
                <w:rFonts w:eastAsia="Times New Roman" w:cstheme="minorHAnsi"/>
                <w:kern w:val="24"/>
                <w:lang w:val="en-US" w:eastAsia="en-GB"/>
              </w:rPr>
            </w:pPr>
            <w:r w:rsidRPr="00457AC1">
              <w:rPr>
                <w:rFonts w:eastAsia="Times New Roman" w:cstheme="minorHAnsi"/>
                <w:kern w:val="24"/>
                <w:lang w:val="en-US" w:eastAsia="en-GB"/>
              </w:rPr>
              <w:t xml:space="preserve">Grade </w:t>
            </w:r>
            <w:r w:rsidRPr="00457AC1">
              <w:rPr>
                <w:rFonts w:eastAsia="Times New Roman" w:cstheme="minorHAnsi"/>
                <w:lang w:val="en-US" w:eastAsia="en-GB"/>
              </w:rPr>
              <w:t>≥</w:t>
            </w:r>
            <w:r w:rsidRPr="00457AC1">
              <w:rPr>
                <w:rFonts w:eastAsia="Times New Roman" w:cstheme="minorHAnsi"/>
                <w:kern w:val="24"/>
                <w:lang w:val="en-US" w:eastAsia="en-GB"/>
              </w:rPr>
              <w:t>1</w:t>
            </w:r>
          </w:p>
        </w:tc>
        <w:tc>
          <w:tcPr>
            <w:tcW w:w="1736" w:type="dxa"/>
          </w:tcPr>
          <w:p w14:paraId="5A707EEC" w14:textId="77777777" w:rsidR="00457AC1" w:rsidRPr="00457AC1" w:rsidDel="00D856F8"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272 (88)</w:t>
            </w:r>
          </w:p>
        </w:tc>
        <w:tc>
          <w:tcPr>
            <w:tcW w:w="1736" w:type="dxa"/>
          </w:tcPr>
          <w:p w14:paraId="28C201FF" w14:textId="77777777" w:rsidR="00457AC1" w:rsidRPr="00457AC1" w:rsidDel="00D856F8" w:rsidRDefault="00457AC1" w:rsidP="00457AC1">
            <w:pPr>
              <w:ind w:left="144"/>
              <w:jc w:val="center"/>
              <w:rPr>
                <w:rFonts w:eastAsia="Calibri" w:cstheme="minorHAnsi"/>
                <w:lang w:val="en-US"/>
              </w:rPr>
            </w:pPr>
            <w:r w:rsidRPr="00457AC1">
              <w:rPr>
                <w:rFonts w:eastAsia="Calibri" w:cstheme="minorHAnsi"/>
                <w:lang w:val="en-US"/>
              </w:rPr>
              <w:t>271 (88)</w:t>
            </w:r>
          </w:p>
        </w:tc>
        <w:tc>
          <w:tcPr>
            <w:tcW w:w="1736" w:type="dxa"/>
          </w:tcPr>
          <w:p w14:paraId="35D35A72" w14:textId="77777777" w:rsidR="00457AC1" w:rsidRPr="00457AC1" w:rsidDel="00D856F8"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3</w:t>
            </w:r>
          </w:p>
        </w:tc>
        <w:tc>
          <w:tcPr>
            <w:tcW w:w="1737" w:type="dxa"/>
          </w:tcPr>
          <w:p w14:paraId="084193D8" w14:textId="77777777" w:rsidR="00457AC1" w:rsidRPr="00457AC1" w:rsidDel="00D856F8"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87</w:t>
            </w:r>
          </w:p>
        </w:tc>
      </w:tr>
      <w:tr w:rsidR="00457AC1" w:rsidRPr="00457AC1" w14:paraId="559F8D80" w14:textId="77777777" w:rsidTr="0069168A">
        <w:trPr>
          <w:cnfStyle w:val="000000100000" w:firstRow="0" w:lastRow="0" w:firstColumn="0" w:lastColumn="0" w:oddVBand="0" w:evenVBand="0" w:oddHBand="1" w:evenHBand="0" w:firstRowFirstColumn="0" w:firstRowLastColumn="0" w:lastRowFirstColumn="0" w:lastRowLastColumn="0"/>
          <w:trHeight w:val="276"/>
        </w:trPr>
        <w:tc>
          <w:tcPr>
            <w:tcW w:w="2694" w:type="dxa"/>
          </w:tcPr>
          <w:p w14:paraId="3EAC1B7B" w14:textId="77777777" w:rsidR="00457AC1" w:rsidRPr="00457AC1" w:rsidDel="00D856F8" w:rsidRDefault="00457AC1" w:rsidP="00457AC1">
            <w:pPr>
              <w:rPr>
                <w:rFonts w:eastAsia="Times New Roman" w:cstheme="minorHAnsi"/>
                <w:kern w:val="24"/>
                <w:lang w:val="en-US" w:eastAsia="en-GB"/>
              </w:rPr>
            </w:pPr>
            <w:r w:rsidRPr="00457AC1">
              <w:rPr>
                <w:rFonts w:eastAsia="Times New Roman" w:cstheme="minorHAnsi"/>
                <w:kern w:val="24"/>
                <w:lang w:val="en-US" w:eastAsia="en-GB"/>
              </w:rPr>
              <w:t xml:space="preserve">Grade </w:t>
            </w:r>
            <w:r w:rsidRPr="00457AC1">
              <w:rPr>
                <w:rFonts w:eastAsia="Times New Roman" w:cstheme="minorHAnsi"/>
                <w:lang w:val="en-US" w:eastAsia="en-GB"/>
              </w:rPr>
              <w:t>≥</w:t>
            </w:r>
            <w:r w:rsidRPr="00457AC1">
              <w:rPr>
                <w:rFonts w:eastAsia="Times New Roman" w:cstheme="minorHAnsi"/>
                <w:kern w:val="24"/>
                <w:lang w:val="en-US" w:eastAsia="en-GB"/>
              </w:rPr>
              <w:t>2</w:t>
            </w:r>
          </w:p>
        </w:tc>
        <w:tc>
          <w:tcPr>
            <w:tcW w:w="1736" w:type="dxa"/>
          </w:tcPr>
          <w:p w14:paraId="6BA71592" w14:textId="77777777" w:rsidR="00457AC1" w:rsidRPr="00457AC1" w:rsidDel="00D856F8" w:rsidRDefault="00457AC1" w:rsidP="00457AC1">
            <w:pPr>
              <w:ind w:left="144"/>
              <w:jc w:val="center"/>
              <w:rPr>
                <w:rFonts w:eastAsiaTheme="minorEastAsia" w:cstheme="minorHAnsi"/>
                <w:kern w:val="24"/>
                <w:lang w:val="en-US" w:eastAsia="en-GB"/>
              </w:rPr>
            </w:pPr>
            <w:r w:rsidRPr="00457AC1">
              <w:rPr>
                <w:rFonts w:eastAsiaTheme="minorEastAsia" w:cstheme="minorHAnsi"/>
                <w:kern w:val="24"/>
                <w:lang w:val="en-US" w:eastAsia="en-GB"/>
              </w:rPr>
              <w:t>190 (62)</w:t>
            </w:r>
          </w:p>
        </w:tc>
        <w:tc>
          <w:tcPr>
            <w:tcW w:w="1736" w:type="dxa"/>
          </w:tcPr>
          <w:p w14:paraId="03F384B8" w14:textId="77777777" w:rsidR="00457AC1" w:rsidRPr="00457AC1" w:rsidDel="00D856F8" w:rsidRDefault="00457AC1" w:rsidP="00457AC1">
            <w:pPr>
              <w:ind w:left="144"/>
              <w:jc w:val="center"/>
              <w:rPr>
                <w:rFonts w:eastAsia="Calibri" w:cstheme="minorHAnsi"/>
                <w:lang w:val="en-US"/>
              </w:rPr>
            </w:pPr>
            <w:r w:rsidRPr="00457AC1">
              <w:rPr>
                <w:rFonts w:eastAsia="Calibri" w:cstheme="minorHAnsi"/>
                <w:lang w:val="en-US"/>
              </w:rPr>
              <w:t>197 (64)</w:t>
            </w:r>
          </w:p>
        </w:tc>
        <w:tc>
          <w:tcPr>
            <w:tcW w:w="1736" w:type="dxa"/>
          </w:tcPr>
          <w:p w14:paraId="303731EE" w14:textId="77777777" w:rsidR="00457AC1" w:rsidRPr="00457AC1" w:rsidDel="00D856F8"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6</w:t>
            </w:r>
          </w:p>
        </w:tc>
        <w:tc>
          <w:tcPr>
            <w:tcW w:w="1737" w:type="dxa"/>
          </w:tcPr>
          <w:p w14:paraId="50833BF2" w14:textId="77777777" w:rsidR="00457AC1" w:rsidRPr="00457AC1" w:rsidDel="00D856F8"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55</w:t>
            </w:r>
          </w:p>
        </w:tc>
      </w:tr>
      <w:tr w:rsidR="00457AC1" w:rsidRPr="00457AC1" w14:paraId="4265EC6B" w14:textId="77777777" w:rsidTr="0069168A">
        <w:trPr>
          <w:trHeight w:val="276"/>
        </w:trPr>
        <w:tc>
          <w:tcPr>
            <w:tcW w:w="2694" w:type="dxa"/>
          </w:tcPr>
          <w:p w14:paraId="6504587D" w14:textId="77777777" w:rsidR="00457AC1" w:rsidRPr="00457AC1" w:rsidRDefault="00457AC1" w:rsidP="00457AC1">
            <w:pPr>
              <w:rPr>
                <w:rFonts w:eastAsia="Times New Roman" w:cstheme="minorHAnsi"/>
                <w:lang w:val="en-US" w:eastAsia="en-GB"/>
              </w:rPr>
            </w:pPr>
            <w:r w:rsidRPr="00457AC1">
              <w:rPr>
                <w:rFonts w:eastAsia="Times New Roman" w:cstheme="minorHAnsi"/>
                <w:lang w:val="en-US" w:eastAsia="en-GB"/>
              </w:rPr>
              <w:t>Grade ≥3</w:t>
            </w:r>
          </w:p>
        </w:tc>
        <w:tc>
          <w:tcPr>
            <w:tcW w:w="1736" w:type="dxa"/>
          </w:tcPr>
          <w:p w14:paraId="72C3B050"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63 (20)</w:t>
            </w:r>
          </w:p>
        </w:tc>
        <w:tc>
          <w:tcPr>
            <w:tcW w:w="1736" w:type="dxa"/>
          </w:tcPr>
          <w:p w14:paraId="584FE565" w14:textId="77777777" w:rsidR="00457AC1" w:rsidRPr="00457AC1" w:rsidRDefault="00457AC1" w:rsidP="00457AC1">
            <w:pPr>
              <w:ind w:left="144"/>
              <w:jc w:val="center"/>
              <w:rPr>
                <w:rFonts w:eastAsiaTheme="minorEastAsia" w:cstheme="minorHAnsi"/>
                <w:kern w:val="24"/>
                <w:lang w:val="en-US" w:eastAsia="en-GB"/>
              </w:rPr>
            </w:pPr>
            <w:r w:rsidRPr="00457AC1">
              <w:rPr>
                <w:rFonts w:eastAsia="Calibri" w:cstheme="minorHAnsi"/>
                <w:lang w:val="en-US"/>
              </w:rPr>
              <w:t>57 (19)</w:t>
            </w:r>
          </w:p>
        </w:tc>
        <w:tc>
          <w:tcPr>
            <w:tcW w:w="1736" w:type="dxa"/>
          </w:tcPr>
          <w:p w14:paraId="0C20491C"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6</w:t>
            </w:r>
          </w:p>
        </w:tc>
        <w:tc>
          <w:tcPr>
            <w:tcW w:w="1737" w:type="dxa"/>
          </w:tcPr>
          <w:p w14:paraId="4DA15C7C" w14:textId="77777777" w:rsidR="00457AC1" w:rsidRPr="00457AC1" w:rsidRDefault="00457AC1" w:rsidP="00457AC1">
            <w:pPr>
              <w:jc w:val="center"/>
              <w:rPr>
                <w:rFonts w:eastAsia="Times New Roman" w:cstheme="minorHAnsi"/>
                <w:kern w:val="24"/>
                <w:lang w:val="en-US" w:eastAsia="en-GB"/>
              </w:rPr>
            </w:pPr>
            <w:r w:rsidRPr="00457AC1">
              <w:rPr>
                <w:rFonts w:eastAsia="Times New Roman" w:cstheme="minorHAnsi"/>
                <w:kern w:val="24"/>
                <w:lang w:val="en-US" w:eastAsia="en-GB"/>
              </w:rPr>
              <w:t>9</w:t>
            </w:r>
          </w:p>
        </w:tc>
      </w:tr>
    </w:tbl>
    <w:p w14:paraId="5B2BA9E0" w14:textId="77777777" w:rsidR="00457AC1" w:rsidRPr="00457AC1" w:rsidRDefault="00457AC1" w:rsidP="00457AC1">
      <w:pPr>
        <w:spacing w:after="0" w:line="240" w:lineRule="auto"/>
        <w:rPr>
          <w:rFonts w:cstheme="minorHAnsi"/>
          <w:vertAlign w:val="superscript"/>
          <w:lang w:val="en-US"/>
        </w:rPr>
      </w:pPr>
    </w:p>
    <w:p w14:paraId="3520CA85" w14:textId="77777777" w:rsidR="00457AC1" w:rsidRPr="00457AC1" w:rsidRDefault="00457AC1" w:rsidP="00457AC1">
      <w:pPr>
        <w:spacing w:after="0" w:line="240" w:lineRule="auto"/>
        <w:rPr>
          <w:rFonts w:cstheme="minorHAnsi"/>
          <w:lang w:val="en-US"/>
        </w:rPr>
      </w:pPr>
      <w:proofErr w:type="spellStart"/>
      <w:r w:rsidRPr="00457AC1">
        <w:rPr>
          <w:rFonts w:cstheme="minorHAnsi"/>
          <w:vertAlign w:val="superscript"/>
          <w:lang w:val="en-US"/>
        </w:rPr>
        <w:t>a</w:t>
      </w:r>
      <w:r w:rsidRPr="00457AC1">
        <w:rPr>
          <w:rFonts w:cstheme="minorHAnsi"/>
          <w:lang w:val="en-US"/>
        </w:rPr>
        <w:t>Values</w:t>
      </w:r>
      <w:proofErr w:type="spellEnd"/>
      <w:r w:rsidRPr="00457AC1">
        <w:rPr>
          <w:rFonts w:cstheme="minorHAnsi"/>
          <w:lang w:val="en-US"/>
        </w:rPr>
        <w:t xml:space="preserve"> represent the number of new participants with new maximum emergent chemistry toxicities in the LA arm during the Extension Phase.</w:t>
      </w:r>
    </w:p>
    <w:p w14:paraId="4606297B" w14:textId="77777777" w:rsidR="00457AC1" w:rsidRPr="00457AC1" w:rsidRDefault="00457AC1" w:rsidP="00457AC1">
      <w:pPr>
        <w:spacing w:after="0" w:line="240" w:lineRule="auto"/>
        <w:rPr>
          <w:rFonts w:cstheme="minorHAnsi"/>
          <w:lang w:val="en-US"/>
        </w:rPr>
      </w:pPr>
      <w:r w:rsidRPr="00457AC1">
        <w:rPr>
          <w:rFonts w:cstheme="minorHAnsi"/>
          <w:vertAlign w:val="superscript"/>
          <w:lang w:val="en-US"/>
        </w:rPr>
        <w:t>b</w:t>
      </w:r>
      <w:r w:rsidRPr="00457AC1">
        <w:rPr>
          <w:rFonts w:cstheme="minorHAnsi"/>
          <w:lang w:val="en-US"/>
        </w:rPr>
        <w:t xml:space="preserve">148 participants entered the Extension Phase; however, this number declined throughout the study, leaving 23 participants at the Week 96 analysis. </w:t>
      </w:r>
      <w:r w:rsidRPr="00457AC1">
        <w:rPr>
          <w:rFonts w:cstheme="minorHAnsi"/>
          <w:lang w:val="en-US"/>
        </w:rPr>
        <w:br/>
      </w:r>
      <w:r w:rsidRPr="00457AC1">
        <w:rPr>
          <w:rFonts w:cstheme="minorHAnsi"/>
          <w:vertAlign w:val="superscript"/>
          <w:lang w:val="en-US"/>
        </w:rPr>
        <w:t>c</w:t>
      </w:r>
      <w:r w:rsidRPr="00457AC1">
        <w:rPr>
          <w:rFonts w:cstheme="minorHAnsi"/>
          <w:lang w:val="en-US"/>
        </w:rPr>
        <w:t xml:space="preserve">174 participants entered the Extension Phase; however, this number declined throughout the study, leaving 29 participants at the Week 96 analysis. </w:t>
      </w:r>
    </w:p>
    <w:p w14:paraId="7572335D" w14:textId="77777777" w:rsidR="00457AC1" w:rsidRPr="00457AC1" w:rsidRDefault="00457AC1" w:rsidP="00457AC1">
      <w:pPr>
        <w:spacing w:after="0" w:line="240" w:lineRule="auto"/>
        <w:rPr>
          <w:rFonts w:cstheme="minorHAnsi"/>
          <w:lang w:val="en-US"/>
        </w:rPr>
      </w:pPr>
    </w:p>
    <w:p w14:paraId="5F0F1C92" w14:textId="6928B1C2" w:rsidR="00562848" w:rsidRDefault="00457AC1">
      <w:pPr>
        <w:rPr>
          <w:lang w:val="en-US"/>
        </w:rPr>
      </w:pPr>
      <w:r w:rsidRPr="00457AC1">
        <w:rPr>
          <w:rFonts w:cstheme="minorHAnsi"/>
          <w:lang w:val="en-US"/>
        </w:rPr>
        <w:t>CAR, current antiretroviral therapy; LA, long-acting.</w:t>
      </w:r>
    </w:p>
    <w:p w14:paraId="59384E5F" w14:textId="602365C1" w:rsidR="00562848" w:rsidRDefault="00562848">
      <w:pPr>
        <w:rPr>
          <w:lang w:val="en-US"/>
        </w:rPr>
      </w:pPr>
    </w:p>
    <w:p w14:paraId="490395BF" w14:textId="2994AB29" w:rsidR="00562848" w:rsidRDefault="00562848">
      <w:pPr>
        <w:rPr>
          <w:lang w:val="en-US"/>
        </w:rPr>
      </w:pPr>
    </w:p>
    <w:p w14:paraId="47771784" w14:textId="3ECDF1B4" w:rsidR="00562848" w:rsidRDefault="00562848">
      <w:pPr>
        <w:rPr>
          <w:lang w:val="en-US"/>
        </w:rPr>
      </w:pPr>
    </w:p>
    <w:p w14:paraId="7DBE5C8E" w14:textId="0AF1AF72" w:rsidR="00562848" w:rsidRDefault="00562848">
      <w:pPr>
        <w:rPr>
          <w:lang w:val="en-US"/>
        </w:rPr>
      </w:pPr>
    </w:p>
    <w:p w14:paraId="74E465A1" w14:textId="791BBAAF" w:rsidR="00562848" w:rsidRDefault="00562848">
      <w:pPr>
        <w:rPr>
          <w:lang w:val="en-US"/>
        </w:rPr>
      </w:pPr>
    </w:p>
    <w:p w14:paraId="37D5CCAD" w14:textId="2019E17D" w:rsidR="00562848" w:rsidRDefault="00562848">
      <w:pPr>
        <w:rPr>
          <w:lang w:val="en-US"/>
        </w:rPr>
      </w:pPr>
    </w:p>
    <w:p w14:paraId="1BEC4DAE" w14:textId="536CDACF" w:rsidR="00562848" w:rsidRDefault="00562848">
      <w:pPr>
        <w:rPr>
          <w:lang w:val="en-US"/>
        </w:rPr>
      </w:pPr>
    </w:p>
    <w:p w14:paraId="121325CC" w14:textId="039DBA7C" w:rsidR="00562848" w:rsidRDefault="00562848">
      <w:pPr>
        <w:rPr>
          <w:lang w:val="en-US"/>
        </w:rPr>
      </w:pPr>
    </w:p>
    <w:p w14:paraId="5507E370" w14:textId="2AAD28F7" w:rsidR="00562848" w:rsidRDefault="00562848">
      <w:pPr>
        <w:rPr>
          <w:lang w:val="en-US"/>
        </w:rPr>
      </w:pPr>
    </w:p>
    <w:p w14:paraId="50094713" w14:textId="0EF8785A" w:rsidR="00562848" w:rsidRDefault="00562848">
      <w:pPr>
        <w:rPr>
          <w:lang w:val="en-US"/>
        </w:rPr>
      </w:pPr>
    </w:p>
    <w:p w14:paraId="6D2DBD01" w14:textId="0EB8C4EE" w:rsidR="00562848" w:rsidRDefault="00562848">
      <w:pPr>
        <w:rPr>
          <w:lang w:val="en-US"/>
        </w:rPr>
      </w:pPr>
    </w:p>
    <w:p w14:paraId="616791C9" w14:textId="5D50B61E" w:rsidR="00562848" w:rsidRDefault="00562848">
      <w:pPr>
        <w:rPr>
          <w:lang w:val="en-US"/>
        </w:rPr>
      </w:pPr>
    </w:p>
    <w:p w14:paraId="7C677E87" w14:textId="296DF4E2" w:rsidR="00562848" w:rsidRDefault="00562848">
      <w:pPr>
        <w:rPr>
          <w:lang w:val="en-US"/>
        </w:rPr>
      </w:pPr>
    </w:p>
    <w:p w14:paraId="7A58550B" w14:textId="29C38A1F" w:rsidR="00562848" w:rsidRDefault="00562848">
      <w:pPr>
        <w:rPr>
          <w:lang w:val="en-US"/>
        </w:rPr>
      </w:pPr>
    </w:p>
    <w:p w14:paraId="4D969C4E" w14:textId="25F73C65" w:rsidR="00562848" w:rsidRDefault="00562848">
      <w:pPr>
        <w:rPr>
          <w:lang w:val="en-US"/>
        </w:rPr>
      </w:pPr>
    </w:p>
    <w:p w14:paraId="18D4C34A" w14:textId="3554A422" w:rsidR="00562848" w:rsidRDefault="00562848">
      <w:pPr>
        <w:rPr>
          <w:lang w:val="en-US"/>
        </w:rPr>
      </w:pPr>
    </w:p>
    <w:p w14:paraId="0B297350" w14:textId="50397810" w:rsidR="00562848" w:rsidRDefault="00562848">
      <w:pPr>
        <w:rPr>
          <w:lang w:val="en-US"/>
        </w:rPr>
      </w:pPr>
    </w:p>
    <w:p w14:paraId="47BFD9E6" w14:textId="77777777" w:rsidR="00562848" w:rsidRPr="00562848" w:rsidRDefault="00562848">
      <w:pPr>
        <w:rPr>
          <w:lang w:val="en-US"/>
        </w:rPr>
      </w:pPr>
    </w:p>
    <w:p w14:paraId="1AF0CC1C" w14:textId="1E5415E7" w:rsidR="00562848" w:rsidRPr="00457AC1" w:rsidRDefault="00562848" w:rsidP="00562848">
      <w:pPr>
        <w:keepNext/>
        <w:keepLines/>
        <w:framePr w:hSpace="180" w:wrap="around" w:vAnchor="text" w:hAnchor="margin" w:y="231"/>
        <w:spacing w:before="40" w:after="0"/>
        <w:outlineLvl w:val="2"/>
        <w:rPr>
          <w:rFonts w:asciiTheme="majorHAnsi" w:eastAsia="Raleway" w:hAnsiTheme="majorHAnsi" w:cstheme="majorBidi"/>
          <w:color w:val="1F3763" w:themeColor="accent1" w:themeShade="7F"/>
          <w:sz w:val="24"/>
          <w:szCs w:val="24"/>
          <w:lang w:val="en-US" w:eastAsia="en-GB"/>
        </w:rPr>
      </w:pPr>
      <w:r>
        <w:rPr>
          <w:rFonts w:asciiTheme="majorHAnsi" w:eastAsia="Raleway" w:hAnsiTheme="majorHAnsi" w:cstheme="majorBidi"/>
          <w:color w:val="1F3763" w:themeColor="accent1" w:themeShade="7F"/>
          <w:sz w:val="24"/>
          <w:szCs w:val="24"/>
          <w:lang w:val="en-US" w:eastAsia="en-GB"/>
        </w:rPr>
        <w:lastRenderedPageBreak/>
        <w:t>Bibliography</w:t>
      </w:r>
    </w:p>
    <w:p w14:paraId="628492B7" w14:textId="77777777" w:rsidR="00562848" w:rsidRDefault="00562848" w:rsidP="00562848">
      <w:pPr>
        <w:pStyle w:val="EndNoteBibliography"/>
        <w:framePr w:wrap="around"/>
        <w:ind w:left="720" w:hanging="720"/>
      </w:pPr>
    </w:p>
    <w:p w14:paraId="47A9F793" w14:textId="77777777" w:rsidR="00700BCA" w:rsidRPr="00700BCA" w:rsidRDefault="00562848" w:rsidP="00700BCA">
      <w:pPr>
        <w:pStyle w:val="EndNoteBibliography"/>
        <w:framePr w:wrap="around"/>
      </w:pPr>
      <w:r>
        <w:fldChar w:fldCharType="begin"/>
      </w:r>
      <w:r>
        <w:instrText xml:space="preserve"> ADDIN EN.REFLIST </w:instrText>
      </w:r>
      <w:r>
        <w:fldChar w:fldCharType="separate"/>
      </w:r>
      <w:r w:rsidR="00700BCA" w:rsidRPr="00700BCA">
        <w:t xml:space="preserve">1. Swindells S, Andrade-Villanueva JF, Richmond GJ, Rizzardini G, Baumgarten A, Masiá M, et al. </w:t>
      </w:r>
      <w:r w:rsidR="00700BCA" w:rsidRPr="00700BCA">
        <w:rPr>
          <w:b/>
        </w:rPr>
        <w:t>Long-acting cabotegravir and rilpivirine for maintenance of HIV-1 suppression</w:t>
      </w:r>
      <w:r w:rsidR="00700BCA" w:rsidRPr="00700BCA">
        <w:t xml:space="preserve">. </w:t>
      </w:r>
      <w:r w:rsidR="00700BCA" w:rsidRPr="00700BCA">
        <w:rPr>
          <w:i/>
        </w:rPr>
        <w:t xml:space="preserve">N Engl J Med </w:t>
      </w:r>
      <w:r w:rsidR="00700BCA" w:rsidRPr="00700BCA">
        <w:t xml:space="preserve">2020; </w:t>
      </w:r>
      <w:r w:rsidR="00700BCA" w:rsidRPr="00700BCA">
        <w:rPr>
          <w:b/>
        </w:rPr>
        <w:t>382</w:t>
      </w:r>
      <w:r w:rsidR="00700BCA" w:rsidRPr="00700BCA">
        <w:t>:1112-1123.</w:t>
      </w:r>
    </w:p>
    <w:p w14:paraId="06847C8F" w14:textId="669907AE" w:rsidR="00BB3D6F" w:rsidRDefault="00562848">
      <w:r>
        <w:fldChar w:fldCharType="end"/>
      </w:r>
    </w:p>
    <w:sectPr w:rsidR="00BB3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Raleway">
    <w:altName w:val="Trebuchet MS"/>
    <w:charset w:val="00"/>
    <w:family w:val="swiss"/>
    <w:pitch w:val="variable"/>
    <w:sig w:usb0="A00002FF" w:usb1="5000205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IDS 2020-12-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ares2f6dwdfpeaxd8vswvlpzdz9ddaafwt&quot;&gt;Synched ViiV library&lt;record-ids&gt;&lt;item&gt;2237&lt;/item&gt;&lt;/record-ids&gt;&lt;/item&gt;&lt;/Libraries&gt;"/>
  </w:docVars>
  <w:rsids>
    <w:rsidRoot w:val="00457AC1"/>
    <w:rsid w:val="00113E4D"/>
    <w:rsid w:val="0025130D"/>
    <w:rsid w:val="00312D71"/>
    <w:rsid w:val="00377EED"/>
    <w:rsid w:val="003C4D9B"/>
    <w:rsid w:val="003F6868"/>
    <w:rsid w:val="00457AC1"/>
    <w:rsid w:val="00562848"/>
    <w:rsid w:val="0062196F"/>
    <w:rsid w:val="0069168A"/>
    <w:rsid w:val="00700BCA"/>
    <w:rsid w:val="00993EC2"/>
    <w:rsid w:val="00BB3D6F"/>
    <w:rsid w:val="00E8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D824"/>
  <w15:chartTrackingRefBased/>
  <w15:docId w15:val="{72A1E763-27AA-426D-831D-26362F61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AC1"/>
    <w:rPr>
      <w:sz w:val="16"/>
      <w:szCs w:val="16"/>
    </w:rPr>
  </w:style>
  <w:style w:type="paragraph" w:styleId="CommentText">
    <w:name w:val="annotation text"/>
    <w:basedOn w:val="Normal"/>
    <w:link w:val="CommentTextChar"/>
    <w:uiPriority w:val="99"/>
    <w:unhideWhenUsed/>
    <w:rsid w:val="00457AC1"/>
    <w:pPr>
      <w:spacing w:line="240" w:lineRule="auto"/>
    </w:pPr>
    <w:rPr>
      <w:sz w:val="20"/>
      <w:szCs w:val="20"/>
    </w:rPr>
  </w:style>
  <w:style w:type="character" w:customStyle="1" w:styleId="CommentTextChar">
    <w:name w:val="Comment Text Char"/>
    <w:basedOn w:val="DefaultParagraphFont"/>
    <w:link w:val="CommentText"/>
    <w:uiPriority w:val="99"/>
    <w:rsid w:val="00457AC1"/>
    <w:rPr>
      <w:sz w:val="20"/>
      <w:szCs w:val="20"/>
    </w:rPr>
  </w:style>
  <w:style w:type="table" w:styleId="PlainTable4">
    <w:name w:val="Plain Table 4"/>
    <w:basedOn w:val="TableNormal"/>
    <w:uiPriority w:val="44"/>
    <w:rsid w:val="00457A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5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2D71"/>
    <w:rPr>
      <w:b/>
      <w:bCs/>
    </w:rPr>
  </w:style>
  <w:style w:type="character" w:customStyle="1" w:styleId="CommentSubjectChar">
    <w:name w:val="Comment Subject Char"/>
    <w:basedOn w:val="CommentTextChar"/>
    <w:link w:val="CommentSubject"/>
    <w:uiPriority w:val="99"/>
    <w:semiHidden/>
    <w:rsid w:val="00312D71"/>
    <w:rPr>
      <w:b/>
      <w:bCs/>
      <w:sz w:val="20"/>
      <w:szCs w:val="20"/>
    </w:rPr>
  </w:style>
  <w:style w:type="paragraph" w:customStyle="1" w:styleId="EndNoteBibliographyTitle">
    <w:name w:val="EndNote Bibliography Title"/>
    <w:basedOn w:val="Normal"/>
    <w:link w:val="EndNoteBibliographyTitleChar"/>
    <w:rsid w:val="00562848"/>
    <w:pPr>
      <w:framePr w:hSpace="180" w:wrap="around" w:vAnchor="text" w:hAnchor="margin" w:y="231"/>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2848"/>
    <w:rPr>
      <w:rFonts w:ascii="Calibri" w:hAnsi="Calibri" w:cs="Calibri"/>
      <w:noProof/>
      <w:lang w:val="en-US"/>
    </w:rPr>
  </w:style>
  <w:style w:type="paragraph" w:customStyle="1" w:styleId="EndNoteBibliography">
    <w:name w:val="EndNote Bibliography"/>
    <w:basedOn w:val="Normal"/>
    <w:link w:val="EndNoteBibliographyChar"/>
    <w:rsid w:val="00562848"/>
    <w:pPr>
      <w:framePr w:hSpace="180" w:wrap="around" w:vAnchor="text" w:hAnchor="margin" w:y="231"/>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284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Paul (SciM)</dc:creator>
  <cp:keywords/>
  <dc:description/>
  <cp:lastModifiedBy>Euan Paul (SciM)</cp:lastModifiedBy>
  <cp:revision>2</cp:revision>
  <dcterms:created xsi:type="dcterms:W3CDTF">2021-03-31T09:36:00Z</dcterms:created>
  <dcterms:modified xsi:type="dcterms:W3CDTF">2021-03-31T09:36:00Z</dcterms:modified>
</cp:coreProperties>
</file>