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F4" w:rsidRDefault="001A1DF4"/>
    <w:p w:rsidR="00686FCF" w:rsidRDefault="00686FCF"/>
    <w:p w:rsidR="00686FCF" w:rsidRPr="00E10B7E" w:rsidRDefault="00686FCF" w:rsidP="00686FCF">
      <w:pPr>
        <w:spacing w:line="480" w:lineRule="auto"/>
        <w:rPr>
          <w:rFonts w:ascii="Arial" w:hAnsi="Arial" w:cs="Arial"/>
        </w:rPr>
      </w:pPr>
      <w:r w:rsidRPr="00E10B7E">
        <w:rPr>
          <w:rFonts w:ascii="Arial" w:hAnsi="Arial" w:cs="Arial"/>
          <w:b/>
        </w:rPr>
        <w:t>Supplemental Figure 1.</w:t>
      </w:r>
      <w:r w:rsidRPr="00E10B7E">
        <w:rPr>
          <w:rFonts w:ascii="Arial" w:hAnsi="Arial" w:cs="Arial"/>
        </w:rPr>
        <w:t xml:space="preserve"> Study design for DOT-DBS and TAF-DBS Studies. DOT-DBS and TAF-DBS were </w:t>
      </w:r>
      <w:r>
        <w:rPr>
          <w:rFonts w:ascii="Arial" w:hAnsi="Arial" w:cs="Arial"/>
        </w:rPr>
        <w:t xml:space="preserve">separate </w:t>
      </w:r>
      <w:r w:rsidRPr="00E10B7E">
        <w:rPr>
          <w:rFonts w:ascii="Arial" w:hAnsi="Arial" w:cs="Arial"/>
        </w:rPr>
        <w:t xml:space="preserve">randomized, crossover studies, where participants received two different 12-week dosing regimens of 33%, 67% or 100% daily dosing, separated by a 12-week washout period. Blood was collected at weekly in TAF-DBS and bi-weekly in DOT-DBS. </w:t>
      </w:r>
      <w:bookmarkStart w:id="0" w:name="_Hlk78289767"/>
      <w:r w:rsidRPr="00E10B7E">
        <w:rPr>
          <w:rFonts w:ascii="Arial" w:hAnsi="Arial" w:cs="Arial"/>
        </w:rPr>
        <w:t xml:space="preserve">Concentrations in PBMC were quantified to characterize the steady-state and washout kinetics, at weeks 2, 4, 10, 12, 15, 26, 28, 34, and 36 in DOT-DBS and the same plus 4 hours after the first dose, then weeks 1, 3, 13, 14, 16, 17, 25, and 27 in TAF-DBS. </w:t>
      </w:r>
      <w:bookmarkEnd w:id="0"/>
    </w:p>
    <w:p w:rsidR="00686FCF" w:rsidRDefault="00686FCF" w:rsidP="00686FC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30875" cy="2009775"/>
            <wp:effectExtent l="0" t="0" r="3175" b="9525"/>
            <wp:docPr id="1" name="Picture 1" descr="E:\Chandra Mohan\2021\September\02-Sep-2021\MNT_LWW_JOURNAL_AIDS_AIDS-D-21-00475_0\NEW_ORIGINALS\Supplemental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ndra Mohan\2021\September\02-Sep-2021\MNT_LWW_JOURNAL_AIDS_AIDS-D-21-00475_0\NEW_ORIGINALS\Supplemental Figure 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CF" w:rsidRDefault="00686FCF">
      <w:bookmarkStart w:id="1" w:name="_GoBack"/>
      <w:bookmarkEnd w:id="1"/>
    </w:p>
    <w:sectPr w:rsidR="0068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F"/>
    <w:rsid w:val="001A1DF4"/>
    <w:rsid w:val="006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79D0-1832-4839-BDFD-1D780E41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2021-09-02T06:57:00Z</dcterms:created>
  <dcterms:modified xsi:type="dcterms:W3CDTF">2021-09-02T06:58:00Z</dcterms:modified>
</cp:coreProperties>
</file>