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05" w:rsidRDefault="00F90F05" w:rsidP="00F90F05">
      <w:pPr>
        <w:rPr>
          <w:rStyle w:val="normaltextrun"/>
          <w:rFonts w:ascii="Times New Roman" w:hAnsi="Times New Roman" w:cs="Times New Roman"/>
          <w:lang w:val="en-US"/>
        </w:rPr>
      </w:pPr>
      <w:r w:rsidRPr="006064B1">
        <w:rPr>
          <w:rStyle w:val="normaltextrun"/>
          <w:rFonts w:ascii="Times New Roman" w:hAnsi="Times New Roman" w:cs="Times New Roman"/>
          <w:lang w:val="en-US"/>
        </w:rPr>
        <w:t>Figure S1. SARS-CoV-2 spike IgG levels in PLWH stratified by baseline HIV RNA levels. The statistical analysis was performed with Mann-Whitney test. * p=0.0480.</w:t>
      </w:r>
    </w:p>
    <w:p w:rsidR="005E5AE9" w:rsidRDefault="00F90F05">
      <w:bookmarkStart w:id="0" w:name="_GoBack"/>
      <w:bookmarkEnd w:id="0"/>
      <w:r>
        <w:rPr>
          <w:noProof/>
        </w:rPr>
        <w:drawing>
          <wp:inline distT="0" distB="0" distL="0" distR="0" wp14:anchorId="44B0A60E" wp14:editId="5BB36B4B">
            <wp:extent cx="4591050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05"/>
    <w:rsid w:val="005E5AE9"/>
    <w:rsid w:val="00F9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2A7DE-C7BD-4532-AD02-FC7E6561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05"/>
    <w:pPr>
      <w:spacing w:after="0" w:line="240" w:lineRule="auto"/>
    </w:pPr>
    <w:rPr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9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TD</cp:lastModifiedBy>
  <cp:revision>1</cp:revision>
  <dcterms:created xsi:type="dcterms:W3CDTF">2021-12-01T06:46:00Z</dcterms:created>
  <dcterms:modified xsi:type="dcterms:W3CDTF">2021-12-01T06:46:00Z</dcterms:modified>
</cp:coreProperties>
</file>