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088" w:rsidRDefault="00E86088"/>
    <w:p w:rsidR="00E86088" w:rsidRDefault="00E86088">
      <w:pPr>
        <w:rPr>
          <w:b/>
          <w:bCs/>
        </w:rPr>
      </w:pPr>
      <w:r>
        <w:rPr>
          <w:b/>
          <w:bCs/>
        </w:rPr>
        <w:t xml:space="preserve">Supplemental Digital Content </w:t>
      </w:r>
      <w:bookmarkStart w:id="0" w:name="_Ref29385418"/>
    </w:p>
    <w:p w:rsidR="00E86088" w:rsidRDefault="00E86088">
      <w:pPr>
        <w:rPr>
          <w:b/>
          <w:bCs/>
        </w:rPr>
      </w:pPr>
      <w:r>
        <w:rPr>
          <w:b/>
          <w:bCs/>
        </w:rPr>
        <w:t>Supplemental Digital Content 1. Study designs</w:t>
      </w:r>
    </w:p>
    <w:p w:rsidR="00E86088" w:rsidRDefault="00E86088">
      <w:pPr>
        <w:pStyle w:val="ListParagraph"/>
        <w:numPr>
          <w:ilvl w:val="0"/>
          <w:numId w:val="37"/>
        </w:numPr>
      </w:pPr>
      <w:r>
        <w:t xml:space="preserve"> ATLAS and FLAIR</w:t>
      </w:r>
    </w:p>
    <w:p w:rsidR="00E86088" w:rsidRDefault="00E86088">
      <w:r>
        <w:rPr>
          <w:noProof/>
        </w:rPr>
        <w:t>251658240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style="width:384pt;height:263.25pt;visibility:visible">
            <v:imagedata r:id="rId7" o:title=""/>
          </v:shape>
        </w:pict>
      </w:r>
    </w:p>
    <w:p w:rsidR="00E86088" w:rsidRDefault="00E86088">
      <w:pPr>
        <w:rPr>
          <w:vertAlign w:val="superscript"/>
        </w:rPr>
      </w:pPr>
    </w:p>
    <w:p w:rsidR="00E86088" w:rsidRDefault="00E86088">
      <w:r>
        <w:rPr>
          <w:vertAlign w:val="superscript"/>
        </w:rPr>
        <w:t>a</w:t>
      </w:r>
      <w:r>
        <w:t xml:space="preserve"> Uninterrupted ART for 6 months and VL &lt;50 copies/mL at screening, 2 × VL &lt;50 copies/mL ≤12 months (one within the 6- to 12-month window, and one within 6 months prior to screening); DTG/ABC/3TC excluded from study.</w:t>
      </w:r>
    </w:p>
    <w:p w:rsidR="00E86088" w:rsidRDefault="00E86088">
      <w:bookmarkStart w:id="1" w:name="_Hlk28934312"/>
      <w:r>
        <w:rPr>
          <w:vertAlign w:val="superscript"/>
        </w:rPr>
        <w:t>b</w:t>
      </w:r>
      <w:r>
        <w:t xml:space="preserve"> </w:t>
      </w:r>
      <w:bookmarkEnd w:id="1"/>
      <w:r>
        <w:t>Optional switch to CAB+RPV LA at Week 52 for those on CAR.</w:t>
      </w:r>
    </w:p>
    <w:p w:rsidR="00E86088" w:rsidRDefault="00E86088">
      <w:bookmarkStart w:id="2" w:name="_Hlk28945877"/>
      <w:r>
        <w:rPr>
          <w:vertAlign w:val="superscript"/>
        </w:rPr>
        <w:t>c</w:t>
      </w:r>
      <w:r>
        <w:t xml:space="preserve"> </w:t>
      </w:r>
      <w:bookmarkEnd w:id="2"/>
      <w:r>
        <w:t>Participants received an initial loading dose of CAB LA (600 mg) and RPV LA (900 mg) at Week 4. From Week 8 onwards, participants received CAB LA (400 mg) + RPV LA (600 mg) injections every 4 weeks.</w:t>
      </w:r>
    </w:p>
    <w:p w:rsidR="00E86088" w:rsidRDefault="00E86088">
      <w:r>
        <w:rPr>
          <w:vertAlign w:val="superscript"/>
        </w:rPr>
        <w:t>d</w:t>
      </w:r>
      <w:r>
        <w:t xml:space="preserve"> For participants who were HLA-B*5701 positive, DTG was taken with a non-ABC NRTI backbone, chosen by the investigator.</w:t>
      </w:r>
    </w:p>
    <w:p w:rsidR="00E86088" w:rsidRDefault="00E86088">
      <w:r>
        <w:t>Figure adapted from Murray M, Antela A, Mills A, et al. Patient-Reported Outcomes in</w:t>
      </w:r>
    </w:p>
    <w:p w:rsidR="00E86088" w:rsidRDefault="00E86088">
      <w:r>
        <w:t>ATLAS and FLAIR Participants on Long-Acting Regimens of Cabotegravir and Rilpivirine Over 48</w:t>
      </w:r>
    </w:p>
    <w:p w:rsidR="00E86088" w:rsidRDefault="00E86088">
      <w:r>
        <w:t>Weeks. AIDS Behav. 2020. https:// doi.org/10.1007/s10461-020-02929-8, under a Creative Commons Attribution 4.0 International License, http://creativecommons.org/licenses/by/4.0/.</w:t>
      </w:r>
    </w:p>
    <w:p w:rsidR="00E86088" w:rsidRDefault="00E86088">
      <w:bookmarkStart w:id="3" w:name="_Hlk47522906"/>
      <w:r>
        <w:t xml:space="preserve">3TC, lamivudine; ABC, abacavir; ART, antiretroviral therapy; CAB, cabotegravir; CAR, current antiretroviral therapy; DTG, dolutegravir; IM, intramuscular; INSTI, integrase strand transfer inhibitor; HBsAg, hepatitis B surface antigen; HLA, human leukocyte antigen; LA, long-acting; NNRTI, non-nucleoside reverse transcriptase inhibitor; NRTI, nucleoside reverse transcriptase inhibitor; PI, protease inhibitor; RAM, resistance-associated mutation; </w:t>
      </w:r>
      <w:bookmarkStart w:id="4" w:name="_Hlk50453994"/>
      <w:r>
        <w:t>RPV, rilpivirine;</w:t>
      </w:r>
      <w:bookmarkEnd w:id="4"/>
      <w:r>
        <w:t xml:space="preserve"> VL, viral load.</w:t>
      </w:r>
      <w:r>
        <w:br w:type="page"/>
      </w:r>
    </w:p>
    <w:bookmarkEnd w:id="3"/>
    <w:p w:rsidR="00E86088" w:rsidRDefault="00E86088">
      <w:pPr>
        <w:pStyle w:val="ListParagraph"/>
        <w:numPr>
          <w:ilvl w:val="0"/>
          <w:numId w:val="37"/>
        </w:numPr>
      </w:pPr>
      <w:r>
        <w:t>ATLAS-2M</w:t>
      </w:r>
    </w:p>
    <w:p w:rsidR="00E86088" w:rsidRDefault="00E86088">
      <w:pPr>
        <w:rPr>
          <w:vertAlign w:val="superscript"/>
        </w:rPr>
      </w:pPr>
      <w:r>
        <w:rPr>
          <w:noProof/>
        </w:rPr>
        <w:t>251658240</w:t>
      </w:r>
      <w:r>
        <w:rPr>
          <w:noProof/>
        </w:rPr>
        <w:pict>
          <v:shape id="Picture 4" o:spid="_x0000_i1026" type="#_x0000_t75" style="width:435pt;height:148.5pt;visibility:visible">
            <v:imagedata r:id="rId8" o:title=""/>
          </v:shape>
        </w:pict>
      </w:r>
    </w:p>
    <w:p w:rsidR="00E86088" w:rsidRDefault="00E86088">
      <w:bookmarkStart w:id="5" w:name="_Hlk36548273"/>
      <w:r>
        <w:rPr>
          <w:vertAlign w:val="superscript"/>
        </w:rPr>
        <w:t>a</w:t>
      </w:r>
      <w:r>
        <w:t xml:space="preserve"> ATLAS participants on every 4 weeks group—transition to ATLAS-2M day 1 onwards:</w:t>
      </w:r>
    </w:p>
    <w:p w:rsidR="00E86088" w:rsidRDefault="00E86088">
      <w:r>
        <w:t>cabotegravir LA (400 mg) plus rilpivirine LA (600 mg) intramuscularly every 4 weeks or cabotegravir LA (600 mg) plus rilpivirine LA (900 mg) intramuscularly every 8 weeks. New ATLAS-2M participants naive to LA at day 1—all participants initiate 4-week oral lead-in followed by LA injections: every 4 weeks group—loading dose of cabotegravir LA (600 mg) plus rilpivirine LA (900 mg) intramuscularly at week 4, then cabotegravir LA (400 mg) plus rilpivirine LA (600 mg)</w:t>
      </w:r>
    </w:p>
    <w:p w:rsidR="00E86088" w:rsidRDefault="00E86088">
      <w:r>
        <w:t>intramuscularly every 4 weeks; every 8 weeks group—initial dose of cabotegravir LA (600 mg) plus rilpivirine LA (900 mg) at week 4 and week 8, then continue same intramuscular dose every 8 weeks. Participants who withdraw from the intramuscular regimen must go into 52-week long-term follow-up if randomized regimen is not yet locally approved and commercially available. Doses were scheduled on the basis of a fixed treatment date, and that target date of the month</w:t>
      </w:r>
    </w:p>
    <w:p w:rsidR="00E86088" w:rsidRDefault="00E86088">
      <w:r>
        <w:t>or every other month was carried forward. For participants transitioning from standard of care in either group and those transitioning from every 4 weeks to every 8 weeks, there was a −7-day dosing window for the second and third intramuscular injections and a ±7-day window thereafter. For those continuing every 4 week dosing from ATLAS, there was a ±7-day window for injections.</w:t>
      </w:r>
    </w:p>
    <w:p w:rsidR="00E86088" w:rsidRDefault="00E86088">
      <w:r>
        <w:rPr>
          <w:vertAlign w:val="superscript"/>
        </w:rPr>
        <w:t>b</w:t>
      </w:r>
      <w:r>
        <w:t xml:space="preserve"> Intention-to-treat exposed population.</w:t>
      </w:r>
    </w:p>
    <w:p w:rsidR="00E86088" w:rsidRDefault="00E86088">
      <w:r>
        <w:rPr>
          <w:vertAlign w:val="superscript"/>
        </w:rPr>
        <w:t>c</w:t>
      </w:r>
      <w:r>
        <w:t xml:space="preserve"> 1149 participants were screened, and 1049 participants were randomly assigned. However, four participants did not receive study drug and were therefore not part of the intention-to-treat exposed population.</w:t>
      </w:r>
    </w:p>
    <w:p w:rsidR="00E86088" w:rsidRDefault="00E86088">
      <w:r>
        <w:rPr>
          <w:vertAlign w:val="superscript"/>
        </w:rPr>
        <w:t>d</w:t>
      </w:r>
      <w:r>
        <w:t xml:space="preserve"> Standard-of-care participants not transitioning from the ATLAS study were to be on uninterrupted current regimen (either the initial or second combined ART regimen) for at least 6 months before screening. Documented evidence was required of at least two plasma HIV-1 RNA measurements &lt;50 copies per mL in the 12 months before screening: one within the 6–12-month window, and one within 6 months before screening. Participants were excluded if they had a history of virological failure; evidence of viral resistance based on the presence of any resistance-associated major INSTI or NNRTI mutation (except K103N) from previous genotype assay results; or current or previous history of etravirine use.</w:t>
      </w:r>
    </w:p>
    <w:p w:rsidR="00E86088" w:rsidRDefault="00E86088">
      <w:r>
        <w:t xml:space="preserve">Reprinted from </w:t>
      </w:r>
      <w:r>
        <w:rPr>
          <w:i/>
          <w:iCs/>
        </w:rPr>
        <w:t>The Lancet</w:t>
      </w:r>
      <w:r>
        <w:t>, Volume 396, Overton et al., Long-acting cabotegravir and rilpivirine dosed every 2 months in adults with HIV-1 infection (ATLAS-2M), 48-week results: a randomised, multicentre, open-label, phase 3b, non-inferiority study, Pages 1994–2005. Copyright (2020), with permission from Elsevier.</w:t>
      </w:r>
    </w:p>
    <w:p w:rsidR="00E86088" w:rsidRDefault="00E86088"/>
    <w:p w:rsidR="00E86088" w:rsidRDefault="00E86088">
      <w:r>
        <w:t xml:space="preserve">ART, antiretroviral therapy; INSTI, integrase strand transfer inhibitor; LA, long-acting; NNRTI, </w:t>
      </w:r>
      <w:r>
        <w:br/>
        <w:t>non-nucleoside reverse transcriptase inhibitor; NRTI, nucleoside reverse transcriptase inhibitor; PI, protease inhibitor.</w:t>
      </w:r>
    </w:p>
    <w:p w:rsidR="00E86088" w:rsidRDefault="00E86088"/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8565"/>
      </w:tblGrid>
      <w:tr w:rsidR="00E86088">
        <w:trPr>
          <w:trHeight w:val="701"/>
        </w:trPr>
        <w:tc>
          <w:tcPr>
            <w:tcW w:w="8565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rPr>
                <w:b/>
                <w:bCs/>
              </w:rPr>
            </w:pPr>
          </w:p>
        </w:tc>
      </w:tr>
      <w:bookmarkEnd w:id="5"/>
    </w:tbl>
    <w:p w:rsidR="00E86088" w:rsidRDefault="00E86088"/>
    <w:p w:rsidR="00E86088" w:rsidRDefault="00E86088">
      <w:pPr>
        <w:sectPr w:rsidR="00E86088">
          <w:headerReference w:type="default" r:id="rId9"/>
          <w:footerReference w:type="default" r:id="rId10"/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:rsidR="00E86088" w:rsidRDefault="00E86088">
      <w:pPr>
        <w:rPr>
          <w:b/>
          <w:bCs/>
        </w:rPr>
      </w:pPr>
      <w:r>
        <w:rPr>
          <w:b/>
          <w:bCs/>
        </w:rPr>
        <w:t>Supplemental Digital Content 2. Methodology of genotypic and phenotypic procedures</w:t>
      </w:r>
    </w:p>
    <w:p w:rsidR="00E86088" w:rsidRDefault="00E86088">
      <w:r>
        <w:t>For viral genotype and phenotype analysis, samples were collected at screening for FLAIR, and at baseline and suspected virologic failure (SVF; first of two consecutive visits with HIV-1 RNA ≥200 copies/mL) for all studies. For FLAIR, screening plasma samples were used for reverse transcriptase genotype analysis with either Monogram Biosciences or Q</w:t>
      </w:r>
      <w:r>
        <w:rPr>
          <w:vertAlign w:val="superscript"/>
        </w:rPr>
        <w:t>2</w:t>
      </w:r>
      <w:r>
        <w:t xml:space="preserve"> Solutions assays. Integrase was sequenced retrospectively at the induction baseline (Week –20) using stored plasma samples. Baseline genotyping of participant samples from the ATLAS and ATLAS</w:t>
      </w:r>
      <w:r>
        <w:noBreakHyphen/>
        <w:t xml:space="preserve">2M studies was carried out retrospectively </w:t>
      </w:r>
      <w:bookmarkStart w:id="6" w:name="_Hlk64879937"/>
      <w:r>
        <w:t>in peripheral blood mononuclear cell (PBMC) samples</w:t>
      </w:r>
      <w:bookmarkEnd w:id="6"/>
      <w:r>
        <w:t>. In participants with confirmed virologic failure, baseline viral genotype and phenotype were determined using stored plasma samples at induction baseline for FLAIR, PBMCs at baseline for ATLAS and ATLAS</w:t>
      </w:r>
      <w:r>
        <w:noBreakHyphen/>
        <w:t>2M, and plasma samples at SVF for all studies. Viral genotype and phenotype were analyzed from plasma samples using Monogram Biosciences PhenoSense® GT, PhenoSense® Integrase, and/or GenoSeq® Integrase assays (Sanger-based sequencing), and from PBMCs with the Monogram Biosciences GenoSure Archive® assay (next-generation sequencing).</w:t>
      </w:r>
    </w:p>
    <w:p w:rsidR="00E86088" w:rsidRDefault="00E86088">
      <w:pPr>
        <w:rPr>
          <w:b/>
          <w:bCs/>
        </w:rPr>
      </w:pPr>
      <w:r>
        <w:rPr>
          <w:b/>
          <w:bCs/>
        </w:rPr>
        <w:br w:type="page"/>
      </w:r>
    </w:p>
    <w:p w:rsidR="00E86088" w:rsidRDefault="00E86088">
      <w:pPr>
        <w:rPr>
          <w:b/>
          <w:bCs/>
        </w:rPr>
      </w:pPr>
      <w:r>
        <w:rPr>
          <w:b/>
          <w:bCs/>
        </w:rPr>
        <w:t>Supplemental Digital Content 3. Mutations potentially associated with resistance to INSTI or NNRTI</w:t>
      </w:r>
    </w:p>
    <w:p w:rsidR="00E86088" w:rsidRDefault="00E86088">
      <w:pPr>
        <w:rPr>
          <w:b/>
          <w:bCs/>
        </w:rPr>
      </w:pPr>
    </w:p>
    <w:tbl>
      <w:tblPr>
        <w:tblW w:w="0" w:type="auto"/>
        <w:tblInd w:w="-106" w:type="dxa"/>
        <w:tblLook w:val="0000" w:firstRow="0" w:lastRow="0" w:firstColumn="0" w:lastColumn="0" w:noHBand="0" w:noVBand="0"/>
      </w:tblPr>
      <w:tblGrid>
        <w:gridCol w:w="815"/>
        <w:gridCol w:w="8239"/>
      </w:tblGrid>
      <w:tr w:rsidR="00E86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Class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Mutations</w:t>
            </w:r>
          </w:p>
        </w:tc>
      </w:tr>
      <w:tr w:rsidR="00E86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INSTI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</w:pPr>
            <w:r>
              <w:t>Prespecified INSTI mutations:</w:t>
            </w:r>
            <w:r>
              <w:rPr>
                <w:vertAlign w:val="superscript"/>
              </w:rPr>
              <w:t>a</w:t>
            </w:r>
            <w:r>
              <w:t xml:space="preserve"> </w:t>
            </w:r>
          </w:p>
          <w:p w:rsidR="00E86088" w:rsidRDefault="00E86088">
            <w:pPr>
              <w:spacing w:line="240" w:lineRule="auto"/>
            </w:pPr>
            <w:r>
              <w:t>H51Y,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T66A</w:t>
            </w:r>
            <w:r>
              <w:t>/I/</w:t>
            </w:r>
            <w:r>
              <w:rPr>
                <w:spacing w:val="-1"/>
              </w:rPr>
              <w:t>K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L68V/I</w:t>
            </w:r>
            <w:r>
              <w:rPr>
                <w:spacing w:val="-1"/>
              </w:rPr>
              <w:t>, L74I/M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E92</w:t>
            </w:r>
            <w:r>
              <w:rPr>
                <w:spacing w:val="-2"/>
              </w:rPr>
              <w:t>Q</w:t>
            </w:r>
            <w:r>
              <w:t>/V/G,</w:t>
            </w:r>
            <w:r>
              <w:rPr>
                <w:spacing w:val="-1"/>
              </w:rPr>
              <w:t xml:space="preserve"> Q95K, </w:t>
            </w:r>
            <w:r>
              <w:t>T97A, G</w:t>
            </w:r>
            <w:r>
              <w:rPr>
                <w:spacing w:val="1"/>
              </w:rPr>
              <w:t>1</w:t>
            </w:r>
            <w:r>
              <w:t>18R, F121Y, E138A/K/D/T, G140A/C/R/S,</w:t>
            </w:r>
            <w:r>
              <w:rPr>
                <w:spacing w:val="-1"/>
              </w:rPr>
              <w:t xml:space="preserve"> </w:t>
            </w:r>
            <w:r>
              <w:t>Y143C/H/R/K/S/G/A,</w:t>
            </w:r>
            <w:r>
              <w:rPr>
                <w:spacing w:val="-1"/>
              </w:rPr>
              <w:t xml:space="preserve"> P145</w:t>
            </w:r>
            <w:r>
              <w:t xml:space="preserve">S, S147G, </w:t>
            </w:r>
            <w:r>
              <w:rPr>
                <w:spacing w:val="-1"/>
              </w:rPr>
              <w:t>Q148H</w:t>
            </w:r>
            <w:r>
              <w:t>/</w:t>
            </w:r>
            <w:r>
              <w:rPr>
                <w:spacing w:val="-1"/>
              </w:rPr>
              <w:t>K</w:t>
            </w:r>
            <w:r>
              <w:t>/</w:t>
            </w:r>
            <w:r>
              <w:rPr>
                <w:spacing w:val="-1"/>
              </w:rPr>
              <w:t>R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V151I/L/A,</w:t>
            </w:r>
            <w:r>
              <w:rPr>
                <w:spacing w:val="-1"/>
              </w:rPr>
              <w:t xml:space="preserve"> </w:t>
            </w:r>
            <w:r>
              <w:t>S153F/Y, N155</w:t>
            </w:r>
            <w:r>
              <w:rPr>
                <w:spacing w:val="-1"/>
              </w:rPr>
              <w:t>H/S/T</w:t>
            </w:r>
            <w:r>
              <w:t>,</w:t>
            </w:r>
            <w:r>
              <w:rPr>
                <w:spacing w:val="54"/>
              </w:rPr>
              <w:t xml:space="preserve"> </w:t>
            </w:r>
            <w:r>
              <w:t>E157Q, G163R/K, G193E, S230R, R263K</w:t>
            </w:r>
          </w:p>
        </w:tc>
      </w:tr>
      <w:tr w:rsidR="00E86088">
        <w:trPr>
          <w:cantSplit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NNRTI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rPr>
                <w:vertAlign w:val="superscript"/>
              </w:rPr>
            </w:pPr>
            <w:r>
              <w:t>IAS–USA mutations associated with resistance to NNRTI:</w:t>
            </w:r>
            <w:r>
              <w:rPr>
                <w:vertAlign w:val="superscript"/>
              </w:rPr>
              <w:t>b</w:t>
            </w:r>
          </w:p>
          <w:p w:rsidR="00E86088" w:rsidRDefault="00E86088">
            <w:pPr>
              <w:spacing w:line="240" w:lineRule="auto"/>
              <w:rPr>
                <w:color w:val="000000"/>
              </w:rPr>
            </w:pPr>
            <w:r>
              <w:t>V90I, A98G, L100I, K101E/H/P, K103N/S, V106A/I/M/T, V108I, E138A/G/K/Q/R, V179D/F/L/T, Y181C/I/V, Y188C/H/L, G190A/E/S, H221Y, P225H, F227C/L/R, M230I/L, L234I</w:t>
            </w:r>
          </w:p>
        </w:tc>
      </w:tr>
      <w:tr w:rsidR="00E86088">
        <w:trPr>
          <w:cantSplit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</w:pPr>
            <w:r>
              <w:t>IAS–USA major mutations associated with resistance to RPV:</w:t>
            </w:r>
            <w:r>
              <w:rPr>
                <w:vertAlign w:val="superscript"/>
              </w:rPr>
              <w:t>c</w:t>
            </w:r>
          </w:p>
          <w:p w:rsidR="00E86088" w:rsidRDefault="00E86088">
            <w:pPr>
              <w:spacing w:line="240" w:lineRule="auto"/>
            </w:pPr>
            <w:r>
              <w:t>L100I, K101E/P, E138A/G/K/Q/R, V179L, Y181C/I/V, Y188L, H221Y, F227C, M230I/L</w:t>
            </w:r>
          </w:p>
        </w:tc>
      </w:tr>
    </w:tbl>
    <w:p w:rsidR="00E86088" w:rsidRDefault="00E86088"/>
    <w:p w:rsidR="00E86088" w:rsidRDefault="00E86088">
      <w:r>
        <w:rPr>
          <w:vertAlign w:val="superscript"/>
        </w:rPr>
        <w:t>a</w:t>
      </w:r>
      <w:r>
        <w:t xml:space="preserve"> Mutations (H51Y, L74I, L68V/I, E92V, </w:t>
      </w:r>
      <w:r>
        <w:rPr>
          <w:spacing w:val="-1"/>
        </w:rPr>
        <w:t xml:space="preserve">Q95K, </w:t>
      </w:r>
      <w:r>
        <w:t xml:space="preserve">E138D, Y143K/S/G/A, </w:t>
      </w:r>
      <w:r>
        <w:rPr>
          <w:spacing w:val="-1"/>
        </w:rPr>
        <w:t>P145</w:t>
      </w:r>
      <w:r>
        <w:t xml:space="preserve">S, Q146P, V151I/L/A, N155S/T, E157Q, G163R/K, G193E, S230R) were identified during </w:t>
      </w:r>
      <w:r>
        <w:rPr>
          <w:i/>
          <w:iCs/>
        </w:rPr>
        <w:t>in vitro</w:t>
      </w:r>
      <w:r>
        <w:t xml:space="preserve"> passage of DTG or seen in a previous DTG study in INSTI-experienced participants (NCT01328041); all other mutations in this prespecified list were identified per the IAS–USA mutations associated with resistance to bictegravir, CAB, DTG, elvitegravir, or raltegravir.</w:t>
      </w:r>
      <w:r>
        <w:fldChar w:fldCharType="begin">
          <w:fldData xml:space="preserve">PEVuZE5vdGU+PENpdGU+PEF1dGhvcj5XZW5zaW5nPC9BdXRob3I+PFllYXI+MjAxOTwvWWVhcj48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</w:fldData>
        </w:fldChar>
      </w:r>
      <w:r>
        <w:instrText xml:space="preserve"> ADDIN EN.CITE </w:instrText>
      </w:r>
      <w:r>
        <w:fldChar w:fldCharType="begin">
          <w:fldData xml:space="preserve">PEVuZE5vdGU+PENpdGU+PEF1dGhvcj5XZW5zaW5nPC9BdXRob3I+PFllYXI+MjAxOTwvWWVhcj48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</w:fldData>
        </w:fldChar>
      </w:r>
      <w:r>
        <w:instrText xml:space="preserve"> ADDIN EN.CITE.DATA </w:instrText>
      </w:r>
      <w:r>
        <w:fldChar w:fldCharType="end"/>
      </w:r>
      <w:r>
        <w:fldChar w:fldCharType="separate"/>
      </w:r>
      <w:r>
        <w:rPr>
          <w:noProof/>
          <w:vertAlign w:val="superscript"/>
        </w:rPr>
        <w:t>[18]</w:t>
      </w:r>
      <w:r>
        <w:fldChar w:fldCharType="end"/>
      </w:r>
    </w:p>
    <w:p w:rsidR="00E86088" w:rsidRDefault="00E86088">
      <w:r>
        <w:rPr>
          <w:vertAlign w:val="superscript"/>
        </w:rPr>
        <w:t>b</w:t>
      </w:r>
      <w:r>
        <w:t xml:space="preserve"> IAS–USA mutations associated with resistance to doravirine, efavirenz, etravirine, nevirapine, or RPV.</w:t>
      </w:r>
      <w:r>
        <w:fldChar w:fldCharType="begin">
          <w:fldData xml:space="preserve">PEVuZE5vdGU+PENpdGU+PEF1dGhvcj5XZW5zaW5nPC9BdXRob3I+PFllYXI+MjAxOTwvWWVhcj48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</w:fldData>
        </w:fldChar>
      </w:r>
      <w:r>
        <w:instrText xml:space="preserve"> ADDIN EN.CITE </w:instrText>
      </w:r>
      <w:r>
        <w:fldChar w:fldCharType="begin">
          <w:fldData xml:space="preserve">PEVuZE5vdGU+PENpdGU+PEF1dGhvcj5XZW5zaW5nPC9BdXRob3I+PFllYXI+MjAxOTwvWWVhcj48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</w:fldData>
        </w:fldChar>
      </w:r>
      <w:r>
        <w:instrText xml:space="preserve"> ADDIN EN.CITE.DATA </w:instrText>
      </w:r>
      <w:r>
        <w:fldChar w:fldCharType="end"/>
      </w:r>
      <w:r>
        <w:fldChar w:fldCharType="separate"/>
      </w:r>
      <w:r>
        <w:rPr>
          <w:noProof/>
          <w:vertAlign w:val="superscript"/>
        </w:rPr>
        <w:t>[18]</w:t>
      </w:r>
      <w:r>
        <w:fldChar w:fldCharType="end"/>
      </w:r>
    </w:p>
    <w:p w:rsidR="00E86088" w:rsidRDefault="00E86088">
      <w:pPr>
        <w:spacing w:afterLines="120" w:after="288"/>
      </w:pPr>
      <w:r>
        <w:rPr>
          <w:vertAlign w:val="superscript"/>
        </w:rPr>
        <w:t>c</w:t>
      </w:r>
      <w:r>
        <w:t xml:space="preserve"> IAS–USA major mutations associated with resistance to RPV.</w:t>
      </w:r>
      <w:r>
        <w:fldChar w:fldCharType="begin">
          <w:fldData xml:space="preserve">PEVuZE5vdGU+PENpdGU+PEF1dGhvcj5XZW5zaW5nPC9BdXRob3I+PFllYXI+MjAxOTwvWWVhcj48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</w:fldData>
        </w:fldChar>
      </w:r>
      <w:r>
        <w:instrText xml:space="preserve"> ADDIN EN.CITE </w:instrText>
      </w:r>
      <w:r>
        <w:fldChar w:fldCharType="begin">
          <w:fldData xml:space="preserve">PEVuZE5vdGU+PENpdGU+PEF1dGhvcj5XZW5zaW5nPC9BdXRob3I+PFllYXI+MjAxOTwvWWVhcj48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</w:fldData>
        </w:fldChar>
      </w:r>
      <w:r>
        <w:instrText xml:space="preserve"> ADDIN EN.CITE.DATA </w:instrText>
      </w:r>
      <w:r>
        <w:fldChar w:fldCharType="end"/>
      </w:r>
      <w:r>
        <w:fldChar w:fldCharType="separate"/>
      </w:r>
      <w:r>
        <w:rPr>
          <w:noProof/>
          <w:vertAlign w:val="superscript"/>
        </w:rPr>
        <w:t>[18]</w:t>
      </w:r>
      <w:r>
        <w:fldChar w:fldCharType="end"/>
      </w:r>
      <w:r>
        <w:t xml:space="preserve"> These are identical to the ones mentioned in the Edurant® prescribing information, except for L100I, which is only mentioned in combination with K103N.</w:t>
      </w:r>
    </w:p>
    <w:p w:rsidR="00E86088" w:rsidRDefault="00E86088">
      <w:pPr>
        <w:sectPr w:rsidR="00E86088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t>CAB, cabotegravir; DTG, dolutegravir; INSTI, integrase strand transfer inhibitor; NNRTI, non-nucleoside reverse transcriptase inhibitor; RPV, rilpivirine.</w:t>
      </w:r>
    </w:p>
    <w:p w:rsidR="00E86088" w:rsidRDefault="00E86088">
      <w:pPr>
        <w:rPr>
          <w:b/>
          <w:bCs/>
        </w:rPr>
      </w:pPr>
      <w:r>
        <w:rPr>
          <w:b/>
          <w:bCs/>
        </w:rPr>
        <w:t>Supplemental Digital Content 4. Analyses conducted</w:t>
      </w:r>
    </w:p>
    <w:p w:rsidR="00E86088" w:rsidRDefault="00E86088">
      <w:pPr>
        <w:rPr>
          <w:b/>
          <w:bCs/>
        </w:rPr>
      </w:pPr>
    </w:p>
    <w:p w:rsidR="00E86088" w:rsidRDefault="00E86088">
      <w:pPr>
        <w:rPr>
          <w:b/>
          <w:bCs/>
        </w:rPr>
      </w:pPr>
      <w:r>
        <w:rPr>
          <w:noProof/>
        </w:rPr>
        <w:t>251658240</w:t>
      </w:r>
      <w:r>
        <w:rPr>
          <w:noProof/>
        </w:rPr>
        <w:pict>
          <v:shape id="Picture 2" o:spid="_x0000_i1027" type="#_x0000_t75" style="width:437.25pt;height:210.75pt;visibility:visible">
            <v:imagedata r:id="rId11" o:title=""/>
          </v:shape>
        </w:pict>
      </w:r>
    </w:p>
    <w:p w:rsidR="00E86088" w:rsidRDefault="00E86088">
      <w:pPr>
        <w:rPr>
          <w:b/>
          <w:bCs/>
        </w:rPr>
      </w:pPr>
      <w:r>
        <w:t>CAB, cabotegravir; CVF, confirmed virologic failure; NPV, negative predictive value; PPV, positive predictive value; RPV, rilpivirine.</w:t>
      </w:r>
    </w:p>
    <w:p w:rsidR="00E86088" w:rsidRDefault="00E86088">
      <w:pPr>
        <w:rPr>
          <w:b/>
          <w:bCs/>
        </w:rPr>
      </w:pPr>
    </w:p>
    <w:p w:rsidR="00E86088" w:rsidRDefault="00E86088">
      <w:pPr>
        <w:sectPr w:rsidR="00E86088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:rsidR="00E86088" w:rsidRDefault="00E86088">
      <w:pPr>
        <w:rPr>
          <w:b/>
          <w:bCs/>
        </w:rPr>
      </w:pPr>
      <w:r>
        <w:rPr>
          <w:b/>
          <w:bCs/>
        </w:rPr>
        <w:t>Supplemental Digital Content 5. Disposition of participants included in this analysis</w:t>
      </w:r>
    </w:p>
    <w:p w:rsidR="00E86088" w:rsidRDefault="00E86088">
      <w:pPr>
        <w:pStyle w:val="ListParagraph"/>
        <w:numPr>
          <w:ilvl w:val="0"/>
          <w:numId w:val="51"/>
        </w:numPr>
      </w:pPr>
      <w:r>
        <w:t>Overall population</w:t>
      </w:r>
    </w:p>
    <w:p w:rsidR="00E86088" w:rsidRDefault="00E86088"/>
    <w:p w:rsidR="00E86088" w:rsidRDefault="00E86088">
      <w:r>
        <w:rPr>
          <w:noProof/>
        </w:rPr>
        <w:t>251658240</w:t>
      </w:r>
      <w:r>
        <w:rPr>
          <w:noProof/>
        </w:rPr>
        <w:pict>
          <v:shape id="Picture 81" o:spid="_x0000_i1028" type="#_x0000_t75" style="width:456.75pt;height:246pt;visibility:visible">
            <v:imagedata r:id="rId12" o:title=""/>
          </v:shape>
        </w:pict>
      </w:r>
    </w:p>
    <w:p w:rsidR="00E86088" w:rsidRDefault="00E86088">
      <w:pPr>
        <w:pStyle w:val="ListParagraph"/>
        <w:ind w:left="360"/>
      </w:pPr>
    </w:p>
    <w:p w:rsidR="00E86088" w:rsidRDefault="00E86088">
      <w:pPr>
        <w:pStyle w:val="ListParagraph"/>
        <w:numPr>
          <w:ilvl w:val="0"/>
          <w:numId w:val="51"/>
        </w:numPr>
      </w:pPr>
      <w:r>
        <w:t>CVF population</w:t>
      </w:r>
    </w:p>
    <w:p w:rsidR="00E86088" w:rsidRDefault="00E86088">
      <w:r>
        <w:rPr>
          <w:noProof/>
        </w:rPr>
        <w:t>251658240</w:t>
      </w:r>
      <w:r>
        <w:rPr>
          <w:noProof/>
        </w:rPr>
        <w:pict>
          <v:shape id="Picture 86" o:spid="_x0000_i1029" type="#_x0000_t75" style="width:467.25pt;height:203.25pt;visibility:visible">
            <v:imagedata r:id="rId13" o:title=""/>
          </v:shape>
        </w:pict>
      </w:r>
    </w:p>
    <w:p w:rsidR="00E86088" w:rsidRDefault="00E86088"/>
    <w:p w:rsidR="00E86088" w:rsidRDefault="00E86088">
      <w:r>
        <w:t>CAB, cabotegravir; CVF, confirmed virologic failure; ITT-E, intention-to-treat exposed population; LA, long-acting; RPV, rilpivirine.</w:t>
      </w:r>
    </w:p>
    <w:p w:rsidR="00E86088" w:rsidRDefault="00E86088">
      <w:pPr>
        <w:rPr>
          <w:b/>
          <w:bCs/>
          <w:color w:val="000000"/>
        </w:rPr>
        <w:sectPr w:rsidR="00E86088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:rsidR="00E86088" w:rsidRDefault="00E86088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Supplemental Digital Content 6. </w:t>
      </w:r>
      <w:bookmarkStart w:id="7" w:name="_Hlk59101612"/>
      <w:r>
        <w:rPr>
          <w:b/>
          <w:bCs/>
          <w:color w:val="000000"/>
        </w:rPr>
        <w:t xml:space="preserve">Multivariable Cox regression analysis </w:t>
      </w:r>
      <w:bookmarkEnd w:id="7"/>
      <w:r>
        <w:rPr>
          <w:b/>
          <w:bCs/>
          <w:color w:val="000000"/>
        </w:rPr>
        <w:t>of time to CVF through Week 48 – maximum likelihood</w:t>
      </w:r>
    </w:p>
    <w:tbl>
      <w:tblPr>
        <w:tblpPr w:leftFromText="180" w:rightFromText="180" w:vertAnchor="page" w:horzAnchor="margin" w:tblpY="2275"/>
        <w:tblW w:w="11922" w:type="dxa"/>
        <w:tblLook w:val="0000" w:firstRow="0" w:lastRow="0" w:firstColumn="0" w:lastColumn="0" w:noHBand="0" w:noVBand="0"/>
      </w:tblPr>
      <w:tblGrid>
        <w:gridCol w:w="716"/>
        <w:gridCol w:w="4339"/>
        <w:gridCol w:w="2429"/>
        <w:gridCol w:w="2219"/>
        <w:gridCol w:w="2219"/>
      </w:tblGrid>
      <w:tr w:rsidR="00E86088">
        <w:trPr>
          <w:trHeight w:val="771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n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Parameter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Full model</w:t>
            </w:r>
            <w:r>
              <w:rPr>
                <w:b/>
                <w:bCs/>
                <w:kern w:val="24"/>
                <w:lang w:eastAsia="en-GB"/>
              </w:rPr>
              <w:br/>
              <w:t>HR (95% CI), p-value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vertAlign w:val="superscript"/>
                <w:lang w:eastAsia="en-GB"/>
              </w:rPr>
              <w:t>a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Backwards elimination</w:t>
            </w:r>
            <w:r>
              <w:rPr>
                <w:b/>
                <w:bCs/>
                <w:kern w:val="24"/>
                <w:lang w:eastAsia="en-GB"/>
              </w:rPr>
              <w:br/>
              <w:t>model</w:t>
            </w:r>
            <w:r>
              <w:rPr>
                <w:b/>
                <w:bCs/>
                <w:kern w:val="24"/>
                <w:lang w:eastAsia="en-GB"/>
              </w:rPr>
              <w:br/>
              <w:t>HR (95% CI), p-value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vertAlign w:val="superscript"/>
                <w:lang w:eastAsia="en-GB"/>
              </w:rPr>
              <w:t>a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Per Firth’s method for low event rate</w:t>
            </w:r>
          </w:p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HR (95% CI), p-value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vertAlign w:val="superscript"/>
                <w:lang w:eastAsia="en-GB"/>
              </w:rPr>
              <w:t>a</w:t>
            </w:r>
          </w:p>
        </w:tc>
      </w:tr>
      <w:tr w:rsidR="00E86088">
        <w:trPr>
          <w:trHeight w:val="282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rPr>
                <w:b/>
                <w:bCs/>
                <w:kern w:val="24"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 1026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RPV RAM(s) at baseline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31.33 (7.69–&gt;99), &lt;0.001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43.86 (11.72–&gt;99), &lt;0.001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42.91 (12.13–&gt;99), &lt;0.001</w:t>
            </w:r>
          </w:p>
        </w:tc>
      </w:tr>
      <w:tr w:rsidR="00E86088">
        <w:trPr>
          <w:trHeight w:val="282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 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L74I (non-mixture) INSTI polymorphism at baseline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2.24 (0.54–9.68), 0.267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5.14 (1.65–16.49), 0.005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4.95 (1.65–15.24), 0.005</w:t>
            </w:r>
          </w:p>
        </w:tc>
      </w:tr>
      <w:tr w:rsidR="00E86088">
        <w:trPr>
          <w:trHeight w:val="282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rPr>
                <w:b/>
                <w:bCs/>
                <w:kern w:val="24"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 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BMI (kg/m</w:t>
            </w:r>
            <w:r>
              <w:rPr>
                <w:kern w:val="24"/>
                <w:vertAlign w:val="superscript"/>
                <w:lang w:eastAsia="en-GB"/>
              </w:rPr>
              <w:t>2</w:t>
            </w:r>
            <w:r>
              <w:rPr>
                <w:kern w:val="24"/>
                <w:lang w:eastAsia="en-GB"/>
              </w:rPr>
              <w:t>) at baseline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1.11 (1.00–1.22), 0.045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1.12 (1.02–1.22), 0.019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1.12 (1.02–1.21), 0.017</w:t>
            </w:r>
          </w:p>
        </w:tc>
      </w:tr>
      <w:tr w:rsidR="00E86088">
        <w:trPr>
          <w:trHeight w:val="282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rPr>
                <w:b/>
                <w:bCs/>
                <w:lang w:eastAsia="en-GB"/>
              </w:rPr>
            </w:pP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rPr>
                <w:lang w:eastAsia="en-GB"/>
              </w:rPr>
            </w:pPr>
            <w:r>
              <w:rPr>
                <w:kern w:val="24"/>
                <w:lang w:eastAsia="en-GB"/>
              </w:rPr>
              <w:t>Log</w:t>
            </w:r>
            <w:r>
              <w:rPr>
                <w:kern w:val="24"/>
                <w:vertAlign w:val="subscript"/>
                <w:lang w:eastAsia="en-GB"/>
              </w:rPr>
              <w:t>2</w:t>
            </w:r>
            <w:r>
              <w:rPr>
                <w:kern w:val="24"/>
                <w:lang w:eastAsia="en-GB"/>
              </w:rPr>
              <w:t xml:space="preserve"> of </w:t>
            </w:r>
            <w:r>
              <w:t>time-updated</w:t>
            </w:r>
            <w:r>
              <w:rPr>
                <w:kern w:val="24"/>
                <w:lang w:eastAsia="en-GB"/>
              </w:rPr>
              <w:t xml:space="preserve"> observed CAB trough concentration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1.96 (0.95–3.23), 0.064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1.89 (0.95–3.03), 0.066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2.00 (1.00–3.12), 0.049</w:t>
            </w:r>
          </w:p>
        </w:tc>
      </w:tr>
      <w:tr w:rsidR="00E86088">
        <w:trPr>
          <w:trHeight w:val="282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 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rPr>
                <w:lang w:eastAsia="en-GB"/>
              </w:rPr>
            </w:pPr>
            <w:r>
              <w:rPr>
                <w:kern w:val="24"/>
                <w:lang w:eastAsia="en-GB"/>
              </w:rPr>
              <w:t>Log</w:t>
            </w:r>
            <w:r>
              <w:rPr>
                <w:kern w:val="24"/>
                <w:vertAlign w:val="subscript"/>
                <w:lang w:eastAsia="en-GB"/>
              </w:rPr>
              <w:t>2</w:t>
            </w:r>
            <w:r>
              <w:rPr>
                <w:kern w:val="24"/>
                <w:lang w:eastAsia="en-GB"/>
              </w:rPr>
              <w:t xml:space="preserve"> of </w:t>
            </w:r>
            <w:r>
              <w:t>time-updated</w:t>
            </w:r>
            <w:r>
              <w:rPr>
                <w:kern w:val="24"/>
                <w:lang w:eastAsia="en-GB"/>
              </w:rPr>
              <w:t xml:space="preserve"> observed RPV trough concentration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2.04 (0.91–4.17), 0.082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2.33 (1.08–4.35), 0.033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2.38 (1.06–4.35), 0.036</w:t>
            </w:r>
          </w:p>
        </w:tc>
      </w:tr>
      <w:tr w:rsidR="00E86088">
        <w:trPr>
          <w:trHeight w:val="282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kern w:val="24"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 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Prespecified INSTI mutation (excluding L74I non</w:t>
            </w:r>
            <w:r>
              <w:rPr>
                <w:kern w:val="24"/>
                <w:lang w:eastAsia="en-GB"/>
              </w:rPr>
              <w:noBreakHyphen/>
              <w:t>mixture) at baseline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0.14 (0.01–0.86), 0.031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0.15 (0.01–0.85), 0.029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kern w:val="24"/>
                <w:lang w:eastAsia="en-GB"/>
              </w:rPr>
            </w:pPr>
            <w:r>
              <w:rPr>
                <w:kern w:val="24"/>
                <w:lang w:eastAsia="en-GB"/>
              </w:rPr>
              <w:t>0.21 (0.02–0.99), 0.048</w:t>
            </w:r>
          </w:p>
        </w:tc>
      </w:tr>
      <w:tr w:rsidR="00E86088">
        <w:trPr>
          <w:trHeight w:val="282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 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rPr>
                <w:lang w:eastAsia="en-GB"/>
              </w:rPr>
            </w:pPr>
            <w:r>
              <w:rPr>
                <w:kern w:val="24"/>
                <w:lang w:eastAsia="en-GB"/>
              </w:rPr>
              <w:t>Baseline HIV-1 subtype (A, A1, AG combined vs. B)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3.51 (0.67–18.73), 0.135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</w:p>
        </w:tc>
      </w:tr>
      <w:tr w:rsidR="00E86088">
        <w:trPr>
          <w:trHeight w:val="256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 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rPr>
                <w:lang w:eastAsia="en-GB"/>
              </w:rPr>
            </w:pPr>
            <w:r>
              <w:rPr>
                <w:kern w:val="24"/>
                <w:lang w:eastAsia="en-GB"/>
              </w:rPr>
              <w:t>Baseline HIV-1 subtype (C vs. B)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1.62 (0.07–15.36), 0.713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</w:p>
        </w:tc>
      </w:tr>
      <w:tr w:rsidR="00E86088">
        <w:trPr>
          <w:trHeight w:val="179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 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rPr>
                <w:lang w:eastAsia="en-GB"/>
              </w:rPr>
            </w:pPr>
            <w:r>
              <w:rPr>
                <w:kern w:val="24"/>
                <w:lang w:eastAsia="en-GB"/>
              </w:rPr>
              <w:t>Baseline HIV-1 subtype (other vs. B)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1.57 (0.08–11.57), 0.710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</w:p>
        </w:tc>
      </w:tr>
      <w:tr w:rsidR="00E86088">
        <w:trPr>
          <w:trHeight w:val="282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 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rPr>
                <w:lang w:eastAsia="en-GB"/>
              </w:rPr>
            </w:pPr>
            <w:r>
              <w:rPr>
                <w:kern w:val="24"/>
                <w:lang w:eastAsia="en-GB"/>
              </w:rPr>
              <w:t>NNRTI RAM(s) (excluding RPV RAMs) at baseline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1.99 (0.54–6.87), 0.290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</w:p>
        </w:tc>
      </w:tr>
      <w:tr w:rsidR="00E86088">
        <w:trPr>
          <w:trHeight w:val="256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 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rPr>
                <w:lang w:eastAsia="en-GB"/>
              </w:rPr>
            </w:pPr>
            <w:r>
              <w:rPr>
                <w:kern w:val="24"/>
                <w:lang w:eastAsia="en-GB"/>
              </w:rPr>
              <w:t>Female (sex at birth)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1.64 (0.45–6.27), 0.456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</w:p>
        </w:tc>
      </w:tr>
      <w:tr w:rsidR="00E86088">
        <w:trPr>
          <w:trHeight w:val="282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 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rPr>
                <w:lang w:eastAsia="en-GB"/>
              </w:rPr>
            </w:pPr>
            <w:r>
              <w:rPr>
                <w:kern w:val="24"/>
                <w:lang w:eastAsia="en-GB"/>
              </w:rPr>
              <w:t>Q8W regimen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0.76 (0.19–2.70), 0.675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</w:p>
        </w:tc>
      </w:tr>
    </w:tbl>
    <w:p w:rsidR="00E86088" w:rsidRDefault="00E86088">
      <w:pPr>
        <w:rPr>
          <w:b/>
          <w:bCs/>
          <w:color w:val="000000"/>
        </w:rPr>
      </w:pPr>
    </w:p>
    <w:p w:rsidR="00E86088" w:rsidRDefault="00E86088">
      <w:pPr>
        <w:rPr>
          <w:b/>
          <w:bCs/>
          <w:color w:val="000000"/>
        </w:rPr>
      </w:pPr>
    </w:p>
    <w:p w:rsidR="00E86088" w:rsidRDefault="00E86088">
      <w:r>
        <w:rPr>
          <w:rFonts w:ascii="Arial" w:hAnsi="Arial" w:cs="Arial"/>
          <w:color w:val="000000"/>
          <w:sz w:val="21"/>
          <w:szCs w:val="21"/>
          <w:vertAlign w:val="superscript"/>
          <w:lang w:eastAsia="en-GB"/>
        </w:rPr>
        <w:t>a</w:t>
      </w:r>
      <w:r>
        <w:rPr>
          <w:rFonts w:ascii="Arial" w:hAnsi="Arial" w:cs="Arial"/>
          <w:color w:val="000000"/>
          <w:sz w:val="21"/>
          <w:szCs w:val="21"/>
          <w:lang w:eastAsia="en-GB"/>
        </w:rPr>
        <w:t xml:space="preserve"> </w:t>
      </w:r>
      <w:r>
        <w:t>95% penalized profile confidence intervals and penalized likelihood ratio p-values are provided. Backwards elimination was performed using maximum likelihood, as the full model would not converge using Firth’s method and used a significance threshold of alpha=0.2. CAB and RPV pharmacokinetic parameters were log</w:t>
      </w:r>
      <w:r>
        <w:rPr>
          <w:vertAlign w:val="subscript"/>
        </w:rPr>
        <w:t>2</w:t>
      </w:r>
      <w:r>
        <w:t xml:space="preserve">-transformed; therefore, the corresponding hazard ratios are per halving of each variable. </w:t>
      </w:r>
    </w:p>
    <w:p w:rsidR="00E86088" w:rsidRDefault="00E86088">
      <w:r>
        <w:t>BMI, body mass index; CAB, cabotegravir; CI, confidence interval; CVF, confirmed virologic failure; HR, hazard ratio; INSTI, integrase strand transfer inhibitor; NNRTI, non-nucleoside reverse transcriptase inhibitor; Q8W, every 8 weeks; RAM, resistance-associated mutation; RPV, rilpivirine.</w:t>
      </w:r>
    </w:p>
    <w:p w:rsidR="00E86088" w:rsidRDefault="00E86088">
      <w:pPr>
        <w:rPr>
          <w:b/>
          <w:bCs/>
        </w:rPr>
        <w:sectPr w:rsidR="00E86088">
          <w:pgSz w:w="15840" w:h="12240" w:orient="landscape"/>
          <w:pgMar w:top="1701" w:right="1701" w:bottom="1701" w:left="1701" w:header="709" w:footer="709" w:gutter="0"/>
          <w:cols w:space="708"/>
          <w:docGrid w:linePitch="360"/>
        </w:sectPr>
      </w:pPr>
    </w:p>
    <w:p w:rsidR="00E86088" w:rsidRDefault="00E86088">
      <w:pPr>
        <w:rPr>
          <w:b/>
          <w:bCs/>
        </w:rPr>
      </w:pPr>
      <w:r>
        <w:rPr>
          <w:b/>
          <w:bCs/>
        </w:rPr>
        <w:t xml:space="preserve">Supplemental Digital Content 7. Week 48 </w:t>
      </w:r>
      <w:bookmarkStart w:id="8" w:name="_Hlk59101702"/>
      <w:r>
        <w:rPr>
          <w:b/>
          <w:bCs/>
        </w:rPr>
        <w:t xml:space="preserve">CVF outcome by presence of key baseline factors </w:t>
      </w:r>
      <w:bookmarkEnd w:id="8"/>
      <w:r>
        <w:rPr>
          <w:b/>
          <w:bCs/>
        </w:rPr>
        <w:t>(RPV RAMs, HIV-1 subtype A6/A1, and BMI ≥30 kg/m</w:t>
      </w:r>
      <w:r>
        <w:rPr>
          <w:b/>
          <w:bCs/>
          <w:vertAlign w:val="superscript"/>
        </w:rPr>
        <w:t>2</w:t>
      </w:r>
      <w:r>
        <w:rPr>
          <w:b/>
          <w:bCs/>
        </w:rPr>
        <w:t>)</w:t>
      </w:r>
    </w:p>
    <w:p w:rsidR="00E86088" w:rsidRDefault="00E86088">
      <w:pPr>
        <w:rPr>
          <w:b/>
          <w:bCs/>
        </w:rPr>
      </w:pPr>
    </w:p>
    <w:p w:rsidR="00E86088" w:rsidRDefault="00E86088">
      <w:r>
        <w:rPr>
          <w:noProof/>
        </w:rPr>
        <w:t>251658240</w:t>
      </w:r>
      <w:r>
        <w:rPr>
          <w:noProof/>
        </w:rPr>
        <w:pict>
          <v:shape id="Picture 89" o:spid="_x0000_i1030" type="#_x0000_t75" style="width:372.75pt;height:285pt;visibility:visible">
            <v:imagedata r:id="rId14" o:title=""/>
          </v:shape>
        </w:pict>
      </w:r>
    </w:p>
    <w:p w:rsidR="00E86088" w:rsidRDefault="00E86088">
      <w:r>
        <w:t xml:space="preserve">BMI, body mass index; CVF, confirmed virologic failure; RAM, resistance-associated mutation; RPV, rilpivirine. </w:t>
      </w:r>
    </w:p>
    <w:p w:rsidR="00E86088" w:rsidRDefault="00E86088">
      <w:pPr>
        <w:rPr>
          <w:b/>
          <w:bCs/>
        </w:rPr>
        <w:sectPr w:rsidR="00E86088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:rsidR="00E86088" w:rsidRDefault="00E86088">
      <w:pPr>
        <w:rPr>
          <w:b/>
          <w:bCs/>
        </w:rPr>
      </w:pPr>
      <w:r>
        <w:rPr>
          <w:b/>
          <w:bCs/>
        </w:rPr>
        <w:t>Supplemental Digital Content 8. Subtype distribution by the presence of L74I</w:t>
      </w:r>
    </w:p>
    <w:p w:rsidR="00E86088" w:rsidRDefault="00E86088"/>
    <w:p w:rsidR="00E86088" w:rsidRDefault="00E86088"/>
    <w:p w:rsidR="00E86088" w:rsidRDefault="00E86088">
      <w:pPr>
        <w:sectPr w:rsidR="00E86088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rPr>
          <w:noProof/>
        </w:rPr>
        <w:t>251658240</w:t>
      </w:r>
      <w:r>
        <w:rPr>
          <w:noProof/>
        </w:rPr>
        <w:pict>
          <v:shape id="Picture 1" o:spid="_x0000_i1031" type="#_x0000_t75" style="width:393pt;height:210pt;visibility:visible">
            <v:imagedata r:id="rId15" o:title=""/>
          </v:shape>
        </w:pict>
      </w:r>
    </w:p>
    <w:bookmarkEnd w:id="0"/>
    <w:p w:rsidR="00E86088" w:rsidRDefault="00E86088">
      <w:pPr>
        <w:rPr>
          <w:b/>
          <w:bCs/>
        </w:rPr>
      </w:pPr>
      <w:r>
        <w:rPr>
          <w:b/>
          <w:bCs/>
        </w:rPr>
        <w:t>Supplemental Digital Content 9. Association between HIV-1 subtype and L74I integrase polymorphism in the context of CVF</w:t>
      </w:r>
    </w:p>
    <w:p w:rsidR="00E86088" w:rsidRDefault="00E86088">
      <w:pPr>
        <w:jc w:val="both"/>
        <w:rPr>
          <w:b/>
          <w:bCs/>
        </w:rPr>
      </w:pPr>
    </w:p>
    <w:tbl>
      <w:tblPr>
        <w:tblpPr w:leftFromText="180" w:rightFromText="180" w:vertAnchor="page" w:horzAnchor="margin" w:tblpY="2313"/>
        <w:tblW w:w="9011" w:type="dxa"/>
        <w:tblLook w:val="0000" w:firstRow="0" w:lastRow="0" w:firstColumn="0" w:lastColumn="0" w:noHBand="0" w:noVBand="0"/>
      </w:tblPr>
      <w:tblGrid>
        <w:gridCol w:w="1767"/>
        <w:gridCol w:w="2390"/>
        <w:gridCol w:w="1232"/>
        <w:gridCol w:w="2390"/>
        <w:gridCol w:w="1232"/>
      </w:tblGrid>
      <w:tr w:rsidR="00E86088">
        <w:trPr>
          <w:trHeight w:val="428"/>
        </w:trPr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rPr>
                <w:b/>
                <w:bCs/>
                <w:lang w:eastAsia="en-GB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With L74I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Without L74I</w:t>
            </w:r>
          </w:p>
        </w:tc>
      </w:tr>
      <w:tr w:rsidR="00E86088">
        <w:trPr>
          <w:trHeight w:val="428"/>
        </w:trPr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Subtype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kern w:val="24"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Participants with CVF</w:t>
            </w:r>
          </w:p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n (%)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vertAlign w:val="superscript"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95% CI</w:t>
            </w:r>
            <w:r>
              <w:rPr>
                <w:b/>
                <w:bCs/>
                <w:kern w:val="24"/>
                <w:vertAlign w:val="superscript"/>
                <w:lang w:eastAsia="en-GB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b/>
                <w:bCs/>
                <w:kern w:val="24"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Participants with CVF</w:t>
            </w:r>
          </w:p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n (%)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95% CI</w:t>
            </w:r>
            <w:r>
              <w:rPr>
                <w:b/>
                <w:bCs/>
                <w:kern w:val="24"/>
                <w:vertAlign w:val="superscript"/>
                <w:lang w:eastAsia="en-GB"/>
              </w:rPr>
              <w:t>a</w:t>
            </w:r>
            <w:r>
              <w:rPr>
                <w:b/>
                <w:bCs/>
                <w:kern w:val="24"/>
                <w:lang w:eastAsia="en-GB"/>
              </w:rPr>
              <w:t xml:space="preserve"> </w:t>
            </w:r>
          </w:p>
        </w:tc>
      </w:tr>
      <w:tr w:rsidR="00E86088">
        <w:trPr>
          <w:trHeight w:val="372"/>
        </w:trPr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A6/A1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7/106 (6.6)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(2.7–13.1)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0/14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(0.0–23.2)</w:t>
            </w:r>
          </w:p>
        </w:tc>
      </w:tr>
      <w:tr w:rsidR="00E86088">
        <w:trPr>
          <w:trHeight w:val="372"/>
        </w:trPr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A other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0/4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(0.0–60.2)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0/13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(0.0–24.7)</w:t>
            </w:r>
          </w:p>
        </w:tc>
      </w:tr>
      <w:tr w:rsidR="00E86088">
        <w:trPr>
          <w:trHeight w:val="370"/>
        </w:trPr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1/7 (14.3)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(0.4–57.9)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0/70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(0.0–5.1)</w:t>
            </w:r>
          </w:p>
        </w:tc>
      </w:tr>
      <w:tr w:rsidR="00E86088">
        <w:trPr>
          <w:trHeight w:val="372"/>
        </w:trPr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0/41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(0.0–8.6)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4/714 (0.6)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(0.2–1.4)</w:t>
            </w:r>
          </w:p>
        </w:tc>
      </w:tr>
      <w:tr w:rsidR="00E86088">
        <w:trPr>
          <w:trHeight w:val="372"/>
        </w:trPr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Other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0/5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(0.0–52.2)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1/65 (1.5)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(0.0–8.3)</w:t>
            </w:r>
          </w:p>
        </w:tc>
      </w:tr>
      <w:tr w:rsidR="00E86088">
        <w:trPr>
          <w:trHeight w:val="372"/>
        </w:trPr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kern w:val="24"/>
                <w:lang w:eastAsia="en-GB"/>
              </w:rPr>
              <w:t>Total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8/163 (4.9)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(2.1–9.4)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5/876 (0.6)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before="0" w:afterLines="0" w:after="0" w:line="240" w:lineRule="auto"/>
              <w:jc w:val="center"/>
              <w:rPr>
                <w:lang w:eastAsia="en-GB"/>
              </w:rPr>
            </w:pPr>
            <w:r>
              <w:rPr>
                <w:kern w:val="24"/>
                <w:lang w:eastAsia="en-GB"/>
              </w:rPr>
              <w:t>(0.2–1.3)</w:t>
            </w:r>
          </w:p>
        </w:tc>
      </w:tr>
    </w:tbl>
    <w:p w:rsidR="00E86088" w:rsidRDefault="00E86088">
      <w:pPr>
        <w:rPr>
          <w:b/>
          <w:bCs/>
        </w:rPr>
      </w:pPr>
    </w:p>
    <w:p w:rsidR="00E86088" w:rsidRDefault="00E86088">
      <w:pPr>
        <w:rPr>
          <w:b/>
          <w:bCs/>
        </w:rPr>
      </w:pPr>
    </w:p>
    <w:p w:rsidR="00E86088" w:rsidRDefault="00E86088">
      <w:pPr>
        <w:rPr>
          <w:b/>
          <w:bCs/>
        </w:rPr>
      </w:pPr>
    </w:p>
    <w:p w:rsidR="00E86088" w:rsidRDefault="00E86088">
      <w:pPr>
        <w:rPr>
          <w:b/>
          <w:bCs/>
        </w:rPr>
      </w:pPr>
    </w:p>
    <w:p w:rsidR="00E86088" w:rsidRDefault="00E86088">
      <w:pPr>
        <w:rPr>
          <w:b/>
          <w:bCs/>
        </w:rPr>
      </w:pPr>
    </w:p>
    <w:p w:rsidR="00E86088" w:rsidRDefault="00E86088">
      <w:pPr>
        <w:rPr>
          <w:b/>
          <w:bCs/>
        </w:rPr>
      </w:pPr>
    </w:p>
    <w:p w:rsidR="00E86088" w:rsidRDefault="00E86088">
      <w:pPr>
        <w:rPr>
          <w:b/>
          <w:bCs/>
        </w:rPr>
      </w:pPr>
    </w:p>
    <w:p w:rsidR="00E86088" w:rsidRDefault="00E86088">
      <w:pPr>
        <w:rPr>
          <w:b/>
          <w:bCs/>
        </w:rPr>
      </w:pPr>
    </w:p>
    <w:p w:rsidR="00E86088" w:rsidRDefault="00E86088">
      <w:pPr>
        <w:rPr>
          <w:b/>
          <w:bCs/>
        </w:rPr>
      </w:pPr>
    </w:p>
    <w:p w:rsidR="00E86088" w:rsidRDefault="00E86088">
      <w:pPr>
        <w:rPr>
          <w:b/>
          <w:bCs/>
        </w:rPr>
      </w:pPr>
    </w:p>
    <w:p w:rsidR="00E86088" w:rsidRDefault="00E86088">
      <w:pPr>
        <w:rPr>
          <w:b/>
          <w:bCs/>
        </w:rPr>
      </w:pPr>
    </w:p>
    <w:p w:rsidR="00E86088" w:rsidRDefault="00E86088">
      <w:pPr>
        <w:rPr>
          <w:b/>
          <w:bCs/>
        </w:rPr>
      </w:pPr>
    </w:p>
    <w:p w:rsidR="00E86088" w:rsidRDefault="00E86088">
      <w:r>
        <w:rPr>
          <w:vertAlign w:val="superscript"/>
        </w:rPr>
        <w:t>a</w:t>
      </w:r>
      <w:r>
        <w:t xml:space="preserve"> Confidence intervals are based on the exact method.</w:t>
      </w:r>
    </w:p>
    <w:p w:rsidR="00E86088" w:rsidRDefault="00E86088">
      <w:pPr>
        <w:rPr>
          <w:b/>
          <w:bCs/>
        </w:rPr>
        <w:sectPr w:rsidR="00E86088">
          <w:pgSz w:w="15840" w:h="12240" w:orient="landscape"/>
          <w:pgMar w:top="1701" w:right="1701" w:bottom="1701" w:left="1701" w:header="709" w:footer="709" w:gutter="0"/>
          <w:cols w:space="708"/>
          <w:docGrid w:linePitch="360"/>
        </w:sectPr>
      </w:pPr>
      <w:r>
        <w:t>CI, confidence interval; CVF, confirmed virologic failure.</w:t>
      </w:r>
    </w:p>
    <w:p w:rsidR="00E86088" w:rsidRDefault="00E86088">
      <w:pPr>
        <w:rPr>
          <w:b/>
          <w:bCs/>
        </w:rPr>
      </w:pPr>
      <w:r>
        <w:rPr>
          <w:b/>
          <w:bCs/>
        </w:rPr>
        <w:t>Supplemental Digital Content 10. Association between HIV-1 subtype A6/A1 and L74I integrase polymorphism in the context of CVF</w:t>
      </w:r>
    </w:p>
    <w:p w:rsidR="00E86088" w:rsidRDefault="00E86088"/>
    <w:tbl>
      <w:tblPr>
        <w:tblW w:w="6979" w:type="dxa"/>
        <w:tblInd w:w="-106" w:type="dxa"/>
        <w:tblLook w:val="0000" w:firstRow="0" w:lastRow="0" w:firstColumn="0" w:lastColumn="0" w:noHBand="0" w:noVBand="0"/>
      </w:tblPr>
      <w:tblGrid>
        <w:gridCol w:w="704"/>
        <w:gridCol w:w="1288"/>
        <w:gridCol w:w="1595"/>
        <w:gridCol w:w="1609"/>
        <w:gridCol w:w="1783"/>
      </w:tblGrid>
      <w:tr w:rsidR="00E86088">
        <w:trPr>
          <w:trHeight w:val="293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rPr>
                <w:b/>
                <w:bCs/>
                <w:lang w:eastAsia="en-GB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aps/>
                <w:lang w:eastAsia="en-GB"/>
              </w:rPr>
            </w:pPr>
            <w:r>
              <w:rPr>
                <w:b/>
                <w:bCs/>
                <w:lang w:eastAsia="en-GB"/>
              </w:rPr>
              <w:t xml:space="preserve">L74I </w:t>
            </w:r>
            <w:r>
              <w:rPr>
                <w:b/>
                <w:bCs/>
                <w:lang w:eastAsia="en-GB"/>
              </w:rPr>
              <w:br/>
              <w:t>(excluding mixtures with L74M)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jc w:val="center"/>
              <w:rPr>
                <w:b/>
                <w:bCs/>
                <w:caps/>
                <w:lang w:eastAsia="en-GB"/>
              </w:rPr>
            </w:pPr>
            <w:r>
              <w:rPr>
                <w:b/>
                <w:bCs/>
                <w:lang w:eastAsia="en-GB"/>
              </w:rPr>
              <w:t>Subtype A6/A1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jc w:val="center"/>
              <w:rPr>
                <w:b/>
                <w:bCs/>
                <w:caps/>
                <w:lang w:eastAsia="en-GB"/>
              </w:rPr>
            </w:pPr>
            <w:r>
              <w:rPr>
                <w:b/>
                <w:bCs/>
                <w:lang w:eastAsia="en-GB"/>
              </w:rPr>
              <w:t>CVF</w:t>
            </w:r>
            <w:r>
              <w:rPr>
                <w:b/>
                <w:bCs/>
                <w:lang w:eastAsia="en-GB"/>
              </w:rPr>
              <w:br/>
              <w:t>n (%)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jc w:val="center"/>
              <w:rPr>
                <w:b/>
                <w:bCs/>
                <w:caps/>
                <w:lang w:eastAsia="en-GB"/>
              </w:rPr>
            </w:pPr>
            <w:r>
              <w:rPr>
                <w:b/>
                <w:bCs/>
                <w:lang w:eastAsia="en-GB"/>
              </w:rPr>
              <w:t>95% CI</w:t>
            </w:r>
          </w:p>
        </w:tc>
      </w:tr>
      <w:tr w:rsidR="00E86088">
        <w:trPr>
          <w:trHeight w:val="587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Yes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No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1/57 (1.8)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(0.04–9.4)</w:t>
            </w:r>
          </w:p>
        </w:tc>
      </w:tr>
      <w:tr w:rsidR="00E86088">
        <w:trPr>
          <w:trHeight w:val="587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No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Yes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0/14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(0.0–23.2)</w:t>
            </w:r>
          </w:p>
        </w:tc>
      </w:tr>
      <w:tr w:rsidR="00E86088">
        <w:trPr>
          <w:trHeight w:val="557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No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No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5/862 (0.6)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(0.2–1.4)</w:t>
            </w:r>
          </w:p>
        </w:tc>
      </w:tr>
      <w:tr w:rsidR="00E86088">
        <w:trPr>
          <w:trHeight w:val="269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Yes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Yes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7/106 (6.6)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:rsidR="00E86088" w:rsidRDefault="00E86088">
            <w:pPr>
              <w:spacing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lang w:eastAsia="en-GB"/>
              </w:rPr>
              <w:t>(2.7–13.1)</w:t>
            </w:r>
          </w:p>
        </w:tc>
      </w:tr>
    </w:tbl>
    <w:p w:rsidR="00E86088" w:rsidRDefault="00E86088"/>
    <w:p w:rsidR="00E86088" w:rsidRDefault="00E86088">
      <w:r>
        <w:t>CI, confidence interval; CVF, confirmed virologic failure.</w:t>
      </w:r>
    </w:p>
    <w:p w:rsidR="00E86088" w:rsidRDefault="00E86088"/>
    <w:p w:rsidR="00E86088" w:rsidRDefault="00E86088">
      <w:pPr>
        <w:rPr>
          <w:b/>
          <w:bCs/>
          <w:color w:val="000000"/>
        </w:rPr>
      </w:pPr>
    </w:p>
    <w:sectPr w:rsidR="00E86088" w:rsidSect="00E86088">
      <w:pgSz w:w="15840" w:h="12240" w:orient="landscape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088" w:rsidRDefault="00E86088">
      <w:r>
        <w:separator/>
      </w:r>
    </w:p>
  </w:endnote>
  <w:endnote w:type="continuationSeparator" w:id="0">
    <w:p w:rsidR="00E86088" w:rsidRDefault="00E86088">
      <w:r>
        <w:continuationSeparator/>
      </w:r>
    </w:p>
  </w:endnote>
  <w:endnote w:type="continuationNotice" w:id="1">
    <w:p w:rsidR="00E86088" w:rsidRDefault="00E86088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088" w:rsidRDefault="00E86088">
    <w:pPr>
      <w:pStyle w:val="Footer"/>
      <w:spacing w:after="9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088" w:rsidRDefault="00E86088">
      <w:r>
        <w:separator/>
      </w:r>
    </w:p>
  </w:footnote>
  <w:footnote w:type="continuationSeparator" w:id="0">
    <w:p w:rsidR="00E86088" w:rsidRDefault="00E86088">
      <w:r>
        <w:continuationSeparator/>
      </w:r>
    </w:p>
  </w:footnote>
  <w:footnote w:type="continuationNotice" w:id="1">
    <w:p w:rsidR="00E86088" w:rsidRDefault="00E86088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088" w:rsidRDefault="00E86088">
    <w:pPr>
      <w:pStyle w:val="Header"/>
      <w:spacing w:after="9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E86088" w:rsidRDefault="00E86088">
    <w:pPr>
      <w:pStyle w:val="Header"/>
      <w:spacing w:after="9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0E6"/>
    <w:multiLevelType w:val="hybridMultilevel"/>
    <w:tmpl w:val="30126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2885963"/>
    <w:multiLevelType w:val="hybridMultilevel"/>
    <w:tmpl w:val="C02861F0"/>
    <w:lvl w:ilvl="0" w:tplc="A16C5CA0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2">
    <w:nsid w:val="050954D8"/>
    <w:multiLevelType w:val="hybridMultilevel"/>
    <w:tmpl w:val="182A8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BA6AB5"/>
    <w:multiLevelType w:val="hybridMultilevel"/>
    <w:tmpl w:val="BAB42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7126BAB"/>
    <w:multiLevelType w:val="hybridMultilevel"/>
    <w:tmpl w:val="8764AF3C"/>
    <w:lvl w:ilvl="0" w:tplc="07F6CA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172DE7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1ACE72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DB8665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54EDD1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1DF80B9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5AC008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414756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25160AA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5">
    <w:nsid w:val="088459C9"/>
    <w:multiLevelType w:val="hybridMultilevel"/>
    <w:tmpl w:val="67B05A54"/>
    <w:lvl w:ilvl="0" w:tplc="FBF236F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95A7DE2"/>
    <w:multiLevelType w:val="hybridMultilevel"/>
    <w:tmpl w:val="1D50D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09604C54"/>
    <w:multiLevelType w:val="hybridMultilevel"/>
    <w:tmpl w:val="DFC4F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DDD0904"/>
    <w:multiLevelType w:val="hybridMultilevel"/>
    <w:tmpl w:val="F5347B28"/>
    <w:lvl w:ilvl="0" w:tplc="1AB04E1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0F002013"/>
    <w:multiLevelType w:val="hybridMultilevel"/>
    <w:tmpl w:val="81ECB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0F125EAE"/>
    <w:multiLevelType w:val="hybridMultilevel"/>
    <w:tmpl w:val="E97CDE32"/>
    <w:lvl w:ilvl="0" w:tplc="08090001">
      <w:start w:val="1"/>
      <w:numFmt w:val="bullet"/>
      <w:lvlText w:val=""/>
      <w:lvlJc w:val="left"/>
      <w:pPr>
        <w:ind w:left="9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11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12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13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15120" w:hanging="360"/>
      </w:pPr>
      <w:rPr>
        <w:rFonts w:ascii="Wingdings" w:hAnsi="Wingdings" w:cs="Wingdings" w:hint="default"/>
      </w:rPr>
    </w:lvl>
  </w:abstractNum>
  <w:abstractNum w:abstractNumId="11">
    <w:nsid w:val="0F4C0999"/>
    <w:multiLevelType w:val="hybridMultilevel"/>
    <w:tmpl w:val="AA68DC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11645A14"/>
    <w:multiLevelType w:val="hybridMultilevel"/>
    <w:tmpl w:val="0CD6DB0E"/>
    <w:lvl w:ilvl="0" w:tplc="5E08B5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F78AC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A3A8DB1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BC7697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60CE54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0AFCC8F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3FA041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7C4363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2250AD5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3">
    <w:nsid w:val="15476CF0"/>
    <w:multiLevelType w:val="hybridMultilevel"/>
    <w:tmpl w:val="18C8F2AA"/>
    <w:lvl w:ilvl="0" w:tplc="E92A6C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8DA8E1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B7A0EBE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F954D2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76D41F7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6B62F37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4AE6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9629B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034A985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4">
    <w:nsid w:val="19690071"/>
    <w:multiLevelType w:val="hybridMultilevel"/>
    <w:tmpl w:val="3F46B7EA"/>
    <w:lvl w:ilvl="0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86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108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12240" w:hanging="360"/>
      </w:pPr>
      <w:rPr>
        <w:rFonts w:ascii="Wingdings" w:hAnsi="Wingdings" w:cs="Wingdings" w:hint="default"/>
      </w:rPr>
    </w:lvl>
  </w:abstractNum>
  <w:abstractNum w:abstractNumId="15">
    <w:nsid w:val="1D8112AC"/>
    <w:multiLevelType w:val="hybridMultilevel"/>
    <w:tmpl w:val="2528F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1DCA0A1E"/>
    <w:multiLevelType w:val="hybridMultilevel"/>
    <w:tmpl w:val="B25CEE2C"/>
    <w:lvl w:ilvl="0" w:tplc="963627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EBE6D5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799A7FC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5FDE45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39237F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6EE2458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DA1CFD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66A5A4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029EAF6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7">
    <w:nsid w:val="1F361B8A"/>
    <w:multiLevelType w:val="hybridMultilevel"/>
    <w:tmpl w:val="59B60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22811F5"/>
    <w:multiLevelType w:val="hybridMultilevel"/>
    <w:tmpl w:val="8AFC5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43947F2"/>
    <w:multiLevelType w:val="hybridMultilevel"/>
    <w:tmpl w:val="A6F23F56"/>
    <w:lvl w:ilvl="0" w:tplc="0FB60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6B40F7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27FE928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022CF2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7E0B4D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F90DCD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19018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4128E98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E981A4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0">
    <w:nsid w:val="298F10AE"/>
    <w:multiLevelType w:val="hybridMultilevel"/>
    <w:tmpl w:val="1B20E6D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792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9360" w:hanging="360"/>
      </w:pPr>
      <w:rPr>
        <w:rFonts w:ascii="Wingdings" w:hAnsi="Wingdings" w:cs="Wingdings" w:hint="default"/>
      </w:rPr>
    </w:lvl>
  </w:abstractNum>
  <w:abstractNum w:abstractNumId="21">
    <w:nsid w:val="29AE30CB"/>
    <w:multiLevelType w:val="hybridMultilevel"/>
    <w:tmpl w:val="41DE6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9DB63B0"/>
    <w:multiLevelType w:val="hybridMultilevel"/>
    <w:tmpl w:val="2280D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2A18260C"/>
    <w:multiLevelType w:val="hybridMultilevel"/>
    <w:tmpl w:val="AA5632BC"/>
    <w:lvl w:ilvl="0" w:tplc="281E718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2F3422B2"/>
    <w:multiLevelType w:val="hybridMultilevel"/>
    <w:tmpl w:val="5C3AA1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>
    <w:nsid w:val="32302450"/>
    <w:multiLevelType w:val="hybridMultilevel"/>
    <w:tmpl w:val="CAEECC14"/>
    <w:lvl w:ilvl="0" w:tplc="E3D2AF0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34585EF7"/>
    <w:multiLevelType w:val="hybridMultilevel"/>
    <w:tmpl w:val="E076A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3664478E"/>
    <w:multiLevelType w:val="hybridMultilevel"/>
    <w:tmpl w:val="CE900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3BFF66F7"/>
    <w:multiLevelType w:val="hybridMultilevel"/>
    <w:tmpl w:val="C4326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3D0350C9"/>
    <w:multiLevelType w:val="hybridMultilevel"/>
    <w:tmpl w:val="76369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3ECC4FC3"/>
    <w:multiLevelType w:val="hybridMultilevel"/>
    <w:tmpl w:val="6CFEB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6905486"/>
    <w:multiLevelType w:val="hybridMultilevel"/>
    <w:tmpl w:val="ACD4B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4E7B1147"/>
    <w:multiLevelType w:val="hybridMultilevel"/>
    <w:tmpl w:val="387EA58C"/>
    <w:lvl w:ilvl="0" w:tplc="5E92881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520E2411"/>
    <w:multiLevelType w:val="hybridMultilevel"/>
    <w:tmpl w:val="C5A27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52E31631"/>
    <w:multiLevelType w:val="hybridMultilevel"/>
    <w:tmpl w:val="02E6AD4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792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9360" w:hanging="360"/>
      </w:pPr>
      <w:rPr>
        <w:rFonts w:ascii="Wingdings" w:hAnsi="Wingdings" w:cs="Wingdings" w:hint="default"/>
      </w:rPr>
    </w:lvl>
  </w:abstractNum>
  <w:abstractNum w:abstractNumId="35">
    <w:nsid w:val="573F6259"/>
    <w:multiLevelType w:val="hybridMultilevel"/>
    <w:tmpl w:val="A6D4C3F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36">
    <w:nsid w:val="5D9E4E1E"/>
    <w:multiLevelType w:val="hybridMultilevel"/>
    <w:tmpl w:val="195A0BDA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792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9360" w:hanging="360"/>
      </w:pPr>
      <w:rPr>
        <w:rFonts w:ascii="Wingdings" w:hAnsi="Wingdings" w:cs="Wingdings" w:hint="default"/>
      </w:rPr>
    </w:lvl>
  </w:abstractNum>
  <w:abstractNum w:abstractNumId="37">
    <w:nsid w:val="5EA63E38"/>
    <w:multiLevelType w:val="hybridMultilevel"/>
    <w:tmpl w:val="78F85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614B49D5"/>
    <w:multiLevelType w:val="hybridMultilevel"/>
    <w:tmpl w:val="97948E60"/>
    <w:lvl w:ilvl="0" w:tplc="69A0B79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A016954"/>
    <w:multiLevelType w:val="hybridMultilevel"/>
    <w:tmpl w:val="1BC019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0">
    <w:nsid w:val="6A494D3E"/>
    <w:multiLevelType w:val="hybridMultilevel"/>
    <w:tmpl w:val="2EE43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6C096D4B"/>
    <w:multiLevelType w:val="hybridMultilevel"/>
    <w:tmpl w:val="43323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6E6867BC"/>
    <w:multiLevelType w:val="hybridMultilevel"/>
    <w:tmpl w:val="5A5025C8"/>
    <w:lvl w:ilvl="0" w:tplc="FC10A8E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A8F06D8"/>
    <w:multiLevelType w:val="hybridMultilevel"/>
    <w:tmpl w:val="400EB6D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792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9360" w:hanging="360"/>
      </w:pPr>
      <w:rPr>
        <w:rFonts w:ascii="Wingdings" w:hAnsi="Wingdings" w:cs="Wingdings" w:hint="default"/>
      </w:rPr>
    </w:lvl>
  </w:abstractNum>
  <w:abstractNum w:abstractNumId="44">
    <w:nsid w:val="7AD22034"/>
    <w:multiLevelType w:val="hybridMultilevel"/>
    <w:tmpl w:val="C02861F0"/>
    <w:lvl w:ilvl="0" w:tplc="A16C5CA0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45">
    <w:nsid w:val="7BA54109"/>
    <w:multiLevelType w:val="hybridMultilevel"/>
    <w:tmpl w:val="6720D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7C580993"/>
    <w:multiLevelType w:val="hybridMultilevel"/>
    <w:tmpl w:val="F66C1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7E2A688F"/>
    <w:multiLevelType w:val="hybridMultilevel"/>
    <w:tmpl w:val="A6D4C3F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48">
    <w:nsid w:val="7E97318A"/>
    <w:multiLevelType w:val="hybridMultilevel"/>
    <w:tmpl w:val="B6C2A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6"/>
  </w:num>
  <w:num w:numId="2">
    <w:abstractNumId w:val="29"/>
  </w:num>
  <w:num w:numId="3">
    <w:abstractNumId w:val="37"/>
  </w:num>
  <w:num w:numId="4">
    <w:abstractNumId w:val="41"/>
  </w:num>
  <w:num w:numId="5">
    <w:abstractNumId w:val="22"/>
  </w:num>
  <w:num w:numId="6">
    <w:abstractNumId w:val="30"/>
  </w:num>
  <w:num w:numId="7">
    <w:abstractNumId w:val="17"/>
  </w:num>
  <w:num w:numId="8">
    <w:abstractNumId w:val="15"/>
  </w:num>
  <w:num w:numId="9">
    <w:abstractNumId w:val="31"/>
  </w:num>
  <w:num w:numId="10">
    <w:abstractNumId w:val="46"/>
  </w:num>
  <w:num w:numId="11">
    <w:abstractNumId w:val="8"/>
  </w:num>
  <w:num w:numId="12">
    <w:abstractNumId w:val="2"/>
  </w:num>
  <w:num w:numId="13">
    <w:abstractNumId w:val="36"/>
  </w:num>
  <w:num w:numId="14">
    <w:abstractNumId w:val="34"/>
  </w:num>
  <w:num w:numId="15">
    <w:abstractNumId w:val="14"/>
  </w:num>
  <w:num w:numId="16">
    <w:abstractNumId w:val="10"/>
  </w:num>
  <w:num w:numId="17">
    <w:abstractNumId w:val="20"/>
  </w:num>
  <w:num w:numId="18">
    <w:abstractNumId w:val="21"/>
  </w:num>
  <w:num w:numId="19">
    <w:abstractNumId w:val="43"/>
  </w:num>
  <w:num w:numId="20">
    <w:abstractNumId w:val="48"/>
  </w:num>
  <w:num w:numId="21">
    <w:abstractNumId w:val="12"/>
  </w:num>
  <w:num w:numId="22">
    <w:abstractNumId w:val="13"/>
  </w:num>
  <w:num w:numId="23">
    <w:abstractNumId w:val="4"/>
  </w:num>
  <w:num w:numId="24">
    <w:abstractNumId w:val="40"/>
  </w:num>
  <w:num w:numId="25">
    <w:abstractNumId w:val="0"/>
  </w:num>
  <w:num w:numId="26">
    <w:abstractNumId w:val="7"/>
  </w:num>
  <w:num w:numId="27">
    <w:abstractNumId w:val="27"/>
  </w:num>
  <w:num w:numId="28">
    <w:abstractNumId w:val="28"/>
  </w:num>
  <w:num w:numId="29">
    <w:abstractNumId w:val="24"/>
  </w:num>
  <w:num w:numId="30">
    <w:abstractNumId w:val="6"/>
  </w:num>
  <w:num w:numId="31">
    <w:abstractNumId w:val="33"/>
  </w:num>
  <w:num w:numId="32">
    <w:abstractNumId w:val="16"/>
  </w:num>
  <w:num w:numId="33">
    <w:abstractNumId w:val="18"/>
  </w:num>
  <w:num w:numId="34">
    <w:abstractNumId w:val="32"/>
  </w:num>
  <w:num w:numId="35">
    <w:abstractNumId w:val="45"/>
  </w:num>
  <w:num w:numId="36">
    <w:abstractNumId w:val="9"/>
  </w:num>
  <w:num w:numId="37">
    <w:abstractNumId w:val="47"/>
  </w:num>
  <w:num w:numId="38">
    <w:abstractNumId w:val="25"/>
  </w:num>
  <w:num w:numId="39">
    <w:abstractNumId w:val="1"/>
  </w:num>
  <w:num w:numId="40">
    <w:abstractNumId w:val="44"/>
  </w:num>
  <w:num w:numId="41">
    <w:abstractNumId w:val="23"/>
  </w:num>
  <w:num w:numId="42">
    <w:abstractNumId w:val="38"/>
  </w:num>
  <w:num w:numId="43">
    <w:abstractNumId w:val="11"/>
  </w:num>
  <w:num w:numId="44">
    <w:abstractNumId w:val="39"/>
  </w:num>
  <w:num w:numId="45">
    <w:abstractNumId w:val="3"/>
  </w:num>
  <w:num w:numId="46">
    <w:abstractNumId w:val="12"/>
  </w:num>
  <w:num w:numId="47">
    <w:abstractNumId w:val="13"/>
  </w:num>
  <w:num w:numId="48">
    <w:abstractNumId w:val="42"/>
  </w:num>
  <w:num w:numId="49">
    <w:abstractNumId w:val="19"/>
  </w:num>
  <w:num w:numId="50">
    <w:abstractNumId w:val="5"/>
  </w:num>
  <w:num w:numId="5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50"/>
  <w:embedSystemFonts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IDS 2020-12-14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E86088"/>
    <w:rsid w:val="00E8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8" w:afterLines="40" w:after="96" w:line="259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240" w:after="0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keepLines/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keepLines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keepLines/>
      <w:spacing w:before="40" w:after="0"/>
      <w:outlineLvl w:val="4"/>
    </w:pPr>
    <w:rPr>
      <w:rFonts w:ascii="Calibri Light" w:hAnsi="Calibri Light" w:cs="Calibri Light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eastAsia="Times New Roman"/>
      <w:color w:val="auto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Pr>
      <w:rFonts w:eastAsia="Times New Roman"/>
      <w:color w:val="auto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Pr>
      <w:rFonts w:eastAsia="Times New Roman"/>
      <w:color w:val="auto"/>
    </w:rPr>
  </w:style>
  <w:style w:type="character" w:customStyle="1" w:styleId="Heading4Char">
    <w:name w:val="Heading 4 Char"/>
    <w:basedOn w:val="DefaultParagraphFont"/>
    <w:link w:val="Heading4"/>
    <w:uiPriority w:val="99"/>
    <w:rPr>
      <w:rFonts w:eastAsia="Times New Roman"/>
      <w:i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9"/>
    <w:rPr>
      <w:rFonts w:ascii="Calibri Light" w:hAnsi="Calibri Light" w:cs="Calibri Light"/>
      <w:color w:val="auto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pPr>
      <w:spacing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  <w:lang w:val="en-GB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b/>
      <w:bCs/>
      <w:sz w:val="20"/>
      <w:szCs w:val="20"/>
      <w:lang w:val="en-GB" w:eastAsia="x-non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rPr>
      <w:rFonts w:ascii="Calibri" w:hAnsi="Calibri" w:cs="Calibri"/>
    </w:rPr>
  </w:style>
  <w:style w:type="paragraph" w:styleId="BodyText">
    <w:name w:val="Body Text"/>
    <w:basedOn w:val="Normal"/>
    <w:link w:val="BodyTextChar"/>
    <w:uiPriority w:val="99"/>
    <w:pPr>
      <w:widowControl w:val="0"/>
      <w:spacing w:after="240" w:line="240" w:lineRule="auto"/>
      <w:ind w:left="100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sz w:val="24"/>
      <w:szCs w:val="24"/>
      <w:lang w:val="en-GB" w:eastAsia="x-none"/>
    </w:rPr>
  </w:style>
  <w:style w:type="paragraph" w:customStyle="1" w:styleId="captiontable">
    <w:name w:val="caption:table"/>
    <w:basedOn w:val="Normal"/>
    <w:next w:val="Normal"/>
    <w:uiPriority w:val="99"/>
    <w:pPr>
      <w:keepNext/>
      <w:spacing w:after="240" w:line="240" w:lineRule="auto"/>
      <w:ind w:left="1440" w:hanging="1440"/>
    </w:pPr>
    <w:rPr>
      <w:rFonts w:ascii="Arial" w:hAnsi="Arial" w:cs="Arial"/>
      <w:b/>
      <w:bCs/>
      <w:lang w:val="en-GB"/>
    </w:rPr>
  </w:style>
  <w:style w:type="paragraph" w:customStyle="1" w:styleId="EndNoteBibliographyTitle">
    <w:name w:val="EndNote Bibliography Title"/>
    <w:basedOn w:val="Normal"/>
    <w:uiPriority w:val="99"/>
    <w:pPr>
      <w:spacing w:after="0"/>
      <w:jc w:val="center"/>
    </w:pPr>
    <w:rPr>
      <w:noProof/>
    </w:rPr>
  </w:style>
  <w:style w:type="character" w:customStyle="1" w:styleId="ListParagraphChar">
    <w:name w:val="List Paragraph Char"/>
    <w:basedOn w:val="DefaultParagraphFont"/>
    <w:uiPriority w:val="99"/>
    <w:rPr>
      <w:rFonts w:ascii="Times New Roman" w:hAnsi="Times New Roman" w:cs="Times New Roman"/>
    </w:rPr>
  </w:style>
  <w:style w:type="character" w:customStyle="1" w:styleId="EndNoteBibliographyTitleChar">
    <w:name w:val="EndNote Bibliography Title Char"/>
    <w:uiPriority w:val="99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uiPriority w:val="99"/>
    <w:pPr>
      <w:spacing w:line="240" w:lineRule="auto"/>
    </w:pPr>
    <w:rPr>
      <w:noProof/>
    </w:rPr>
  </w:style>
  <w:style w:type="character" w:customStyle="1" w:styleId="EndNoteBibliographyChar">
    <w:name w:val="EndNote Bibliography Char"/>
    <w:uiPriority w:val="99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rPr>
      <w:color w:val="auto"/>
      <w:u w:val="single"/>
    </w:rPr>
  </w:style>
  <w:style w:type="character" w:customStyle="1" w:styleId="UnresolvedMention">
    <w:name w:val="Unresolved Mention"/>
    <w:uiPriority w:val="99"/>
    <w:rPr>
      <w:color w:val="auto"/>
      <w:shd w:val="clear" w:color="auto" w:fill="auto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Pr>
      <w:color w:val="auto"/>
      <w:u w:val="single"/>
    </w:rPr>
  </w:style>
  <w:style w:type="paragraph" w:customStyle="1" w:styleId="EndNoteCategoryHeading">
    <w:name w:val="EndNote Category Heading"/>
    <w:basedOn w:val="Normal"/>
    <w:uiPriority w:val="99"/>
    <w:pPr>
      <w:spacing w:before="120" w:after="120"/>
    </w:pPr>
    <w:rPr>
      <w:b/>
      <w:bCs/>
      <w:noProof/>
    </w:rPr>
  </w:style>
  <w:style w:type="character" w:customStyle="1" w:styleId="EndNoteCategoryHeadingChar">
    <w:name w:val="EndNote Category Heading Char"/>
    <w:uiPriority w:val="99"/>
    <w:rPr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15</Pages>
  <Words>1627</Words>
  <Characters>9442</Characters>
  <Application>Microsoft Office Word</Application>
  <DocSecurity>0</DocSecurity>
  <Lines>0</Lines>
  <Paragraphs>0</Paragraphs>
  <ScaleCrop>false</ScaleCrop>
  <Company>Thomson Digital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Euan Paul (SciM)</dc:creator>
  <cp:keywords/>
  <dc:description/>
  <cp:lastModifiedBy>TEESLWW</cp:lastModifiedBy>
  <cp:revision>4</cp:revision>
  <cp:lastPrinted>2020-11-12T13:36:00Z</cp:lastPrinted>
  <dcterms:created xsi:type="dcterms:W3CDTF">2021-02-26T17:06:00Z</dcterms:created>
  <dcterms:modified xsi:type="dcterms:W3CDTF">2021-04-09T06:32:00Z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0x01010034FC02A741991D408F826EF930C5C7C3</vt:lpwstr>
  </property>
</Properties>
</file>