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auto"/>
        <w:ind w:firstLine="0" w:firstLine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Table S1. Classification and statistics of initial and current treatment regimens for all study participants</w:t>
      </w:r>
      <w:r>
        <w:rPr>
          <w:rFonts w:hint="eastAsia"/>
          <w:sz w:val="24"/>
          <w:szCs w:val="24"/>
        </w:rPr>
        <w:t>.</w:t>
      </w:r>
    </w:p>
    <w:tbl>
      <w:tblPr>
        <w:tblStyle w:val="4"/>
        <w:tblW w:w="514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530"/>
        <w:gridCol w:w="1530"/>
        <w:gridCol w:w="1530"/>
        <w:gridCol w:w="1536"/>
        <w:gridCol w:w="1530"/>
        <w:gridCol w:w="1530"/>
        <w:gridCol w:w="1530"/>
        <w:gridCol w:w="1568"/>
      </w:tblGrid>
      <w:tr>
        <w:trPr>
          <w:trHeight w:val="516" w:hRule="atLeast"/>
        </w:trPr>
        <w:tc>
          <w:tcPr>
            <w:tcW w:w="624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2" w:type="pct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Initial antiretroviral regimen</w:t>
            </w:r>
          </w:p>
        </w:tc>
        <w:tc>
          <w:tcPr>
            <w:tcW w:w="2193" w:type="pct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Currrent antiretroviral regimen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Younger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Middle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-aged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Old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Younger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Middle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-aged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Old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24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NRTIs+NNRTIs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1529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94.27)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93.17)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594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95.65)</w:t>
            </w:r>
          </w:p>
        </w:tc>
        <w:tc>
          <w:tcPr>
            <w:tcW w:w="547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526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93.59)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68.43)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69.48)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67.79)</w:t>
            </w:r>
          </w:p>
        </w:tc>
        <w:tc>
          <w:tcPr>
            <w:tcW w:w="558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384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68.33)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EFV+3TC+TDF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38.04)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38.27)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37.68)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38.26)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561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34.59)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39.41)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35.75)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29.54)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EFV+3TC+AZT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31.75)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153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34.85)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30.92)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30.25)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18.31)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19.36)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17.23)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18.68)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NVP+3TC+AZT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336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20.72)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19.36)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20.93)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21.53)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158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9.74)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9.11)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8.86)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11.21)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NVP+3TC+TDF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0.43)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0.23)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0.48)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0.53)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1.91)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1.59)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1.29)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2.85)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Other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3.33)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0.46)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5.64)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3.02)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3.88)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0.00)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4.67)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6.05)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INSTIs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1.23)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0.91)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0.48)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2.31)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12.70)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12.76)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12.88)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12.46)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PIs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4.50)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5.92)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3.86)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4.09)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18.87)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17.77)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19.32)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19.22)</w:t>
            </w:r>
          </w:p>
        </w:tc>
      </w:tr>
    </w:tbl>
    <w:p>
      <w:pPr>
        <w:pStyle w:val="8"/>
        <w:spacing w:line="480" w:lineRule="auto"/>
        <w:ind w:firstLine="0" w:firstLineChars="0"/>
      </w:pPr>
      <w:bookmarkStart w:id="0" w:name="_GoBack"/>
      <w:r>
        <w:rPr>
          <w:rFonts w:hint="eastAsia" w:ascii="Times New Roman" w:hAnsi="Times New Roman" w:cs="Times New Roman"/>
          <w:color w:val="FF0000"/>
          <w:sz w:val="24"/>
        </w:rPr>
        <w:t>Categorical data are presented as n (%)</w:t>
      </w:r>
      <w:r>
        <w:rPr>
          <w:rFonts w:hint="eastAsia" w:cs="Times New Roman"/>
          <w:color w:val="FF0000"/>
          <w:sz w:val="24"/>
          <w:lang w:val="en-US" w:eastAsia="zh-CN"/>
        </w:rPr>
        <w:t>.</w:t>
      </w:r>
      <w:bookmarkEnd w:id="0"/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NRTIs</w:t>
      </w:r>
      <w:r>
        <w:rPr>
          <w:rFonts w:hint="eastAsia" w:cs="Times New Roman"/>
          <w:sz w:val="24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sz w:val="24"/>
        </w:rPr>
        <w:t>nucleoside reverse transcriptase inhibitors</w:t>
      </w:r>
      <w:r>
        <w:rPr>
          <w:rFonts w:hint="eastAsia" w:cs="Times New Roman"/>
          <w:sz w:val="24"/>
          <w:lang w:val="en-US" w:eastAsia="zh-CN"/>
        </w:rPr>
        <w:t xml:space="preserve">, </w:t>
      </w:r>
      <w:r>
        <w:rPr>
          <w:rFonts w:ascii="Times New Roman" w:hAnsi="Times New Roman" w:cs="Times New Roman"/>
          <w:sz w:val="24"/>
        </w:rPr>
        <w:t>NNRTI</w:t>
      </w:r>
      <w:r>
        <w:rPr>
          <w:rFonts w:hint="eastAsia" w:cs="Times New Roman"/>
          <w:sz w:val="24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sz w:val="24"/>
        </w:rPr>
        <w:t>non-nucleoside reverse transcriptase inhibitor</w:t>
      </w:r>
      <w:r>
        <w:rPr>
          <w:rFonts w:hint="eastAsia" w:cs="Times New Roman"/>
          <w:sz w:val="24"/>
          <w:lang w:val="en-US" w:eastAsia="zh-CN"/>
        </w:rPr>
        <w:t xml:space="preserve">, </w:t>
      </w:r>
      <w:r>
        <w:rPr>
          <w:rFonts w:ascii="Times New Roman" w:hAnsi="Times New Roman" w:cs="Times New Roman"/>
          <w:sz w:val="24"/>
        </w:rPr>
        <w:t>PI</w:t>
      </w:r>
      <w:r>
        <w:rPr>
          <w:rFonts w:hint="eastAsia" w:cs="Times New Roman"/>
          <w:sz w:val="24"/>
          <w:lang w:val="en-US" w:eastAsia="zh-CN"/>
        </w:rPr>
        <w:t xml:space="preserve">: </w:t>
      </w:r>
      <w:r>
        <w:rPr>
          <w:rFonts w:ascii="Times New Roman" w:hAnsi="Times New Roman" w:cs="Times New Roman"/>
          <w:sz w:val="24"/>
        </w:rPr>
        <w:t>p</w:t>
      </w:r>
      <w:r>
        <w:rPr>
          <w:rFonts w:hint="eastAsia" w:ascii="Times New Roman" w:hAnsi="Times New Roman" w:cs="Times New Roman"/>
          <w:sz w:val="24"/>
        </w:rPr>
        <w:t>rotease inhibitor</w:t>
      </w:r>
      <w:r>
        <w:rPr>
          <w:rFonts w:hint="eastAsia" w:cs="Times New Roman"/>
          <w:sz w:val="24"/>
          <w:lang w:val="en-US" w:eastAsia="zh-CN"/>
        </w:rPr>
        <w:t>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INSTI</w:t>
      </w:r>
      <w:r>
        <w:rPr>
          <w:rFonts w:hint="eastAsia" w:cs="Times New Roman"/>
          <w:sz w:val="24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sz w:val="24"/>
        </w:rPr>
        <w:t>integrase strand transfer inhibitor</w:t>
      </w:r>
      <w:r>
        <w:rPr>
          <w:rFonts w:hint="eastAsia" w:cs="Times New Roman"/>
          <w:sz w:val="24"/>
          <w:lang w:val="en-US" w:eastAsia="zh-CN"/>
        </w:rPr>
        <w:t xml:space="preserve">, </w:t>
      </w:r>
      <w:r>
        <w:rPr>
          <w:rFonts w:hint="eastAsia"/>
          <w:sz w:val="24"/>
          <w:szCs w:val="24"/>
        </w:rPr>
        <w:t>EFV: Efavirenz</w:t>
      </w:r>
      <w:r>
        <w:rPr>
          <w:rFonts w:hint="eastAsia"/>
          <w:sz w:val="24"/>
          <w:szCs w:val="24"/>
          <w:lang w:val="en-US" w:eastAsia="zh-CN"/>
        </w:rPr>
        <w:t>,</w:t>
      </w:r>
      <w:r>
        <w:rPr>
          <w:rFonts w:hint="eastAsia"/>
          <w:sz w:val="24"/>
          <w:szCs w:val="24"/>
        </w:rPr>
        <w:t xml:space="preserve"> 3TC: Lamivudine</w:t>
      </w:r>
      <w:r>
        <w:rPr>
          <w:rFonts w:hint="eastAsia"/>
          <w:sz w:val="24"/>
          <w:szCs w:val="24"/>
          <w:lang w:val="en-US" w:eastAsia="zh-CN"/>
        </w:rPr>
        <w:t>,</w:t>
      </w:r>
      <w:r>
        <w:rPr>
          <w:rFonts w:hint="eastAsia"/>
          <w:sz w:val="24"/>
          <w:szCs w:val="24"/>
        </w:rPr>
        <w:t xml:space="preserve"> AZT: </w:t>
      </w:r>
      <w:r>
        <w:rPr>
          <w:rFonts w:eastAsia="宋体"/>
          <w:sz w:val="24"/>
          <w:szCs w:val="24"/>
        </w:rPr>
        <w:t>Zidovudine</w:t>
      </w:r>
      <w:r>
        <w:rPr>
          <w:rFonts w:hint="eastAsia" w:eastAsia="宋体"/>
          <w:sz w:val="24"/>
          <w:szCs w:val="24"/>
          <w:lang w:val="en-US" w:eastAsia="zh-CN"/>
        </w:rPr>
        <w:t>,</w:t>
      </w:r>
      <w:r>
        <w:rPr>
          <w:rFonts w:hint="eastAsia" w:eastAsia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TDF: Tenofovir</w:t>
      </w:r>
      <w:r>
        <w:rPr>
          <w:rFonts w:hint="eastAsia"/>
          <w:sz w:val="24"/>
          <w:szCs w:val="24"/>
          <w:lang w:val="en-US" w:eastAsia="zh-CN"/>
        </w:rPr>
        <w:t>,</w:t>
      </w:r>
      <w:r>
        <w:rPr>
          <w:rFonts w:hint="eastAsia"/>
          <w:sz w:val="24"/>
          <w:szCs w:val="24"/>
        </w:rPr>
        <w:t xml:space="preserve"> NVP: Nevirapine.</w:t>
      </w:r>
    </w:p>
    <w:sectPr>
      <w:headerReference r:id="rId3" w:type="default"/>
      <w:footerReference r:id="rId4" w:type="default"/>
      <w:pgSz w:w="16838" w:h="11906" w:orient="landscape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0DA6C1A"/>
    <w:rsid w:val="0049023F"/>
    <w:rsid w:val="04BA0275"/>
    <w:rsid w:val="098F7F7C"/>
    <w:rsid w:val="0A171CC6"/>
    <w:rsid w:val="0CD47A72"/>
    <w:rsid w:val="0D162709"/>
    <w:rsid w:val="1D9A259A"/>
    <w:rsid w:val="24D32F62"/>
    <w:rsid w:val="29D11A3A"/>
    <w:rsid w:val="2E026666"/>
    <w:rsid w:val="30DA6C1A"/>
    <w:rsid w:val="341964B7"/>
    <w:rsid w:val="34BA37F6"/>
    <w:rsid w:val="37C87FD8"/>
    <w:rsid w:val="38A87E0A"/>
    <w:rsid w:val="39E32BCE"/>
    <w:rsid w:val="3E8135D7"/>
    <w:rsid w:val="488C5052"/>
    <w:rsid w:val="50294CE9"/>
    <w:rsid w:val="5436399C"/>
    <w:rsid w:val="55747599"/>
    <w:rsid w:val="59B85CA7"/>
    <w:rsid w:val="5AE96400"/>
    <w:rsid w:val="60575AEE"/>
    <w:rsid w:val="632F29C7"/>
    <w:rsid w:val="649C13C8"/>
    <w:rsid w:val="695B15EF"/>
    <w:rsid w:val="6F76390A"/>
    <w:rsid w:val="714A2B73"/>
    <w:rsid w:val="76D6742F"/>
    <w:rsid w:val="79C17B89"/>
    <w:rsid w:val="7C975798"/>
    <w:rsid w:val="7F1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1"/>
    <w:qFormat/>
    <w:uiPriority w:val="0"/>
    <w:pPr>
      <w:widowControl/>
      <w:spacing w:line="360" w:lineRule="auto"/>
      <w:ind w:firstLine="420" w:firstLineChars="200"/>
      <w:contextualSpacing/>
    </w:pPr>
    <w:rPr>
      <w:rFonts w:hint="default" w:ascii="Times New Roman" w:hAnsi="Times New Roman" w:cs="Times New Roman"/>
      <w:kern w:val="0"/>
      <w:szCs w:val="21"/>
    </w:rPr>
  </w:style>
  <w:style w:type="paragraph" w:customStyle="1" w:styleId="7">
    <w:name w:val="样式3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宋体"/>
      <w:sz w:val="24"/>
    </w:rPr>
  </w:style>
  <w:style w:type="paragraph" w:customStyle="1" w:styleId="8">
    <w:name w:val="Lina-正文"/>
    <w:basedOn w:val="1"/>
    <w:qFormat/>
    <w:uiPriority w:val="0"/>
    <w:pPr>
      <w:widowControl/>
      <w:spacing w:line="360" w:lineRule="auto"/>
      <w:ind w:firstLine="420" w:firstLineChars="200"/>
      <w:contextualSpacing/>
    </w:pPr>
    <w:rPr>
      <w:rFonts w:ascii="Times New Roman" w:hAnsi="Times New Roman" w:cs="Times New Roman" w:eastAsiaTheme="minorEastAsia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2023-08-23T14:13:00Z</dcterms:created>
  <dc:creator>lina</dc:creator>
  <cp:lastModifiedBy>lina</cp:lastModifiedBy>
  <dcterms:modified xsi:type="dcterms:W3CDTF">2023-12-11T08:42:48Z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C3AF1879CF7B4C6E96128C643DAD834B_13</vt:lpwstr>
  </property>
</Properties>
</file>