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95F" w14:textId="77777777" w:rsidR="00A21290" w:rsidRPr="00AC35DD" w:rsidRDefault="00A21290" w:rsidP="00A21290">
      <w:pPr>
        <w:pStyle w:val="Heading2"/>
      </w:pPr>
      <w:bookmarkStart w:id="0" w:name="_Toc144480267"/>
      <w:r>
        <w:t>L</w:t>
      </w:r>
      <w:r w:rsidRPr="008C6AF3">
        <w:t xml:space="preserve">iquid chromatography and dual tandem mass spectrometry </w:t>
      </w:r>
      <w:r>
        <w:t>(</w:t>
      </w:r>
      <w:r w:rsidRPr="00AC35DD">
        <w:t>LC-MS/MS</w:t>
      </w:r>
      <w:r>
        <w:t>)</w:t>
      </w:r>
      <w:r w:rsidRPr="00AC35DD">
        <w:t xml:space="preserve"> sample analysis protocol</w:t>
      </w:r>
      <w:bookmarkEnd w:id="0"/>
    </w:p>
    <w:p w14:paraId="5934BB89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conducted</w:t>
      </w:r>
      <w:r w:rsidRPr="007D53D3">
        <w:t xml:space="preserve"> </w:t>
      </w:r>
      <w:r w:rsidRPr="007D53D3">
        <w:rPr>
          <w:rFonts w:ascii="Arial" w:hAnsi="Arial" w:cs="Arial"/>
        </w:rPr>
        <w:t>LC-MS/MS at the Africa Health Research Institute in</w:t>
      </w:r>
      <w:r>
        <w:rPr>
          <w:rFonts w:ascii="Arial" w:hAnsi="Arial" w:cs="Arial"/>
        </w:rPr>
        <w:t xml:space="preserve"> Durban, South Africa. </w:t>
      </w:r>
      <w:r w:rsidRPr="00AC35DD">
        <w:rPr>
          <w:rFonts w:ascii="Arial" w:hAnsi="Arial" w:cs="Arial"/>
        </w:rPr>
        <w:t xml:space="preserve">A quantitative LC-MS/MS method was developed for the determination of tenofovir (TFV) in urine samples and TFV and tenofovir-diphosphate (TFV-DP) concentrations in dry blood spot (DBS) samples. The LC-MS/MS method was accurate, robust and quantitative over the concentration ranges; 0.5 – 80 µg/mL for TFV in urine and 100 – 8000 </w:t>
      </w:r>
      <w:proofErr w:type="spellStart"/>
      <w:r w:rsidRPr="00AC35DD">
        <w:rPr>
          <w:rFonts w:ascii="Arial" w:hAnsi="Arial" w:cs="Arial"/>
        </w:rPr>
        <w:t>pg</w:t>
      </w:r>
      <w:proofErr w:type="spellEnd"/>
      <w:r w:rsidRPr="00AC35DD">
        <w:rPr>
          <w:rFonts w:ascii="Arial" w:hAnsi="Arial" w:cs="Arial"/>
        </w:rPr>
        <w:t xml:space="preserve">/mL for TFV and TFV-DP in DBS samples. </w:t>
      </w:r>
    </w:p>
    <w:p w14:paraId="570B5182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842C0CA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</w:rPr>
      </w:pPr>
      <w:r w:rsidRPr="00AC35DD">
        <w:rPr>
          <w:rFonts w:ascii="Arial" w:hAnsi="Arial" w:cs="Arial"/>
        </w:rPr>
        <w:t xml:space="preserve">The urine and DBS samples were processed using a protein precipitation method. A 70% </w:t>
      </w:r>
      <w:proofErr w:type="spellStart"/>
      <w:r w:rsidRPr="00AC35DD">
        <w:rPr>
          <w:rFonts w:ascii="Arial" w:hAnsi="Arial" w:cs="Arial"/>
        </w:rPr>
        <w:t>methanol:water</w:t>
      </w:r>
      <w:proofErr w:type="spellEnd"/>
      <w:r w:rsidRPr="00AC35DD">
        <w:rPr>
          <w:rFonts w:ascii="Arial" w:hAnsi="Arial" w:cs="Arial"/>
        </w:rPr>
        <w:t xml:space="preserve"> (v/v) solution, which contained the deuterated internal standards; d6-TFV and d5-TFV-DP was used for drug analyte extraction. The calibration standards and quality control solutions (containing TFV and TFV-DP) were prepared using the extraction solution. </w:t>
      </w:r>
    </w:p>
    <w:p w14:paraId="63EAFA0B" w14:textId="77777777" w:rsidR="00A21290" w:rsidRPr="00AC35DD" w:rsidRDefault="00A21290" w:rsidP="00A21290">
      <w:pPr>
        <w:rPr>
          <w:rFonts w:cs="Arial"/>
        </w:rPr>
      </w:pPr>
    </w:p>
    <w:p w14:paraId="48877114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</w:rPr>
      </w:pPr>
      <w:r w:rsidRPr="00AC35DD">
        <w:rPr>
          <w:rFonts w:ascii="Arial" w:hAnsi="Arial" w:cs="Arial"/>
        </w:rPr>
        <w:t xml:space="preserve">The LC-MS/MS analysis was performed using an Agilent high pressure liquid chromatography (HPLC) system coupled to an AB </w:t>
      </w:r>
      <w:proofErr w:type="spellStart"/>
      <w:r w:rsidRPr="00AC35DD">
        <w:rPr>
          <w:rFonts w:ascii="Arial" w:hAnsi="Arial" w:cs="Arial"/>
        </w:rPr>
        <w:t>Sciex</w:t>
      </w:r>
      <w:proofErr w:type="spellEnd"/>
      <w:r w:rsidRPr="00AC35DD">
        <w:rPr>
          <w:rFonts w:ascii="Arial" w:hAnsi="Arial" w:cs="Arial"/>
        </w:rPr>
        <w:t xml:space="preserve"> 5500, triple quadrupole mass spectrometer equipped with an electrospray ionization (ESI) </w:t>
      </w:r>
      <w:proofErr w:type="spellStart"/>
      <w:r w:rsidRPr="00AC35DD">
        <w:rPr>
          <w:rFonts w:ascii="Arial" w:hAnsi="Arial" w:cs="Arial"/>
        </w:rPr>
        <w:t>TurboIonSpray</w:t>
      </w:r>
      <w:proofErr w:type="spellEnd"/>
      <w:r w:rsidRPr="00AC35DD">
        <w:rPr>
          <w:rFonts w:ascii="Arial" w:hAnsi="Arial" w:cs="Arial"/>
        </w:rPr>
        <w:t xml:space="preserve"> source. Analyst software, version 1.6.2 was used for data acquisition and quantitative data analysis.</w:t>
      </w:r>
    </w:p>
    <w:p w14:paraId="0F09FA7D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CDB484F" w14:textId="77777777" w:rsidR="00A21290" w:rsidRPr="00AC35DD" w:rsidRDefault="00A21290" w:rsidP="00A21290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C35DD">
        <w:rPr>
          <w:rFonts w:ascii="Arial" w:hAnsi="Arial" w:cs="Arial"/>
        </w:rPr>
        <w:t xml:space="preserve">Tenofovir and TFV-DP was quantitated using ion pair-hydrophilic interaction chromatography coupled to tandem mass spectrometry (IP–HILIC–MS/MS). The chromatographic separation was performed at a flow rate of 0.2 mL/min on a Luna Amino (NH2) column (Phenomenex, Torrance, CA) 100 mm × 2.0 mm, packed with 3.0 µm particles. Mobile phase A consisted of 100 mM hexafluoro-2-propanol (HFIP) and 0.5% </w:t>
      </w:r>
      <w:proofErr w:type="spellStart"/>
      <w:r w:rsidRPr="00AC35DD">
        <w:rPr>
          <w:rFonts w:ascii="Arial" w:hAnsi="Arial" w:cs="Arial"/>
        </w:rPr>
        <w:t>diethylamine</w:t>
      </w:r>
      <w:proofErr w:type="spellEnd"/>
      <w:r w:rsidRPr="00AC35DD">
        <w:rPr>
          <w:rFonts w:ascii="Arial" w:hAnsi="Arial" w:cs="Arial"/>
        </w:rPr>
        <w:t xml:space="preserve"> (DEA) (v/v) in water, and mobile phase B consisted of 0.1 M HFIP and 0.5% DEA (v/v) in acetonitrile. A sample volume of 5.0 µL was injected onto the HPLC column and the analytes were separated using a gradient elution. The autosampler syringe and the injection valve were washed with a </w:t>
      </w:r>
      <w:proofErr w:type="spellStart"/>
      <w:r w:rsidRPr="00AC35DD">
        <w:rPr>
          <w:rFonts w:ascii="Arial" w:hAnsi="Arial" w:cs="Arial"/>
        </w:rPr>
        <w:t>water:acetonitrile</w:t>
      </w:r>
      <w:proofErr w:type="spellEnd"/>
      <w:r w:rsidRPr="00AC35DD">
        <w:rPr>
          <w:rFonts w:ascii="Arial" w:hAnsi="Arial" w:cs="Arial"/>
        </w:rPr>
        <w:t xml:space="preserve"> (30:70, v/v) solution, post sample injection, to reduce carryover. The system was operated in negative-ion multiple reaction monitoring (MRM) mode</w:t>
      </w:r>
      <w:r w:rsidRPr="00AC35DD">
        <w:rPr>
          <w:rFonts w:ascii="Arial" w:hAnsi="Arial" w:cs="Arial"/>
          <w:lang w:val="en-US"/>
        </w:rPr>
        <w:t xml:space="preserve"> set to detect precursor [M+H]</w:t>
      </w:r>
      <w:r w:rsidRPr="00AC35DD">
        <w:rPr>
          <w:rFonts w:ascii="Arial" w:hAnsi="Arial" w:cs="Arial"/>
          <w:vertAlign w:val="superscript"/>
          <w:lang w:val="en-US"/>
        </w:rPr>
        <w:t>+</w:t>
      </w:r>
      <w:r w:rsidRPr="00AC35DD">
        <w:rPr>
          <w:rFonts w:ascii="Arial" w:hAnsi="Arial" w:cs="Arial"/>
          <w:lang w:val="en-US"/>
        </w:rPr>
        <w:t>→ product ion transitions for TFV1 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285.8 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133.9), TFV2 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285.8→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151.0), TFV-DP1 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445.8 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158.9), TFV-DP2(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445.8→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176.7) and the internal standard; d6-TFV 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292.0→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133.8) and d5-TFV-DP (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450.8→ </w:t>
      </w:r>
      <w:r w:rsidRPr="00AC35DD">
        <w:rPr>
          <w:rFonts w:ascii="Arial" w:hAnsi="Arial" w:cs="Arial"/>
          <w:i/>
          <w:lang w:val="en-US"/>
        </w:rPr>
        <w:t>m/z</w:t>
      </w:r>
      <w:r w:rsidRPr="00AC35DD">
        <w:rPr>
          <w:rFonts w:ascii="Arial" w:hAnsi="Arial" w:cs="Arial"/>
          <w:lang w:val="en-US"/>
        </w:rPr>
        <w:t xml:space="preserve"> 158.9).</w:t>
      </w:r>
      <w:r w:rsidRPr="00AC35DD">
        <w:rPr>
          <w:rFonts w:ascii="Arial" w:hAnsi="Arial" w:cs="Arial"/>
        </w:rPr>
        <w:t xml:space="preserve"> </w:t>
      </w:r>
      <w:r w:rsidRPr="00AC35DD">
        <w:rPr>
          <w:rFonts w:ascii="Arial" w:hAnsi="Arial" w:cs="Arial"/>
          <w:lang w:val="en-US"/>
        </w:rPr>
        <w:t>The optimized ESI source dependent parameters were set as follows; ion spray voltage (ISV): 5500V, temperature (TEM): 350°C, gas 1 (N</w:t>
      </w:r>
      <w:r w:rsidRPr="00AC35DD">
        <w:rPr>
          <w:rFonts w:ascii="Arial" w:hAnsi="Arial" w:cs="Arial"/>
          <w:vertAlign w:val="subscript"/>
          <w:lang w:val="en-US"/>
        </w:rPr>
        <w:t>2</w:t>
      </w:r>
      <w:r w:rsidRPr="00AC35DD">
        <w:rPr>
          <w:rFonts w:ascii="Arial" w:hAnsi="Arial" w:cs="Arial"/>
          <w:lang w:val="en-US"/>
        </w:rPr>
        <w:t>) and gas 2 (N</w:t>
      </w:r>
      <w:r w:rsidRPr="00AC35DD">
        <w:rPr>
          <w:rFonts w:ascii="Arial" w:hAnsi="Arial" w:cs="Arial"/>
          <w:vertAlign w:val="subscript"/>
          <w:lang w:val="en-US"/>
        </w:rPr>
        <w:t>2</w:t>
      </w:r>
      <w:r w:rsidRPr="00AC35DD">
        <w:rPr>
          <w:rFonts w:ascii="Arial" w:hAnsi="Arial" w:cs="Arial"/>
          <w:lang w:val="en-US"/>
        </w:rPr>
        <w:t>): 40 psi.</w:t>
      </w:r>
    </w:p>
    <w:p w14:paraId="5371A955" w14:textId="77777777" w:rsidR="00A21290" w:rsidRDefault="00A21290" w:rsidP="00A21290"/>
    <w:p w14:paraId="4A7A0948" w14:textId="77777777" w:rsidR="00A21290" w:rsidRDefault="00A21290" w:rsidP="00B46DBE">
      <w:pPr>
        <w:pStyle w:val="Heading2"/>
      </w:pPr>
      <w:bookmarkStart w:id="1" w:name="_Toc144480268"/>
      <w:r>
        <w:t>Details of HIV viral load testing</w:t>
      </w:r>
    </w:p>
    <w:p w14:paraId="46C2DC1C" w14:textId="77777777" w:rsidR="00A21290" w:rsidRDefault="00A21290" w:rsidP="00A21290">
      <w:r w:rsidRPr="00EC305C">
        <w:t xml:space="preserve">We tested </w:t>
      </w:r>
      <w:r>
        <w:t xml:space="preserve">viral </w:t>
      </w:r>
      <w:proofErr w:type="spellStart"/>
      <w:r>
        <w:t>laod</w:t>
      </w:r>
      <w:proofErr w:type="spellEnd"/>
      <w:r>
        <w:t xml:space="preserve"> </w:t>
      </w:r>
      <w:r w:rsidRPr="00EC305C">
        <w:t>with the cobas® HIV-1 assay using the cobas 6800 platform (06998836190 ; Roche, Basel, Switzerland) at the Inkosi Albert Luthuli Hospital in Durban,</w:t>
      </w:r>
      <w:r>
        <w:t xml:space="preserve"> South Africa.</w:t>
      </w:r>
    </w:p>
    <w:p w14:paraId="3C82E68E" w14:textId="77777777" w:rsidR="00A21290" w:rsidRDefault="00A21290" w:rsidP="00B46DBE">
      <w:pPr>
        <w:pStyle w:val="Heading2"/>
      </w:pPr>
      <w:r>
        <w:t>Details of HIV drug resistance testing</w:t>
      </w:r>
      <w:bookmarkEnd w:id="1"/>
    </w:p>
    <w:p w14:paraId="04D39AE6" w14:textId="77777777" w:rsidR="00A21290" w:rsidRDefault="00A21290" w:rsidP="00A21290">
      <w:r>
        <w:rPr>
          <w:lang w:bidi="en-US"/>
        </w:rPr>
        <w:t xml:space="preserve">HIV drug resistance testing was conducted </w:t>
      </w:r>
      <w:r w:rsidRPr="006F10FC">
        <w:rPr>
          <w:lang w:bidi="en-US"/>
        </w:rPr>
        <w:t xml:space="preserve">at the KwaZulu-Natal Research Innovation and Sequencing Platform </w:t>
      </w:r>
      <w:r>
        <w:rPr>
          <w:lang w:bidi="en-US"/>
        </w:rPr>
        <w:t xml:space="preserve">in Durban, South Africa. We attempted sequencing of HIV-1 </w:t>
      </w:r>
      <w:r w:rsidRPr="007E6C4E">
        <w:rPr>
          <w:i/>
          <w:lang w:bidi="en-US"/>
        </w:rPr>
        <w:t xml:space="preserve">pol </w:t>
      </w:r>
      <w:r>
        <w:rPr>
          <w:lang w:bidi="en-US"/>
        </w:rPr>
        <w:t xml:space="preserve">(protease [PR], reverse transcriptase [RT] and integrase [IN]) for all samples with VL </w:t>
      </w:r>
      <w:r w:rsidRPr="007E6C4E">
        <w:rPr>
          <w:rFonts w:cs="Arial"/>
          <w:lang w:bidi="en-US"/>
        </w:rPr>
        <w:t>≥</w:t>
      </w:r>
      <w:r>
        <w:rPr>
          <w:lang w:bidi="en-US"/>
        </w:rPr>
        <w:t>1000 copies/</w:t>
      </w:r>
      <w:proofErr w:type="spellStart"/>
      <w:r>
        <w:rPr>
          <w:lang w:bidi="en-US"/>
        </w:rPr>
        <w:t>mL.</w:t>
      </w:r>
      <w:proofErr w:type="spellEnd"/>
      <w:r>
        <w:rPr>
          <w:lang w:bidi="en-US"/>
        </w:rPr>
        <w:t xml:space="preserve"> </w:t>
      </w:r>
      <w:r w:rsidRPr="007E6C4E">
        <w:rPr>
          <w:lang w:bidi="en-US"/>
        </w:rPr>
        <w:t>Following RNA extraction, we amplified PR, RT and IN genes using the amplification module of the Applied Biosystems HIV-1 Genotyping Kit with Integrase (</w:t>
      </w:r>
      <w:proofErr w:type="spellStart"/>
      <w:r w:rsidRPr="007E6C4E">
        <w:rPr>
          <w:lang w:bidi="en-US"/>
        </w:rPr>
        <w:t>Thermo</w:t>
      </w:r>
      <w:proofErr w:type="spellEnd"/>
      <w:r w:rsidRPr="007E6C4E">
        <w:rPr>
          <w:lang w:bidi="en-US"/>
        </w:rPr>
        <w:t xml:space="preserve"> Fisher Scientific, Waltham, MA); and sequenced on the Illumina </w:t>
      </w:r>
      <w:proofErr w:type="spellStart"/>
      <w:r w:rsidRPr="007E6C4E">
        <w:rPr>
          <w:lang w:bidi="en-US"/>
        </w:rPr>
        <w:t>MiSeq</w:t>
      </w:r>
      <w:proofErr w:type="spellEnd"/>
      <w:r w:rsidRPr="007E6C4E">
        <w:rPr>
          <w:lang w:bidi="en-US"/>
        </w:rPr>
        <w:t xml:space="preserve"> platform </w:t>
      </w:r>
      <w:r w:rsidRPr="007E6C4E">
        <w:rPr>
          <w:lang w:bidi="en-US"/>
        </w:rPr>
        <w:lastRenderedPageBreak/>
        <w:t>(Illumina, San Diego, CA).</w:t>
      </w:r>
      <w:r>
        <w:rPr>
          <w:lang w:bidi="en-US"/>
        </w:rPr>
        <w:t xml:space="preserve"> We identified drug resistance mutations (DRMs) at &gt;20% frequency using Stanford </w:t>
      </w:r>
      <w:proofErr w:type="spellStart"/>
      <w:r>
        <w:rPr>
          <w:lang w:bidi="en-US"/>
        </w:rPr>
        <w:t>HIVdb</w:t>
      </w:r>
      <w:proofErr w:type="spellEnd"/>
      <w:r>
        <w:rPr>
          <w:lang w:bidi="en-US"/>
        </w:rPr>
        <w:t xml:space="preserve"> (version 9.1).</w:t>
      </w:r>
    </w:p>
    <w:p w14:paraId="00B947B3" w14:textId="77777777" w:rsidR="00795645" w:rsidRDefault="00795645"/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614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90"/>
    <w:rsid w:val="00113A0A"/>
    <w:rsid w:val="004D67B9"/>
    <w:rsid w:val="00795645"/>
    <w:rsid w:val="00A21290"/>
    <w:rsid w:val="00B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A944"/>
  <w15:chartTrackingRefBased/>
  <w15:docId w15:val="{01E80326-5471-4091-94E8-0F16C39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90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29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290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paragraph" w:styleId="NoSpacing">
    <w:name w:val="No Spacing"/>
    <w:uiPriority w:val="1"/>
    <w:qFormat/>
    <w:rsid w:val="00A21290"/>
    <w:pPr>
      <w:spacing w:after="0" w:line="240" w:lineRule="auto"/>
    </w:pPr>
    <w:rPr>
      <w:kern w:val="0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2</cp:revision>
  <dcterms:created xsi:type="dcterms:W3CDTF">2023-09-26T09:06:00Z</dcterms:created>
  <dcterms:modified xsi:type="dcterms:W3CDTF">2023-09-26T09:12:00Z</dcterms:modified>
</cp:coreProperties>
</file>