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A523" w14:textId="77777777" w:rsidR="003777C8" w:rsidRDefault="003777C8" w:rsidP="003777C8">
      <w:pPr>
        <w:pStyle w:val="Heading2"/>
      </w:pPr>
      <w:bookmarkStart w:id="0" w:name="_Toc144480269"/>
      <w:r>
        <w:t>Figure S1 Receive operating characteristic curves of</w:t>
      </w:r>
      <w:r w:rsidRPr="008F569C">
        <w:t xml:space="preserve"> urine tenofovir and </w:t>
      </w:r>
      <w:r>
        <w:t>dried blood spot</w:t>
      </w:r>
      <w:r w:rsidRPr="008F569C">
        <w:t xml:space="preserve"> tenofovir diphosphate</w:t>
      </w:r>
      <w:r>
        <w:t xml:space="preserve"> concentrations to predict viraemia </w:t>
      </w:r>
      <w:r>
        <w:rPr>
          <w:rFonts w:cs="Arial"/>
        </w:rPr>
        <w:t>≥</w:t>
      </w:r>
      <w:r>
        <w:t>50 copies/mL, by ART regimen</w:t>
      </w:r>
      <w:bookmarkEnd w:id="0"/>
    </w:p>
    <w:p w14:paraId="58901CBC" w14:textId="77777777" w:rsidR="003777C8" w:rsidRPr="00682E15" w:rsidRDefault="003777C8" w:rsidP="003777C8">
      <w:r>
        <w:rPr>
          <w:noProof/>
        </w:rPr>
        <w:drawing>
          <wp:inline distT="0" distB="0" distL="0" distR="0" wp14:anchorId="6355C760" wp14:editId="260E8489">
            <wp:extent cx="5731510" cy="2864485"/>
            <wp:effectExtent l="0" t="0" r="2540" b="0"/>
            <wp:docPr id="12303693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3693" name="Picture 1" descr="A screenshot of a grap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B3D27" w14:textId="77777777" w:rsidR="003777C8" w:rsidRDefault="003777C8" w:rsidP="003777C8">
      <w:r w:rsidRPr="009675F8">
        <w:t>TFV = tenofovir, DBS TFV-DP = dried blood spot tenofovir di-phosphate, ART = antiretroviral therapy, EFV = efavirenz, DTG = dolutegravir, AUC = area under the curve</w:t>
      </w:r>
    </w:p>
    <w:p w14:paraId="49E345E1" w14:textId="77777777" w:rsidR="00795645" w:rsidRDefault="00795645"/>
    <w:sectPr w:rsidR="0079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D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6426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C8"/>
    <w:rsid w:val="00113A0A"/>
    <w:rsid w:val="003777C8"/>
    <w:rsid w:val="004D67B9"/>
    <w:rsid w:val="007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3390"/>
  <w15:chartTrackingRefBased/>
  <w15:docId w15:val="{279FFC4A-CD37-476B-BF91-F3BBF8E3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7C8"/>
    <w:pPr>
      <w:spacing w:after="120"/>
    </w:pPr>
    <w:rPr>
      <w:rFonts w:ascii="Arial" w:hAnsi="Arial"/>
      <w:kern w:val="0"/>
      <w:lang w:val="en-ZA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7C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7C8"/>
    <w:rPr>
      <w:rFonts w:ascii="Arial" w:eastAsiaTheme="majorEastAsia" w:hAnsi="Arial" w:cstheme="majorBidi"/>
      <w:b/>
      <w:kern w:val="0"/>
      <w:szCs w:val="26"/>
      <w:lang w:val="en-Z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Jienchi Dorward</dc:creator>
  <cp:keywords/>
  <dc:description/>
  <cp:lastModifiedBy>Jienchi Dorward</cp:lastModifiedBy>
  <cp:revision>1</cp:revision>
  <dcterms:created xsi:type="dcterms:W3CDTF">2023-09-26T09:13:00Z</dcterms:created>
  <dcterms:modified xsi:type="dcterms:W3CDTF">2023-09-26T09:13:00Z</dcterms:modified>
</cp:coreProperties>
</file>