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12" w:rsidRPr="000E4680" w:rsidRDefault="00212C12" w:rsidP="00212C12">
      <w:pPr>
        <w:spacing w:after="0" w:line="480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Supplemental Digital Content 1 – Table 1</w:t>
      </w:r>
      <w:r w:rsidRPr="001753EB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</w:t>
      </w:r>
      <w:proofErr w:type="gramStart"/>
      <w:r w:rsidRPr="00C53F46">
        <w:rPr>
          <w:rFonts w:ascii="Arial" w:hAnsi="Arial"/>
          <w:b/>
          <w:sz w:val="22"/>
          <w:lang w:val="en-US" w:eastAsia="fr-FR"/>
        </w:rPr>
        <w:t xml:space="preserve">Percentage of responders after </w:t>
      </w:r>
      <w:r>
        <w:rPr>
          <w:rFonts w:ascii="Arial" w:hAnsi="Arial"/>
          <w:b/>
          <w:sz w:val="22"/>
          <w:lang w:val="en-US" w:eastAsia="fr-FR"/>
        </w:rPr>
        <w:t>peripheral blood mononuclear cell (</w:t>
      </w:r>
      <w:r w:rsidRPr="00C53F46">
        <w:rPr>
          <w:rFonts w:ascii="Arial" w:hAnsi="Arial"/>
          <w:b/>
          <w:sz w:val="22"/>
          <w:lang w:val="en-US" w:eastAsia="fr-FR"/>
        </w:rPr>
        <w:t>PBMC</w:t>
      </w:r>
      <w:r>
        <w:rPr>
          <w:rFonts w:ascii="Arial" w:hAnsi="Arial"/>
          <w:b/>
          <w:sz w:val="22"/>
          <w:lang w:val="en-US" w:eastAsia="fr-FR"/>
        </w:rPr>
        <w:t>)</w:t>
      </w:r>
      <w:r w:rsidRPr="00C53F46">
        <w:rPr>
          <w:rFonts w:ascii="Arial" w:hAnsi="Arial"/>
          <w:b/>
          <w:sz w:val="22"/>
          <w:lang w:val="en-US" w:eastAsia="fr-FR"/>
        </w:rPr>
        <w:t xml:space="preserve"> stimulation with each of the HSV CD4</w:t>
      </w:r>
      <w:r w:rsidRPr="00C53F46">
        <w:rPr>
          <w:rFonts w:ascii="Arial" w:hAnsi="Arial"/>
          <w:b/>
          <w:sz w:val="22"/>
          <w:vertAlign w:val="superscript"/>
          <w:lang w:val="en-US" w:eastAsia="fr-FR"/>
        </w:rPr>
        <w:t>+</w:t>
      </w:r>
      <w:r w:rsidRPr="00C53F46">
        <w:rPr>
          <w:rFonts w:ascii="Arial" w:hAnsi="Arial"/>
          <w:b/>
          <w:sz w:val="22"/>
          <w:lang w:val="en-US" w:eastAsia="fr-FR"/>
        </w:rPr>
        <w:t xml:space="preserve"> and CD8</w:t>
      </w:r>
      <w:r w:rsidRPr="00C53F46">
        <w:rPr>
          <w:rFonts w:ascii="Arial" w:hAnsi="Arial"/>
          <w:b/>
          <w:sz w:val="22"/>
          <w:vertAlign w:val="superscript"/>
          <w:lang w:val="en-US" w:eastAsia="fr-FR"/>
        </w:rPr>
        <w:t>+</w:t>
      </w:r>
      <w:r w:rsidRPr="00C53F46">
        <w:rPr>
          <w:rFonts w:ascii="Arial" w:hAnsi="Arial"/>
          <w:b/>
          <w:sz w:val="22"/>
          <w:lang w:val="en-US" w:eastAsia="fr-FR"/>
        </w:rPr>
        <w:t xml:space="preserve"> </w:t>
      </w:r>
      <w:proofErr w:type="spellStart"/>
      <w:r w:rsidRPr="00C53F46">
        <w:rPr>
          <w:rFonts w:ascii="Arial" w:hAnsi="Arial"/>
          <w:b/>
          <w:sz w:val="22"/>
          <w:lang w:val="en-US" w:eastAsia="fr-FR"/>
        </w:rPr>
        <w:t>epitope</w:t>
      </w:r>
      <w:proofErr w:type="spellEnd"/>
      <w:r w:rsidRPr="00C53F46">
        <w:rPr>
          <w:rFonts w:ascii="Arial" w:hAnsi="Arial"/>
          <w:b/>
          <w:sz w:val="22"/>
          <w:lang w:val="en-US" w:eastAsia="fr-FR"/>
        </w:rPr>
        <w:t>.</w:t>
      </w:r>
      <w:proofErr w:type="gramEnd"/>
      <w:r w:rsidRPr="00C53F46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</w:p>
    <w:tbl>
      <w:tblPr>
        <w:tblW w:w="8900" w:type="dxa"/>
        <w:tblCellMar>
          <w:left w:w="0" w:type="dxa"/>
          <w:right w:w="0" w:type="dxa"/>
        </w:tblCellMar>
        <w:tblLook w:val="0000"/>
      </w:tblPr>
      <w:tblGrid>
        <w:gridCol w:w="3770"/>
        <w:gridCol w:w="2376"/>
        <w:gridCol w:w="2754"/>
      </w:tblGrid>
      <w:tr w:rsidR="00212C12" w:rsidRPr="0051400E" w:rsidTr="00A4334A">
        <w:trPr>
          <w:trHeight w:val="253"/>
        </w:trPr>
        <w:tc>
          <w:tcPr>
            <w:tcW w:w="3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proofErr w:type="spellStart"/>
            <w:r w:rsidRPr="0082453F"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Status</w:t>
            </w:r>
            <w:proofErr w:type="spellEnd"/>
          </w:p>
        </w:tc>
      </w:tr>
      <w:tr w:rsidR="00212C12" w:rsidRPr="0051400E" w:rsidTr="00A4334A">
        <w:trPr>
          <w:trHeight w:val="478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 xml:space="preserve">Peptide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epitopes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 xml:space="preserve">HIV-1/HSV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co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-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infected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individuals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 xml:space="preserve"> </w:t>
            </w:r>
            <w:r w:rsidRPr="0082453F"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(n=20)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HIV-1-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uninfected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/HSV-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infected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individuals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 xml:space="preserve"> (n=12</w:t>
            </w:r>
            <w:r w:rsidRPr="0082453F"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)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CD4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perscript"/>
              </w:rPr>
              <w:t>+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(%)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bCs/>
                <w:color w:val="000000"/>
                <w:sz w:val="20"/>
                <w:szCs w:val="28"/>
              </w:rPr>
              <w:t>(%)</w:t>
            </w:r>
          </w:p>
        </w:tc>
      </w:tr>
      <w:tr w:rsidR="00212C12" w:rsidRPr="0051400E" w:rsidTr="00A4334A">
        <w:trPr>
          <w:trHeight w:val="23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1-29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10.0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41.7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22-52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25.0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50.0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49-82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35.0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33.3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77-104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25.0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58.3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96-123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30.0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58.3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121-152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40.0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50.0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146-179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15.0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16.7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176-206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20.0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33.3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200-234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20.0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50.0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228-258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35.0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41.7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287-317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25.0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33.3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332-358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25.0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16.7</w:t>
            </w:r>
          </w:p>
        </w:tc>
      </w:tr>
      <w:tr w:rsidR="00212C12" w:rsidRPr="0051400E" w:rsidTr="00A4334A">
        <w:trPr>
          <w:trHeight w:val="23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626474">
              <w:rPr>
                <w:rFonts w:ascii="Arial" w:hAnsi="Arial"/>
                <w:i/>
                <w:color w:val="000000"/>
                <w:sz w:val="20"/>
                <w:szCs w:val="28"/>
              </w:rPr>
              <w:t>P</w:t>
            </w:r>
            <w:r w:rsidRPr="00626474">
              <w:rPr>
                <w:rFonts w:ascii="Arial" w:hAnsi="Arial"/>
                <w:color w:val="000000"/>
                <w:sz w:val="20"/>
                <w:szCs w:val="28"/>
              </w:rPr>
              <w:t xml:space="preserve"> = 0.014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CD8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perscript"/>
              </w:rPr>
              <w:t>+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</w:p>
        </w:tc>
      </w:tr>
      <w:tr w:rsidR="00212C12" w:rsidRPr="0051400E" w:rsidTr="00A4334A">
        <w:trPr>
          <w:trHeight w:val="23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82453F" w:rsidRDefault="00212C12" w:rsidP="00A4334A">
            <w:pPr>
              <w:spacing w:after="0" w:line="480" w:lineRule="auto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</w:p>
        </w:tc>
      </w:tr>
      <w:tr w:rsidR="00212C12" w:rsidRPr="0051400E" w:rsidTr="00A4334A">
        <w:trPr>
          <w:trHeight w:val="23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proofErr w:type="spellStart"/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-18 to -10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15.0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50.0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proofErr w:type="spellStart"/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proofErr w:type="spellEnd"/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-13 to -5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15.0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33.3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proofErr w:type="spellStart"/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proofErr w:type="spellEnd"/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-11 to -2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30.0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33.3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53-61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40.0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50.0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95-103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35.0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58.3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153-161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30.0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58.3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lastRenderedPageBreak/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224-232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40.0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33.3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253-261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35.0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50.0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A63BED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</w:pPr>
            <w:r w:rsidRPr="0082453F">
              <w:rPr>
                <w:rFonts w:ascii="Arial" w:hAnsi="Arial"/>
                <w:b/>
                <w:color w:val="000000"/>
                <w:sz w:val="20"/>
                <w:szCs w:val="28"/>
              </w:rPr>
              <w:t>gD</w:t>
            </w:r>
            <w:r w:rsidRPr="0082453F">
              <w:rPr>
                <w:rFonts w:ascii="Arial" w:hAnsi="Arial"/>
                <w:b/>
                <w:color w:val="000000"/>
                <w:sz w:val="20"/>
                <w:szCs w:val="28"/>
                <w:vertAlign w:val="subscript"/>
              </w:rPr>
              <w:t>278-286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51400E">
              <w:rPr>
                <w:rFonts w:ascii="Arial" w:hAnsi="Arial"/>
                <w:color w:val="000000"/>
                <w:sz w:val="20"/>
                <w:szCs w:val="28"/>
              </w:rPr>
              <w:t>40.0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8"/>
              </w:rPr>
              <w:t>50.0</w:t>
            </w:r>
          </w:p>
        </w:tc>
      </w:tr>
      <w:tr w:rsidR="00212C12" w:rsidRPr="0051400E" w:rsidTr="00A4334A">
        <w:trPr>
          <w:trHeight w:val="263"/>
        </w:trPr>
        <w:tc>
          <w:tcPr>
            <w:tcW w:w="377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12C12" w:rsidRPr="0082453F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  <w:tc>
          <w:tcPr>
            <w:tcW w:w="5130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12C12" w:rsidRPr="0051400E" w:rsidRDefault="00212C12" w:rsidP="00A4334A">
            <w:pPr>
              <w:spacing w:after="0" w:line="480" w:lineRule="auto"/>
              <w:jc w:val="center"/>
              <w:outlineLvl w:val="0"/>
              <w:rPr>
                <w:rFonts w:ascii="Arial" w:hAnsi="Arial"/>
                <w:color w:val="000000"/>
                <w:sz w:val="20"/>
                <w:szCs w:val="28"/>
              </w:rPr>
            </w:pPr>
            <w:r w:rsidRPr="00F837AA">
              <w:rPr>
                <w:rFonts w:ascii="Arial" w:hAnsi="Arial"/>
                <w:i/>
                <w:color w:val="000000"/>
                <w:sz w:val="20"/>
                <w:szCs w:val="28"/>
              </w:rPr>
              <w:t>P</w:t>
            </w:r>
            <w:r w:rsidRPr="00F837AA">
              <w:rPr>
                <w:rFonts w:ascii="Arial" w:hAnsi="Arial"/>
                <w:color w:val="000000"/>
                <w:sz w:val="20"/>
                <w:szCs w:val="28"/>
              </w:rPr>
              <w:t xml:space="preserve"> = 0.</w:t>
            </w:r>
            <w:r>
              <w:rPr>
                <w:rFonts w:ascii="Arial" w:hAnsi="Arial"/>
                <w:color w:val="000000"/>
                <w:sz w:val="20"/>
                <w:szCs w:val="28"/>
              </w:rPr>
              <w:t>029</w:t>
            </w:r>
          </w:p>
        </w:tc>
      </w:tr>
    </w:tbl>
    <w:p w:rsidR="00212C12" w:rsidRPr="00D75A45" w:rsidRDefault="00212C12" w:rsidP="00212C12">
      <w:pPr>
        <w:spacing w:after="0" w:line="480" w:lineRule="auto"/>
        <w:jc w:val="both"/>
        <w:rPr>
          <w:rFonts w:ascii="Arial" w:hAnsi="Arial"/>
          <w:sz w:val="20"/>
        </w:rPr>
      </w:pPr>
      <w:proofErr w:type="spellStart"/>
      <w:proofErr w:type="gramStart"/>
      <w:r w:rsidRPr="00D75A45">
        <w:rPr>
          <w:rFonts w:ascii="Arial" w:hAnsi="Arial"/>
          <w:sz w:val="20"/>
        </w:rPr>
        <w:t>gD</w:t>
      </w:r>
      <w:proofErr w:type="spellEnd"/>
      <w:proofErr w:type="gramEnd"/>
      <w:r w:rsidRPr="00D75A45">
        <w:rPr>
          <w:rFonts w:ascii="Arial" w:hAnsi="Arial"/>
          <w:sz w:val="20"/>
        </w:rPr>
        <w:t xml:space="preserve">, </w:t>
      </w:r>
      <w:proofErr w:type="spellStart"/>
      <w:r w:rsidRPr="00D75A45">
        <w:rPr>
          <w:rFonts w:ascii="Arial" w:hAnsi="Arial"/>
          <w:sz w:val="20"/>
        </w:rPr>
        <w:t>glycoprotein</w:t>
      </w:r>
      <w:proofErr w:type="spellEnd"/>
      <w:r w:rsidRPr="00D75A45">
        <w:rPr>
          <w:rFonts w:ascii="Arial" w:hAnsi="Arial"/>
          <w:sz w:val="20"/>
        </w:rPr>
        <w:t xml:space="preserve"> D</w:t>
      </w:r>
    </w:p>
    <w:p w:rsidR="00AF36F5" w:rsidRDefault="00AF36F5"/>
    <w:sectPr w:rsidR="00AF36F5" w:rsidSect="00F610F6">
      <w:footerReference w:type="even" r:id="rId4"/>
      <w:footerReference w:type="default" r:id="rId5"/>
      <w:pgSz w:w="11900" w:h="16840"/>
      <w:pgMar w:top="1418" w:right="1418" w:bottom="1418" w:left="1418" w:header="709" w:footer="709" w:gutter="0"/>
      <w:lnNumType w:countBy="1" w:restart="continuous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F6" w:rsidRDefault="00212C12" w:rsidP="00F61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F610F6" w:rsidRDefault="00212C12" w:rsidP="00F610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F6" w:rsidRDefault="00212C12" w:rsidP="00F61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10F6" w:rsidRDefault="00212C12" w:rsidP="00F610F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2C12"/>
    <w:rsid w:val="00212C12"/>
    <w:rsid w:val="00A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12"/>
    <w:pPr>
      <w:spacing w:line="240" w:lineRule="auto"/>
    </w:pPr>
    <w:rPr>
      <w:rFonts w:ascii="Cambria" w:eastAsia="Times New Roman" w:hAnsi="Cambria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nhideWhenUsed/>
    <w:rsid w:val="00212C1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C12"/>
    <w:rPr>
      <w:rFonts w:ascii="Cambria" w:eastAsia="Times New Roman" w:hAnsi="Cambria" w:cs="Times New Roman"/>
      <w:sz w:val="24"/>
      <w:szCs w:val="24"/>
      <w:lang w:val="fr-FR"/>
    </w:rPr>
  </w:style>
  <w:style w:type="character" w:customStyle="1" w:styleId="FooterChar1">
    <w:name w:val="Footer Char1"/>
    <w:basedOn w:val="DefaultParagraphFont"/>
    <w:link w:val="Footer"/>
    <w:rsid w:val="00212C12"/>
    <w:rPr>
      <w:rFonts w:ascii="Cambria" w:eastAsia="Times New Roman" w:hAnsi="Cambria" w:cs="Times New Roman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12C12"/>
  </w:style>
  <w:style w:type="character" w:styleId="LineNumber">
    <w:name w:val="line number"/>
    <w:basedOn w:val="DefaultParagraphFont"/>
    <w:uiPriority w:val="99"/>
    <w:semiHidden/>
    <w:unhideWhenUsed/>
    <w:rsid w:val="00212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>Wolters Kluwer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2011-05-20T18:22:00Z</dcterms:created>
  <dcterms:modified xsi:type="dcterms:W3CDTF">2011-05-20T18:23:00Z</dcterms:modified>
</cp:coreProperties>
</file>