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70" w:rsidRPr="004B60F2" w:rsidRDefault="00543E2E">
      <w:pPr>
        <w:rPr>
          <w:rFonts w:ascii="Times New Roman" w:hAnsi="Times New Roman" w:cs="Times New Roman"/>
        </w:rPr>
      </w:pPr>
      <w:r>
        <w:rPr>
          <w:rFonts w:ascii="Times New Roman" w:hAnsi="Times New Roman" w:cs="Times New Roman"/>
        </w:rPr>
        <w:t>Supplement</w:t>
      </w:r>
    </w:p>
    <w:p w:rsidR="00FC361C" w:rsidRPr="004B60F2" w:rsidRDefault="00FC361C" w:rsidP="00FC361C">
      <w:pPr>
        <w:rPr>
          <w:rFonts w:ascii="Times New Roman" w:hAnsi="Times New Roman" w:cs="Times New Roman"/>
          <w:bCs/>
          <w:lang w:val="en-GB"/>
        </w:rPr>
      </w:pPr>
      <w:r w:rsidRPr="004B60F2">
        <w:rPr>
          <w:rFonts w:ascii="Times New Roman" w:hAnsi="Times New Roman" w:cs="Times New Roman"/>
          <w:bCs/>
          <w:lang w:val="en-GB"/>
        </w:rPr>
        <w:t>Figure (Supplement</w:t>
      </w:r>
      <w:r w:rsidR="004B60F2" w:rsidRPr="004B60F2">
        <w:rPr>
          <w:rFonts w:ascii="Times New Roman" w:hAnsi="Times New Roman" w:cs="Times New Roman"/>
          <w:bCs/>
          <w:lang w:val="en-GB"/>
        </w:rPr>
        <w:t>-</w:t>
      </w:r>
      <w:r w:rsidRPr="004B60F2">
        <w:rPr>
          <w:rFonts w:ascii="Times New Roman" w:hAnsi="Times New Roman" w:cs="Times New Roman"/>
          <w:bCs/>
          <w:lang w:val="en-GB"/>
        </w:rPr>
        <w:t>A). Number of clinics that integrated per month across the study period (n=131)</w:t>
      </w:r>
    </w:p>
    <w:p w:rsidR="00FC361C" w:rsidRPr="00BA03B2" w:rsidRDefault="00FC361C" w:rsidP="00FC361C">
      <w:pPr>
        <w:rPr>
          <w:lang w:val="en-GB"/>
        </w:rPr>
      </w:pPr>
      <w:r w:rsidRPr="00BA03B2">
        <w:rPr>
          <w:noProof/>
        </w:rPr>
        <w:drawing>
          <wp:inline distT="0" distB="0" distL="0" distR="0" wp14:anchorId="185A69EB" wp14:editId="5F9E2A5F">
            <wp:extent cx="5686425" cy="38576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B60F2" w:rsidRDefault="004B60F2">
      <w:pPr>
        <w:rPr>
          <w:rFonts w:ascii="Times New Roman" w:hAnsi="Times New Roman" w:cs="Times New Roman"/>
          <w:bCs/>
          <w:lang w:val="en-GB"/>
        </w:rPr>
      </w:pPr>
      <w:r>
        <w:rPr>
          <w:rFonts w:ascii="Times New Roman" w:hAnsi="Times New Roman" w:cs="Times New Roman"/>
          <w:bCs/>
          <w:lang w:val="en-GB"/>
        </w:rPr>
        <w:br w:type="page"/>
      </w:r>
    </w:p>
    <w:p w:rsidR="00FC361C" w:rsidRPr="004B60F2" w:rsidRDefault="00FC361C" w:rsidP="00FC361C">
      <w:pPr>
        <w:rPr>
          <w:rFonts w:ascii="Times New Roman" w:hAnsi="Times New Roman" w:cs="Times New Roman"/>
          <w:bCs/>
          <w:lang w:val="en-GB"/>
        </w:rPr>
      </w:pPr>
      <w:r w:rsidRPr="004B60F2">
        <w:rPr>
          <w:rFonts w:ascii="Times New Roman" w:hAnsi="Times New Roman" w:cs="Times New Roman"/>
          <w:bCs/>
          <w:lang w:val="en-GB"/>
        </w:rPr>
        <w:lastRenderedPageBreak/>
        <w:t xml:space="preserve">Figure </w:t>
      </w:r>
      <w:r w:rsidR="004B60F2" w:rsidRPr="004B60F2">
        <w:rPr>
          <w:rFonts w:ascii="Times New Roman" w:hAnsi="Times New Roman" w:cs="Times New Roman"/>
          <w:bCs/>
          <w:lang w:val="en-GB"/>
        </w:rPr>
        <w:t>Supplement-B</w:t>
      </w:r>
      <w:r w:rsidRPr="004B60F2">
        <w:rPr>
          <w:rFonts w:ascii="Times New Roman" w:hAnsi="Times New Roman" w:cs="Times New Roman"/>
          <w:bCs/>
          <w:lang w:val="en-GB"/>
        </w:rPr>
        <w:t>. Number of HIV patients on antiretroviral therapy (ART) in primary health care clinics (2009-13)</w:t>
      </w:r>
    </w:p>
    <w:p w:rsidR="00FC361C" w:rsidRPr="00BA03B2" w:rsidRDefault="00FC361C" w:rsidP="00FC361C">
      <w:pPr>
        <w:rPr>
          <w:lang w:val="en-GB"/>
        </w:rPr>
      </w:pPr>
      <w:r w:rsidRPr="00BA03B2">
        <w:rPr>
          <w:noProof/>
        </w:rPr>
        <w:drawing>
          <wp:inline distT="0" distB="0" distL="0" distR="0" wp14:anchorId="2576C367" wp14:editId="5832FAB7">
            <wp:extent cx="5731510" cy="48564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856480"/>
                    </a:xfrm>
                    <a:prstGeom prst="rect">
                      <a:avLst/>
                    </a:prstGeom>
                  </pic:spPr>
                </pic:pic>
              </a:graphicData>
            </a:graphic>
          </wp:inline>
        </w:drawing>
      </w:r>
    </w:p>
    <w:p w:rsidR="004B60F2" w:rsidRDefault="004B60F2">
      <w:pPr>
        <w:rPr>
          <w:rFonts w:ascii="Times New Roman" w:hAnsi="Times New Roman"/>
          <w:sz w:val="24"/>
          <w:szCs w:val="24"/>
        </w:rPr>
      </w:pPr>
      <w:r>
        <w:rPr>
          <w:rFonts w:ascii="Times New Roman" w:hAnsi="Times New Roman"/>
          <w:sz w:val="24"/>
          <w:szCs w:val="24"/>
        </w:rPr>
        <w:br w:type="page"/>
      </w:r>
    </w:p>
    <w:p w:rsidR="004B60F2" w:rsidRDefault="004B60F2" w:rsidP="004B60F2">
      <w:pPr>
        <w:rPr>
          <w:rFonts w:ascii="Times New Roman" w:hAnsi="Times New Roman"/>
          <w:b/>
          <w:sz w:val="24"/>
          <w:szCs w:val="24"/>
        </w:rPr>
      </w:pPr>
      <w:bookmarkStart w:id="0" w:name="_GoBack"/>
      <w:bookmarkEnd w:id="0"/>
      <w:r w:rsidRPr="00E675AF">
        <w:rPr>
          <w:rFonts w:ascii="Times New Roman" w:hAnsi="Times New Roman"/>
          <w:b/>
          <w:sz w:val="24"/>
          <w:szCs w:val="24"/>
        </w:rPr>
        <w:lastRenderedPageBreak/>
        <w:t>Details of</w:t>
      </w:r>
      <w:r w:rsidR="00FB3FAA">
        <w:rPr>
          <w:rFonts w:ascii="Times New Roman" w:hAnsi="Times New Roman"/>
          <w:b/>
          <w:sz w:val="24"/>
          <w:szCs w:val="24"/>
        </w:rPr>
        <w:t xml:space="preserve"> Data Sources, </w:t>
      </w:r>
      <w:r w:rsidR="00A934A7">
        <w:rPr>
          <w:rFonts w:ascii="Times New Roman" w:hAnsi="Times New Roman"/>
          <w:b/>
          <w:sz w:val="24"/>
          <w:szCs w:val="24"/>
        </w:rPr>
        <w:t>Management</w:t>
      </w:r>
      <w:r w:rsidR="00FB3FAA">
        <w:rPr>
          <w:rFonts w:ascii="Times New Roman" w:hAnsi="Times New Roman"/>
          <w:b/>
          <w:sz w:val="24"/>
          <w:szCs w:val="24"/>
        </w:rPr>
        <w:t xml:space="preserve"> and</w:t>
      </w:r>
      <w:r w:rsidRPr="00E675AF">
        <w:rPr>
          <w:rFonts w:ascii="Times New Roman" w:hAnsi="Times New Roman"/>
          <w:b/>
          <w:sz w:val="24"/>
          <w:szCs w:val="24"/>
        </w:rPr>
        <w:t xml:space="preserve"> Models Employed for Interrupted Time Series Analysis and Linear Mixed Effects Regressions</w:t>
      </w:r>
    </w:p>
    <w:p w:rsidR="00FB3FAA" w:rsidRDefault="00FB3FAA" w:rsidP="004B60F2">
      <w:pPr>
        <w:rPr>
          <w:rFonts w:ascii="Times New Roman" w:hAnsi="Times New Roman"/>
          <w:i/>
          <w:sz w:val="24"/>
          <w:szCs w:val="24"/>
        </w:rPr>
      </w:pPr>
      <w:r w:rsidRPr="00FB3FAA">
        <w:rPr>
          <w:rFonts w:ascii="Times New Roman" w:hAnsi="Times New Roman"/>
          <w:i/>
          <w:sz w:val="24"/>
          <w:szCs w:val="24"/>
        </w:rPr>
        <w:t>Data Sources</w:t>
      </w:r>
    </w:p>
    <w:p w:rsidR="00532756" w:rsidRPr="00532756" w:rsidRDefault="00532756" w:rsidP="00532756">
      <w:pPr>
        <w:rPr>
          <w:rFonts w:ascii="Times New Roman" w:hAnsi="Times New Roman"/>
          <w:sz w:val="24"/>
          <w:szCs w:val="24"/>
        </w:rPr>
      </w:pPr>
      <w:r w:rsidRPr="00532756">
        <w:rPr>
          <w:rFonts w:ascii="Times New Roman" w:hAnsi="Times New Roman"/>
          <w:sz w:val="24"/>
          <w:szCs w:val="24"/>
        </w:rPr>
        <w:t xml:space="preserve">“Population estimates were </w:t>
      </w:r>
      <w:proofErr w:type="spellStart"/>
      <w:r w:rsidRPr="00532756">
        <w:rPr>
          <w:rFonts w:ascii="Times New Roman" w:hAnsi="Times New Roman"/>
          <w:sz w:val="24"/>
          <w:szCs w:val="24"/>
        </w:rPr>
        <w:t>analysed</w:t>
      </w:r>
      <w:proofErr w:type="spellEnd"/>
      <w:r w:rsidRPr="00532756">
        <w:rPr>
          <w:rFonts w:ascii="Times New Roman" w:hAnsi="Times New Roman"/>
          <w:sz w:val="24"/>
          <w:szCs w:val="24"/>
        </w:rPr>
        <w:t xml:space="preserve"> from elements found in D</w:t>
      </w:r>
      <w:r w:rsidR="005629AD">
        <w:rPr>
          <w:rFonts w:ascii="Times New Roman" w:hAnsi="Times New Roman"/>
          <w:sz w:val="24"/>
          <w:szCs w:val="24"/>
        </w:rPr>
        <w:t xml:space="preserve">istrict Health Information Software </w:t>
      </w:r>
      <w:r w:rsidRPr="00532756">
        <w:rPr>
          <w:rFonts w:ascii="Times New Roman" w:hAnsi="Times New Roman"/>
          <w:sz w:val="24"/>
          <w:szCs w:val="24"/>
        </w:rPr>
        <w:t xml:space="preserve">and are based on demographic data collected by Statistics South Africa. This is the number of people aged 30 years and older who the government has designated to fall within the </w:t>
      </w:r>
      <w:r w:rsidR="00C90373">
        <w:rPr>
          <w:rFonts w:ascii="Times New Roman" w:hAnsi="Times New Roman"/>
          <w:sz w:val="24"/>
          <w:szCs w:val="24"/>
        </w:rPr>
        <w:t xml:space="preserve">clinic </w:t>
      </w:r>
      <w:r w:rsidRPr="00532756">
        <w:rPr>
          <w:rFonts w:ascii="Times New Roman" w:hAnsi="Times New Roman"/>
          <w:sz w:val="24"/>
          <w:szCs w:val="24"/>
        </w:rPr>
        <w:t xml:space="preserve">catchment population at mid-year. Mid-year estimates are calculated using a cohort based population projection accounting for annual changes in fertility, mortality and migration. For our study, the mid-level population estimate was divided by 12 months and used for a denominator of a calendar year. Therefore this reflects yearly changes in the population 30 years old and older. Detailed methodology on how mid-year population estimates are derived can be found at </w:t>
      </w:r>
      <w:hyperlink r:id="rId6" w:history="1">
        <w:r w:rsidRPr="00532756">
          <w:rPr>
            <w:rStyle w:val="Hyperlink"/>
            <w:rFonts w:ascii="Times New Roman" w:hAnsi="Times New Roman"/>
            <w:sz w:val="24"/>
            <w:szCs w:val="24"/>
          </w:rPr>
          <w:t>http://www.statssa.gov.za/publications/P0302/P03022017.pdf</w:t>
        </w:r>
      </w:hyperlink>
      <w:r w:rsidRPr="00532756">
        <w:rPr>
          <w:rFonts w:ascii="Times New Roman" w:hAnsi="Times New Roman"/>
          <w:sz w:val="24"/>
          <w:szCs w:val="24"/>
        </w:rPr>
        <w:t>.</w:t>
      </w:r>
    </w:p>
    <w:p w:rsidR="00532756" w:rsidRPr="00532756" w:rsidRDefault="00532756" w:rsidP="00532756">
      <w:pPr>
        <w:rPr>
          <w:rFonts w:ascii="Times New Roman" w:hAnsi="Times New Roman"/>
          <w:sz w:val="24"/>
          <w:szCs w:val="24"/>
        </w:rPr>
      </w:pPr>
      <w:r w:rsidRPr="00532756">
        <w:rPr>
          <w:rFonts w:ascii="Times New Roman" w:hAnsi="Times New Roman"/>
          <w:sz w:val="24"/>
          <w:szCs w:val="24"/>
        </w:rPr>
        <w:t>The clinic level denominators were calculated by a variable in the DHIS dataset called “PHC Headcount”. It is defined in the DHIS system as “All individual patients attending the facility during the reporting period (usually month) for Primary Health Care. Each patient is counted once for each day they appear at the facility, regardless of the number of services”. This data was available for those over 5 years old and those under 5 years old. Because we were interested in Diabetes Mellitus and Hypertension for this study which typically manifest in adulthood, we chose to examine the indicator over 5 years old.”</w:t>
      </w:r>
    </w:p>
    <w:p w:rsidR="00FB3FAA" w:rsidRDefault="00FB3FAA" w:rsidP="004B60F2">
      <w:pPr>
        <w:rPr>
          <w:rFonts w:ascii="Times New Roman" w:hAnsi="Times New Roman"/>
          <w:i/>
          <w:sz w:val="24"/>
          <w:szCs w:val="24"/>
        </w:rPr>
      </w:pPr>
      <w:r w:rsidRPr="00FB3FAA">
        <w:rPr>
          <w:rFonts w:ascii="Times New Roman" w:hAnsi="Times New Roman"/>
          <w:i/>
          <w:sz w:val="24"/>
          <w:szCs w:val="24"/>
        </w:rPr>
        <w:t xml:space="preserve">Data </w:t>
      </w:r>
      <w:r w:rsidR="00A934A7">
        <w:rPr>
          <w:rFonts w:ascii="Times New Roman" w:hAnsi="Times New Roman"/>
          <w:i/>
          <w:sz w:val="24"/>
          <w:szCs w:val="24"/>
        </w:rPr>
        <w:t>Management</w:t>
      </w:r>
    </w:p>
    <w:p w:rsidR="00A934A7" w:rsidRPr="00E44FF0" w:rsidRDefault="00A934A7" w:rsidP="004B60F2">
      <w:pPr>
        <w:rPr>
          <w:rFonts w:ascii="Times New Roman" w:hAnsi="Times New Roman"/>
          <w:sz w:val="24"/>
          <w:szCs w:val="24"/>
        </w:rPr>
      </w:pPr>
      <w:r w:rsidRPr="00A934A7">
        <w:rPr>
          <w:rFonts w:ascii="Times New Roman" w:hAnsi="Times New Roman"/>
          <w:sz w:val="24"/>
          <w:szCs w:val="24"/>
        </w:rPr>
        <w:t>Outlier detection was done using inter quartile range (IQR) where the difference of the 3rd quartile and the 1st quartile of data was measured. In cases that IQR = 0, we set IQR = 0.1. Values that are larger than the 3rd quartile plus 3*IQR or smaller than the 1st quartile minus 3*IQR are considered as outliers for clinic level indicators. For New Diabetics on treatment per PHC headcount under</w:t>
      </w:r>
      <w:r w:rsidR="00532756">
        <w:rPr>
          <w:rFonts w:ascii="Times New Roman" w:hAnsi="Times New Roman"/>
          <w:sz w:val="24"/>
          <w:szCs w:val="24"/>
        </w:rPr>
        <w:t xml:space="preserve"> 5 years old (clinic level),</w:t>
      </w:r>
      <w:r w:rsidRPr="00A934A7">
        <w:rPr>
          <w:rFonts w:ascii="Times New Roman" w:hAnsi="Times New Roman"/>
          <w:sz w:val="24"/>
          <w:szCs w:val="24"/>
        </w:rPr>
        <w:t xml:space="preserve"> 79/4585 (1.7%) data points were identified as outliers. For New hypertension patients on treatment per PHC headcount under</w:t>
      </w:r>
      <w:r w:rsidR="00532756">
        <w:rPr>
          <w:rFonts w:ascii="Times New Roman" w:hAnsi="Times New Roman"/>
          <w:sz w:val="24"/>
          <w:szCs w:val="24"/>
        </w:rPr>
        <w:t xml:space="preserve"> 5 years old (clinic level),</w:t>
      </w:r>
      <w:r w:rsidRPr="00A934A7">
        <w:rPr>
          <w:rFonts w:ascii="Times New Roman" w:hAnsi="Times New Roman"/>
          <w:sz w:val="24"/>
          <w:szCs w:val="24"/>
        </w:rPr>
        <w:t xml:space="preserve"> 112/6288 (1.8%) outliers were detected. For population level indicators, New Diabetic on treatment (population level), values larger than 0</w:t>
      </w:r>
      <w:r w:rsidR="00532756">
        <w:rPr>
          <w:rFonts w:ascii="Times New Roman" w:hAnsi="Times New Roman"/>
          <w:sz w:val="24"/>
          <w:szCs w:val="24"/>
        </w:rPr>
        <w:t>.03 are marked as outliers. A total of 19/4585 (0.4</w:t>
      </w:r>
      <w:r w:rsidRPr="00A934A7">
        <w:rPr>
          <w:rFonts w:ascii="Times New Roman" w:hAnsi="Times New Roman"/>
          <w:sz w:val="24"/>
          <w:szCs w:val="24"/>
        </w:rPr>
        <w:t>%) values were identified as outliers for this variable. For New hypertensive patients on treatment (population level), values larger than 0.1 are marked as outliers which resulted in 19/6288 (0.3%) values were identified as outliers. Identified outliers were removed</w:t>
      </w:r>
      <w:r>
        <w:rPr>
          <w:rFonts w:ascii="Times New Roman" w:hAnsi="Times New Roman"/>
          <w:sz w:val="24"/>
          <w:szCs w:val="24"/>
        </w:rPr>
        <w:t xml:space="preserve"> prior to analysis.</w:t>
      </w:r>
    </w:p>
    <w:p w:rsidR="00FB3FAA" w:rsidRPr="00FB3FAA" w:rsidRDefault="00FB3FAA" w:rsidP="004B60F2">
      <w:pPr>
        <w:rPr>
          <w:rFonts w:ascii="Times New Roman" w:hAnsi="Times New Roman"/>
          <w:i/>
          <w:sz w:val="24"/>
          <w:szCs w:val="24"/>
        </w:rPr>
      </w:pPr>
      <w:r w:rsidRPr="00FB3FAA">
        <w:rPr>
          <w:rFonts w:ascii="Times New Roman" w:hAnsi="Times New Roman"/>
          <w:i/>
          <w:sz w:val="24"/>
          <w:szCs w:val="24"/>
        </w:rPr>
        <w:t>Models</w:t>
      </w:r>
    </w:p>
    <w:p w:rsidR="004B60F2" w:rsidRPr="004B60F2" w:rsidRDefault="004B60F2" w:rsidP="004B60F2">
      <w:pPr>
        <w:rPr>
          <w:rFonts w:ascii="Times New Roman" w:hAnsi="Times New Roman"/>
          <w:sz w:val="24"/>
          <w:szCs w:val="24"/>
        </w:rPr>
      </w:pPr>
      <w:r w:rsidRPr="004B60F2">
        <w:rPr>
          <w:rFonts w:ascii="Times New Roman" w:hAnsi="Times New Roman"/>
          <w:sz w:val="24"/>
          <w:szCs w:val="24"/>
        </w:rPr>
        <w:t>For each clinic the month and year of integration was coded as 0, with months leading up to the integration coded sequentially negative for each month before integration (i.e. -1 for the month preceding integration, -2 for 2 month preceding integration, etc.) and months post-integration were coded sequentially in the positive direction (i.e. 1 for the month directly after integration, 2 for 2 months after integration, etc.). We identified first level-autocorrelation using the Durbin-</w:t>
      </w:r>
      <w:r w:rsidRPr="004B60F2">
        <w:rPr>
          <w:rFonts w:ascii="Times New Roman" w:hAnsi="Times New Roman"/>
          <w:sz w:val="24"/>
          <w:szCs w:val="24"/>
        </w:rPr>
        <w:lastRenderedPageBreak/>
        <w:t xml:space="preserve">Watson test. Where auto-correlation was identified, the </w:t>
      </w:r>
      <w:proofErr w:type="spellStart"/>
      <w:r w:rsidRPr="004B60F2">
        <w:rPr>
          <w:rFonts w:ascii="Times New Roman" w:hAnsi="Times New Roman"/>
          <w:sz w:val="24"/>
          <w:szCs w:val="24"/>
        </w:rPr>
        <w:t>Prais-Winsten</w:t>
      </w:r>
      <w:proofErr w:type="spellEnd"/>
      <w:r w:rsidRPr="004B60F2">
        <w:rPr>
          <w:rFonts w:ascii="Times New Roman" w:hAnsi="Times New Roman"/>
          <w:sz w:val="24"/>
          <w:szCs w:val="24"/>
        </w:rPr>
        <w:t xml:space="preserve"> method was used as a </w:t>
      </w:r>
      <w:proofErr w:type="spellStart"/>
      <w:r w:rsidRPr="004B60F2">
        <w:rPr>
          <w:rFonts w:ascii="Times New Roman" w:hAnsi="Times New Roman"/>
          <w:sz w:val="24"/>
          <w:szCs w:val="24"/>
        </w:rPr>
        <w:t>generalised</w:t>
      </w:r>
      <w:proofErr w:type="spellEnd"/>
      <w:r w:rsidRPr="004B60F2">
        <w:rPr>
          <w:rFonts w:ascii="Times New Roman" w:hAnsi="Times New Roman"/>
          <w:sz w:val="24"/>
          <w:szCs w:val="24"/>
        </w:rPr>
        <w:t xml:space="preserve"> least squares estimator to estimate the regression.</w:t>
      </w:r>
    </w:p>
    <w:p w:rsidR="004B60F2" w:rsidRPr="004B60F2" w:rsidRDefault="004B60F2" w:rsidP="004B60F2">
      <w:pPr>
        <w:spacing w:line="360" w:lineRule="auto"/>
        <w:rPr>
          <w:rFonts w:ascii="Times New Roman" w:eastAsia="Calibri" w:hAnsi="Times New Roman" w:cs="Times New Roman"/>
          <w:sz w:val="24"/>
          <w:szCs w:val="24"/>
          <w:lang w:val="en-GB"/>
        </w:rPr>
      </w:pPr>
      <w:r w:rsidRPr="004B60F2">
        <w:rPr>
          <w:rFonts w:ascii="Times New Roman" w:eastAsia="Calibri" w:hAnsi="Times New Roman" w:cs="Times New Roman"/>
          <w:sz w:val="24"/>
          <w:szCs w:val="24"/>
          <w:lang w:val="en-GB"/>
        </w:rPr>
        <w:t xml:space="preserve">Trends for each non-communicable disease indicator of each facility were fitted to a trend using the following equation: </w:t>
      </w:r>
    </w:p>
    <w:p w:rsidR="004B60F2" w:rsidRPr="004B60F2" w:rsidRDefault="007B64ED" w:rsidP="004B60F2">
      <w:pPr>
        <w:spacing w:line="360" w:lineRule="auto"/>
        <w:rPr>
          <w:rFonts w:ascii="Times New Roman" w:eastAsia="Calibri" w:hAnsi="Times New Roman"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 xml:space="preserve"> Y</m:t>
            </m:r>
          </m:e>
          <m:sub>
            <m:r>
              <w:rPr>
                <w:rFonts w:ascii="Cambria Math" w:eastAsia="Calibri" w:hAnsi="Cambria Math" w:cs="Times New Roman"/>
                <w:sz w:val="24"/>
                <w:szCs w:val="24"/>
                <w:lang w:val="en-GB"/>
              </w:rPr>
              <m:t>it</m:t>
            </m:r>
          </m:sub>
        </m:sSub>
        <m:r>
          <w:rPr>
            <w:rFonts w:ascii="Cambria Math" w:eastAsia="Calibri" w:hAnsi="Cambria Math" w:cs="Times New Roman"/>
            <w:sz w:val="24"/>
            <w:szCs w:val="24"/>
            <w:lang w:val="en-GB"/>
          </w:rPr>
          <m:t xml:space="preserve">=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o</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time</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integration</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3</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postslope</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+Facility+</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Month</m:t>
            </m:r>
          </m:e>
          <m:sub>
            <m:r>
              <w:rPr>
                <w:rFonts w:ascii="Cambria Math" w:eastAsia="Calibri" w:hAnsi="Cambria Math" w:cs="Times New Roman"/>
                <w:sz w:val="24"/>
                <w:szCs w:val="24"/>
                <w:lang w:val="en-GB"/>
              </w:rPr>
              <m:t>ij</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mbria Math" w:cs="Times New Roman"/>
                <w:sz w:val="24"/>
                <w:szCs w:val="24"/>
                <w:lang w:val="en-GB"/>
              </w:rPr>
              <m:t>it</m:t>
            </m:r>
          </m:sub>
        </m:sSub>
      </m:oMath>
      <w:r w:rsidR="004B60F2" w:rsidRPr="004B60F2">
        <w:rPr>
          <w:rFonts w:ascii="Times New Roman" w:eastAsia="Calibri" w:hAnsi="Times New Roman" w:cs="Times New Roman"/>
          <w:sz w:val="24"/>
          <w:szCs w:val="24"/>
          <w:lang w:val="en-GB"/>
        </w:rPr>
        <w:t xml:space="preserve"> </w:t>
      </w:r>
    </w:p>
    <w:p w:rsidR="004B60F2" w:rsidRPr="004B60F2" w:rsidRDefault="004B60F2" w:rsidP="004B60F2">
      <w:pPr>
        <w:spacing w:line="360" w:lineRule="auto"/>
        <w:rPr>
          <w:rFonts w:ascii="Times New Roman" w:eastAsia="Calibri" w:hAnsi="Times New Roman" w:cs="Times New Roman"/>
          <w:sz w:val="24"/>
          <w:szCs w:val="24"/>
          <w:lang w:val="en-GB"/>
        </w:rPr>
      </w:pPr>
      <w:r w:rsidRPr="004B60F2">
        <w:rPr>
          <w:rFonts w:ascii="Times New Roman" w:eastAsia="Calibri" w:hAnsi="Times New Roman" w:cs="Times New Roman"/>
          <w:sz w:val="24"/>
          <w:szCs w:val="24"/>
          <w:lang w:val="en-GB"/>
        </w:rPr>
        <w:t>The second model that measured the effect of HIV patients initiated on ART on PHC indicators is as follows:</w:t>
      </w:r>
    </w:p>
    <w:p w:rsidR="004B60F2" w:rsidRPr="004B60F2" w:rsidRDefault="004B60F2" w:rsidP="004B60F2">
      <w:pPr>
        <w:spacing w:line="360" w:lineRule="auto"/>
        <w:rPr>
          <w:rFonts w:ascii="Times New Roman" w:eastAsia="Calibri" w:hAnsi="Times New Roman" w:cs="Times New Roman"/>
          <w:sz w:val="24"/>
          <w:szCs w:val="24"/>
          <w:lang w:val="en-GB"/>
        </w:rPr>
      </w:pPr>
      <w:r w:rsidRPr="004B60F2">
        <w:rPr>
          <w:rFonts w:ascii="Times New Roman" w:eastAsia="Calibri" w:hAnsi="Times New Roman" w:cs="Times New Roman"/>
          <w:sz w:val="24"/>
          <w:szCs w:val="24"/>
          <w:lang w:val="en-GB"/>
        </w:rPr>
        <w:t xml:space="preserve"> </w:t>
      </w:r>
      <m:oMath>
        <m:sSub>
          <m:sSubPr>
            <m:ctrlPr>
              <w:rPr>
                <w:rFonts w:ascii="Cambria Math" w:eastAsia="Calibri" w:hAnsi="Cambria Math" w:cs="Times New Roman"/>
                <w:i/>
                <w:sz w:val="24"/>
                <w:szCs w:val="24"/>
                <w:lang w:val="en-GB"/>
              </w:rPr>
            </m:ctrlPr>
          </m:sSubPr>
          <m:e>
            <m:eqArr>
              <m:eqArrPr>
                <m:ctrlPr>
                  <w:rPr>
                    <w:rFonts w:ascii="Cambria Math" w:eastAsia="Calibri" w:hAnsi="Cambria Math" w:cs="Times New Roman"/>
                    <w:i/>
                    <w:sz w:val="24"/>
                    <w:szCs w:val="24"/>
                    <w:lang w:val="en-GB"/>
                  </w:rPr>
                </m:ctrlPr>
              </m:eqArrPr>
              <m:e>
                <m:r>
                  <w:rPr>
                    <w:rFonts w:ascii="Cambria Math" w:eastAsia="Calibri" w:hAnsi="Cambria Math" w:cs="Times New Roman"/>
                    <w:sz w:val="24"/>
                    <w:szCs w:val="24"/>
                    <w:lang w:val="en-GB"/>
                  </w:rPr>
                  <m:t xml:space="preserve"> </m:t>
                </m:r>
              </m:e>
              <m:e>
                <m:r>
                  <w:rPr>
                    <w:rFonts w:ascii="Cambria Math" w:eastAsia="Calibri" w:hAnsi="Cambria Math" w:cs="Times New Roman"/>
                    <w:sz w:val="24"/>
                    <w:szCs w:val="24"/>
                    <w:lang w:val="en-GB"/>
                  </w:rPr>
                  <m:t>Y</m:t>
                </m:r>
              </m:e>
            </m:eqArr>
          </m:e>
          <m:sub>
            <m:r>
              <w:rPr>
                <w:rFonts w:ascii="Cambria Math" w:eastAsia="Calibri" w:hAnsi="Cambria Math" w:cs="Times New Roman"/>
                <w:sz w:val="24"/>
                <w:szCs w:val="24"/>
                <w:lang w:val="en-GB"/>
              </w:rPr>
              <m:t>it</m:t>
            </m:r>
          </m:sub>
        </m:sSub>
        <m:r>
          <w:rPr>
            <w:rFonts w:ascii="Cambria Math" w:eastAsia="Calibri" w:hAnsi="Cambria Math" w:cs="Times New Roman"/>
            <w:sz w:val="24"/>
            <w:szCs w:val="24"/>
            <w:lang w:val="en-GB"/>
          </w:rPr>
          <m:t xml:space="preserve">=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o</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time</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integration</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3</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postslope</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4</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ART new initiations</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+Facility+</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Month</m:t>
            </m:r>
          </m:e>
          <m:sub>
            <m:r>
              <w:rPr>
                <w:rFonts w:ascii="Cambria Math" w:eastAsia="Calibri" w:hAnsi="Cambria Math" w:cs="Times New Roman"/>
                <w:sz w:val="24"/>
                <w:szCs w:val="24"/>
                <w:lang w:val="en-GB"/>
              </w:rPr>
              <m:t>ij</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mbria Math" w:cs="Times New Roman"/>
                <w:sz w:val="24"/>
                <w:szCs w:val="24"/>
                <w:lang w:val="en-GB"/>
              </w:rPr>
              <m:t>it</m:t>
            </m:r>
          </m:sub>
        </m:sSub>
      </m:oMath>
      <w:r w:rsidRPr="004B60F2">
        <w:rPr>
          <w:rFonts w:ascii="Times New Roman" w:eastAsia="Calibri" w:hAnsi="Times New Roman" w:cs="Times New Roman"/>
          <w:sz w:val="24"/>
          <w:szCs w:val="24"/>
          <w:lang w:val="en-GB"/>
        </w:rPr>
        <w:t xml:space="preserve">. </w:t>
      </w:r>
    </w:p>
    <w:p w:rsidR="004B60F2" w:rsidRPr="004B60F2" w:rsidRDefault="004B60F2" w:rsidP="004B60F2">
      <w:pPr>
        <w:spacing w:line="360" w:lineRule="auto"/>
        <w:rPr>
          <w:rFonts w:ascii="Times New Roman" w:eastAsia="Calibri" w:hAnsi="Times New Roman" w:cs="Times New Roman"/>
          <w:sz w:val="24"/>
          <w:szCs w:val="24"/>
          <w:lang w:val="en-GB"/>
        </w:rPr>
      </w:pPr>
      <w:r w:rsidRPr="004B60F2">
        <w:rPr>
          <w:rFonts w:ascii="Times New Roman" w:eastAsia="Calibri" w:hAnsi="Times New Roman" w:cs="Times New Roman"/>
          <w:sz w:val="24"/>
          <w:szCs w:val="24"/>
          <w:lang w:val="en-GB"/>
        </w:rPr>
        <w:t>The third model that measured for the effect of ART patients remaining in care on PHC indicators is as follows:</w:t>
      </w:r>
    </w:p>
    <w:p w:rsidR="004B60F2" w:rsidRPr="004B60F2" w:rsidRDefault="007B64ED" w:rsidP="004B60F2">
      <w:pPr>
        <w:spacing w:line="360" w:lineRule="auto"/>
        <w:rPr>
          <w:rFonts w:ascii="Times New Roman" w:eastAsia="Calibri" w:hAnsi="Times New Roman" w:cs="Times New Roman"/>
          <w:sz w:val="24"/>
          <w:szCs w:val="24"/>
          <w:lang w:val="en-GB"/>
        </w:rPr>
      </w:pPr>
      <m:oMath>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 xml:space="preserve"> Y</m:t>
            </m:r>
          </m:e>
          <m:sub>
            <m:r>
              <w:rPr>
                <w:rFonts w:ascii="Cambria Math" w:eastAsia="Calibri" w:hAnsi="Cambria Math" w:cs="Times New Roman"/>
                <w:sz w:val="24"/>
                <w:szCs w:val="24"/>
                <w:lang w:val="en-GB"/>
              </w:rPr>
              <m:t>it</m:t>
            </m:r>
          </m:sub>
        </m:sSub>
        <m:r>
          <w:rPr>
            <w:rFonts w:ascii="Cambria Math" w:eastAsia="Calibri" w:hAnsi="Cambria Math" w:cs="Times New Roman"/>
            <w:sz w:val="24"/>
            <w:szCs w:val="24"/>
            <w:lang w:val="en-GB"/>
          </w:rPr>
          <m:t xml:space="preserve">= </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o</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time</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2</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integration</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3</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postslope</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β</m:t>
            </m:r>
          </m:e>
          <m:sub>
            <m:r>
              <w:rPr>
                <w:rFonts w:ascii="Cambria Math" w:eastAsia="Calibri" w:hAnsi="Cambria Math" w:cs="Times New Roman"/>
                <w:sz w:val="24"/>
                <w:szCs w:val="24"/>
                <w:lang w:val="en-GB"/>
              </w:rPr>
              <m:t>4</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ART patients remaining in care</m:t>
            </m:r>
          </m:e>
          <m:sub>
            <m:r>
              <w:rPr>
                <w:rFonts w:ascii="Cambria Math" w:eastAsia="Calibri" w:hAnsi="Cambria Math" w:cs="Times New Roman"/>
                <w:sz w:val="24"/>
                <w:szCs w:val="24"/>
                <w:lang w:val="en-GB"/>
              </w:rPr>
              <m:t>t</m:t>
            </m:r>
          </m:sub>
        </m:sSub>
        <m:r>
          <w:rPr>
            <w:rFonts w:ascii="Cambria Math" w:eastAsia="Calibri" w:hAnsi="Cambria Math" w:cs="Times New Roman"/>
            <w:sz w:val="24"/>
            <w:szCs w:val="24"/>
            <w:lang w:val="en-GB"/>
          </w:rPr>
          <m:t>+Facility+</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Month</m:t>
            </m:r>
          </m:e>
          <m:sub>
            <m:r>
              <w:rPr>
                <w:rFonts w:ascii="Cambria Math" w:eastAsia="Calibri" w:hAnsi="Cambria Math" w:cs="Times New Roman"/>
                <w:sz w:val="24"/>
                <w:szCs w:val="24"/>
                <w:lang w:val="en-GB"/>
              </w:rPr>
              <m:t>ij</m:t>
            </m:r>
          </m:sub>
        </m:sSub>
        <m:r>
          <w:rPr>
            <w:rFonts w:ascii="Cambria Math" w:eastAsia="Calibri" w:hAnsi="Cambria Math" w:cs="Times New Roman"/>
            <w:sz w:val="24"/>
            <w:szCs w:val="24"/>
            <w:lang w:val="en-GB"/>
          </w:rPr>
          <m:t>+</m:t>
        </m:r>
        <m:sSub>
          <m:sSubPr>
            <m:ctrlPr>
              <w:rPr>
                <w:rFonts w:ascii="Cambria Math" w:eastAsia="Calibri" w:hAnsi="Cambria Math" w:cs="Times New Roman"/>
                <w:i/>
                <w:sz w:val="24"/>
                <w:szCs w:val="24"/>
                <w:lang w:val="en-GB"/>
              </w:rPr>
            </m:ctrlPr>
          </m:sSubPr>
          <m:e>
            <m:r>
              <w:rPr>
                <w:rFonts w:ascii="Cambria Math" w:eastAsia="Calibri" w:hAnsi="Cambria Math" w:cs="Times New Roman"/>
                <w:sz w:val="24"/>
                <w:szCs w:val="24"/>
                <w:lang w:val="en-GB"/>
              </w:rPr>
              <m:t>ε</m:t>
            </m:r>
          </m:e>
          <m:sub>
            <m:r>
              <w:rPr>
                <w:rFonts w:ascii="Cambria Math" w:eastAsia="Calibri" w:hAnsi="Cambria Math" w:cs="Times New Roman"/>
                <w:sz w:val="24"/>
                <w:szCs w:val="24"/>
                <w:lang w:val="en-GB"/>
              </w:rPr>
              <m:t>it</m:t>
            </m:r>
          </m:sub>
        </m:sSub>
      </m:oMath>
      <w:r w:rsidR="004B60F2" w:rsidRPr="004B60F2">
        <w:rPr>
          <w:rFonts w:ascii="Times New Roman" w:eastAsia="Calibri" w:hAnsi="Times New Roman" w:cs="Times New Roman"/>
          <w:sz w:val="24"/>
          <w:szCs w:val="24"/>
          <w:lang w:val="en-GB"/>
        </w:rPr>
        <w:t xml:space="preserve">. </w:t>
      </w:r>
    </w:p>
    <w:p w:rsidR="004B60F2" w:rsidRPr="004B60F2" w:rsidRDefault="004B60F2" w:rsidP="004B60F2"/>
    <w:p w:rsidR="004A31EE" w:rsidRDefault="004A31EE"/>
    <w:p w:rsidR="004A31EE" w:rsidRDefault="004A31EE"/>
    <w:p w:rsidR="004A31EE" w:rsidRDefault="004A31EE"/>
    <w:p w:rsidR="004A31EE" w:rsidRDefault="004A31EE"/>
    <w:p w:rsidR="004A31EE" w:rsidRDefault="004A31EE"/>
    <w:p w:rsidR="004A31EE" w:rsidRDefault="004A31EE"/>
    <w:p w:rsidR="004A31EE" w:rsidRDefault="004A31EE"/>
    <w:p w:rsidR="004A31EE" w:rsidRDefault="004A31EE"/>
    <w:p w:rsidR="004A31EE" w:rsidRDefault="004A31EE"/>
    <w:p w:rsidR="004A31EE" w:rsidRDefault="004A31EE"/>
    <w:p w:rsidR="004A31EE" w:rsidRDefault="004A31EE"/>
    <w:p w:rsidR="004A31EE" w:rsidRDefault="004A31EE"/>
    <w:p w:rsidR="004A31EE" w:rsidRDefault="004A31EE"/>
    <w:p w:rsidR="004A31EE" w:rsidRPr="007E2546" w:rsidRDefault="007C0056" w:rsidP="004A31EE">
      <w:pPr>
        <w:spacing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Supplement Table 1</w:t>
      </w:r>
      <w:r w:rsidR="004A31EE" w:rsidRPr="007E2546">
        <w:rPr>
          <w:rFonts w:ascii="Times New Roman" w:hAnsi="Times New Roman" w:cs="Times New Roman"/>
          <w:sz w:val="24"/>
          <w:szCs w:val="24"/>
        </w:rPr>
        <w:t xml:space="preserve">. </w:t>
      </w:r>
      <w:r>
        <w:rPr>
          <w:rFonts w:ascii="Times New Roman" w:hAnsi="Times New Roman" w:cs="Times New Roman"/>
          <w:sz w:val="24"/>
          <w:szCs w:val="24"/>
        </w:rPr>
        <w:t>Summary of characteristics of</w:t>
      </w:r>
      <w:r w:rsidR="006846EE">
        <w:rPr>
          <w:rFonts w:ascii="Times New Roman" w:hAnsi="Times New Roman" w:cs="Times New Roman"/>
          <w:sz w:val="24"/>
          <w:szCs w:val="24"/>
        </w:rPr>
        <w:t xml:space="preserve"> </w:t>
      </w:r>
      <w:r w:rsidR="006846EE" w:rsidRPr="006846EE">
        <w:rPr>
          <w:rFonts w:ascii="Times New Roman" w:hAnsi="Times New Roman" w:cs="Times New Roman"/>
          <w:sz w:val="24"/>
          <w:szCs w:val="24"/>
        </w:rPr>
        <w:t>primary health care</w:t>
      </w:r>
      <w:r>
        <w:rPr>
          <w:rFonts w:ascii="Times New Roman" w:hAnsi="Times New Roman" w:cs="Times New Roman"/>
          <w:sz w:val="24"/>
          <w:szCs w:val="24"/>
        </w:rPr>
        <w:t xml:space="preserve"> clinics included in the study (n=131)</w:t>
      </w:r>
      <w:r w:rsidR="004A31EE" w:rsidRPr="007E2546">
        <w:rPr>
          <w:rFonts w:ascii="Times New Roman" w:hAnsi="Times New Roman" w:cs="Times New Roman"/>
          <w:sz w:val="24"/>
          <w:szCs w:val="24"/>
        </w:rPr>
        <w:t xml:space="preserve"> </w:t>
      </w:r>
    </w:p>
    <w:p w:rsidR="004A31EE" w:rsidRDefault="004A31EE"/>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663"/>
        <w:gridCol w:w="663"/>
        <w:gridCol w:w="663"/>
        <w:gridCol w:w="716"/>
      </w:tblGrid>
      <w:tr w:rsidR="004A31EE" w:rsidRPr="004A31EE" w:rsidTr="00E23794">
        <w:trPr>
          <w:trHeight w:val="290"/>
        </w:trPr>
        <w:tc>
          <w:tcPr>
            <w:tcW w:w="2060" w:type="dxa"/>
            <w:shd w:val="clear" w:color="DDEBF7" w:fill="DDEBF7"/>
            <w:noWrap/>
            <w:vAlign w:val="bottom"/>
            <w:hideMark/>
          </w:tcPr>
          <w:p w:rsidR="004A31EE" w:rsidRPr="004A31EE" w:rsidRDefault="004A31EE" w:rsidP="004A31EE">
            <w:pPr>
              <w:rPr>
                <w:b/>
                <w:bCs/>
              </w:rPr>
            </w:pPr>
          </w:p>
        </w:tc>
        <w:tc>
          <w:tcPr>
            <w:tcW w:w="2705" w:type="dxa"/>
            <w:gridSpan w:val="4"/>
            <w:shd w:val="clear" w:color="DDEBF7" w:fill="DDEBF7"/>
            <w:noWrap/>
            <w:vAlign w:val="bottom"/>
            <w:hideMark/>
          </w:tcPr>
          <w:p w:rsidR="004A31EE" w:rsidRPr="004A31EE" w:rsidRDefault="004A31EE" w:rsidP="004A31EE">
            <w:r w:rsidRPr="004A31EE">
              <w:rPr>
                <w:b/>
                <w:bCs/>
              </w:rPr>
              <w:t>Year of Integration</w:t>
            </w:r>
          </w:p>
        </w:tc>
      </w:tr>
      <w:tr w:rsidR="004A31EE" w:rsidRPr="004A31EE" w:rsidTr="00E23794">
        <w:trPr>
          <w:trHeight w:val="290"/>
        </w:trPr>
        <w:tc>
          <w:tcPr>
            <w:tcW w:w="2060" w:type="dxa"/>
            <w:shd w:val="clear" w:color="DDEBF7" w:fill="DDEBF7"/>
            <w:noWrap/>
            <w:vAlign w:val="bottom"/>
            <w:hideMark/>
          </w:tcPr>
          <w:p w:rsidR="004A31EE" w:rsidRPr="004A31EE" w:rsidRDefault="004A31EE" w:rsidP="004A31EE">
            <w:pPr>
              <w:rPr>
                <w:b/>
                <w:bCs/>
              </w:rPr>
            </w:pPr>
          </w:p>
        </w:tc>
        <w:tc>
          <w:tcPr>
            <w:tcW w:w="663" w:type="dxa"/>
            <w:shd w:val="clear" w:color="DDEBF7" w:fill="DDEBF7"/>
            <w:noWrap/>
            <w:vAlign w:val="bottom"/>
            <w:hideMark/>
          </w:tcPr>
          <w:p w:rsidR="004A31EE" w:rsidRPr="004A31EE" w:rsidRDefault="004A31EE" w:rsidP="004A31EE">
            <w:pPr>
              <w:rPr>
                <w:b/>
                <w:bCs/>
              </w:rPr>
            </w:pPr>
            <w:r w:rsidRPr="004A31EE">
              <w:rPr>
                <w:b/>
                <w:bCs/>
              </w:rPr>
              <w:t>2010</w:t>
            </w:r>
          </w:p>
        </w:tc>
        <w:tc>
          <w:tcPr>
            <w:tcW w:w="663" w:type="dxa"/>
            <w:shd w:val="clear" w:color="DDEBF7" w:fill="DDEBF7"/>
            <w:noWrap/>
            <w:vAlign w:val="bottom"/>
            <w:hideMark/>
          </w:tcPr>
          <w:p w:rsidR="004A31EE" w:rsidRPr="004A31EE" w:rsidRDefault="004A31EE" w:rsidP="004A31EE">
            <w:pPr>
              <w:rPr>
                <w:b/>
                <w:bCs/>
              </w:rPr>
            </w:pPr>
            <w:r w:rsidRPr="004A31EE">
              <w:rPr>
                <w:b/>
                <w:bCs/>
              </w:rPr>
              <w:t>2011</w:t>
            </w:r>
          </w:p>
        </w:tc>
        <w:tc>
          <w:tcPr>
            <w:tcW w:w="663" w:type="dxa"/>
            <w:shd w:val="clear" w:color="DDEBF7" w:fill="DDEBF7"/>
            <w:noWrap/>
            <w:vAlign w:val="bottom"/>
            <w:hideMark/>
          </w:tcPr>
          <w:p w:rsidR="004A31EE" w:rsidRPr="004A31EE" w:rsidRDefault="004A31EE" w:rsidP="004A31EE">
            <w:pPr>
              <w:rPr>
                <w:b/>
                <w:bCs/>
              </w:rPr>
            </w:pPr>
            <w:r w:rsidRPr="004A31EE">
              <w:rPr>
                <w:b/>
                <w:bCs/>
              </w:rPr>
              <w:t>2012</w:t>
            </w:r>
          </w:p>
        </w:tc>
        <w:tc>
          <w:tcPr>
            <w:tcW w:w="716" w:type="dxa"/>
            <w:shd w:val="clear" w:color="DDEBF7" w:fill="DDEBF7"/>
            <w:noWrap/>
            <w:vAlign w:val="bottom"/>
            <w:hideMark/>
          </w:tcPr>
          <w:p w:rsidR="004A31EE" w:rsidRPr="004A31EE" w:rsidRDefault="004A31EE" w:rsidP="004A31EE">
            <w:pPr>
              <w:rPr>
                <w:b/>
                <w:bCs/>
              </w:rPr>
            </w:pPr>
            <w:r w:rsidRPr="004A31EE">
              <w:rPr>
                <w:b/>
                <w:bCs/>
              </w:rPr>
              <w:t>Total</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pPr>
              <w:rPr>
                <w:b/>
                <w:bCs/>
              </w:rPr>
            </w:pPr>
            <w:r w:rsidRPr="004A31EE">
              <w:rPr>
                <w:b/>
                <w:bCs/>
              </w:rPr>
              <w:t>Former Homeland</w:t>
            </w:r>
          </w:p>
        </w:tc>
        <w:tc>
          <w:tcPr>
            <w:tcW w:w="663" w:type="dxa"/>
            <w:shd w:val="clear" w:color="auto" w:fill="auto"/>
            <w:noWrap/>
            <w:vAlign w:val="bottom"/>
            <w:hideMark/>
          </w:tcPr>
          <w:p w:rsidR="004A31EE" w:rsidRPr="004A31EE" w:rsidRDefault="004A31EE" w:rsidP="004A31EE">
            <w:pPr>
              <w:rPr>
                <w:b/>
                <w:bCs/>
              </w:rPr>
            </w:pPr>
            <w:r w:rsidRPr="004A31EE">
              <w:rPr>
                <w:b/>
                <w:bCs/>
              </w:rPr>
              <w:t>1</w:t>
            </w:r>
          </w:p>
        </w:tc>
        <w:tc>
          <w:tcPr>
            <w:tcW w:w="663" w:type="dxa"/>
            <w:shd w:val="clear" w:color="auto" w:fill="auto"/>
            <w:noWrap/>
            <w:vAlign w:val="bottom"/>
            <w:hideMark/>
          </w:tcPr>
          <w:p w:rsidR="004A31EE" w:rsidRPr="004A31EE" w:rsidRDefault="004A31EE" w:rsidP="004A31EE">
            <w:pPr>
              <w:rPr>
                <w:b/>
                <w:bCs/>
              </w:rPr>
            </w:pPr>
            <w:r w:rsidRPr="004A31EE">
              <w:rPr>
                <w:b/>
                <w:bCs/>
              </w:rPr>
              <w:t>7</w:t>
            </w:r>
          </w:p>
        </w:tc>
        <w:tc>
          <w:tcPr>
            <w:tcW w:w="663" w:type="dxa"/>
            <w:shd w:val="clear" w:color="auto" w:fill="auto"/>
            <w:noWrap/>
            <w:vAlign w:val="bottom"/>
            <w:hideMark/>
          </w:tcPr>
          <w:p w:rsidR="004A31EE" w:rsidRPr="004A31EE" w:rsidRDefault="004A31EE" w:rsidP="004A31EE">
            <w:pPr>
              <w:rPr>
                <w:b/>
                <w:bCs/>
              </w:rPr>
            </w:pPr>
            <w:r w:rsidRPr="004A31EE">
              <w:rPr>
                <w:b/>
                <w:bCs/>
              </w:rPr>
              <w:t>22</w:t>
            </w:r>
          </w:p>
        </w:tc>
        <w:tc>
          <w:tcPr>
            <w:tcW w:w="716" w:type="dxa"/>
            <w:shd w:val="clear" w:color="auto" w:fill="auto"/>
            <w:noWrap/>
            <w:vAlign w:val="bottom"/>
            <w:hideMark/>
          </w:tcPr>
          <w:p w:rsidR="004A31EE" w:rsidRPr="004A31EE" w:rsidRDefault="004A31EE" w:rsidP="004A31EE">
            <w:pPr>
              <w:rPr>
                <w:b/>
                <w:bCs/>
              </w:rPr>
            </w:pPr>
            <w:r w:rsidRPr="004A31EE">
              <w:rPr>
                <w:b/>
                <w:bCs/>
              </w:rPr>
              <w:t>30</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Large</w:t>
            </w:r>
          </w:p>
        </w:tc>
        <w:tc>
          <w:tcPr>
            <w:tcW w:w="663" w:type="dxa"/>
            <w:shd w:val="clear" w:color="auto" w:fill="auto"/>
            <w:noWrap/>
            <w:vAlign w:val="bottom"/>
            <w:hideMark/>
          </w:tcPr>
          <w:p w:rsidR="004A31EE" w:rsidRPr="004A31EE" w:rsidRDefault="004A31EE" w:rsidP="004A31EE">
            <w:r w:rsidRPr="004A31EE">
              <w:t>1</w:t>
            </w:r>
          </w:p>
        </w:tc>
        <w:tc>
          <w:tcPr>
            <w:tcW w:w="663" w:type="dxa"/>
            <w:shd w:val="clear" w:color="auto" w:fill="auto"/>
            <w:noWrap/>
            <w:vAlign w:val="bottom"/>
            <w:hideMark/>
          </w:tcPr>
          <w:p w:rsidR="004A31EE" w:rsidRPr="004A31EE" w:rsidRDefault="004A31EE" w:rsidP="004A31EE">
            <w:r w:rsidRPr="004A31EE">
              <w:t>5</w:t>
            </w:r>
          </w:p>
        </w:tc>
        <w:tc>
          <w:tcPr>
            <w:tcW w:w="663" w:type="dxa"/>
            <w:shd w:val="clear" w:color="auto" w:fill="auto"/>
            <w:noWrap/>
            <w:vAlign w:val="bottom"/>
            <w:hideMark/>
          </w:tcPr>
          <w:p w:rsidR="004A31EE" w:rsidRPr="004A31EE" w:rsidRDefault="004A31EE" w:rsidP="004A31EE">
            <w:r w:rsidRPr="004A31EE">
              <w:t>4</w:t>
            </w:r>
          </w:p>
        </w:tc>
        <w:tc>
          <w:tcPr>
            <w:tcW w:w="716" w:type="dxa"/>
            <w:shd w:val="clear" w:color="auto" w:fill="auto"/>
            <w:noWrap/>
            <w:vAlign w:val="bottom"/>
            <w:hideMark/>
          </w:tcPr>
          <w:p w:rsidR="004A31EE" w:rsidRPr="004A31EE" w:rsidRDefault="004A31EE" w:rsidP="004A31EE">
            <w:r w:rsidRPr="004A31EE">
              <w:t>10</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 xml:space="preserve">Medium </w:t>
            </w:r>
          </w:p>
        </w:tc>
        <w:tc>
          <w:tcPr>
            <w:tcW w:w="663" w:type="dxa"/>
            <w:shd w:val="clear" w:color="auto" w:fill="auto"/>
            <w:noWrap/>
            <w:vAlign w:val="bottom"/>
            <w:hideMark/>
          </w:tcPr>
          <w:p w:rsidR="004A31EE" w:rsidRPr="004A31EE" w:rsidRDefault="004A31EE" w:rsidP="004A31EE"/>
        </w:tc>
        <w:tc>
          <w:tcPr>
            <w:tcW w:w="663" w:type="dxa"/>
            <w:shd w:val="clear" w:color="auto" w:fill="auto"/>
            <w:noWrap/>
            <w:vAlign w:val="bottom"/>
            <w:hideMark/>
          </w:tcPr>
          <w:p w:rsidR="004A31EE" w:rsidRPr="004A31EE" w:rsidRDefault="004A31EE" w:rsidP="004A31EE">
            <w:r w:rsidRPr="004A31EE">
              <w:t>2</w:t>
            </w:r>
          </w:p>
        </w:tc>
        <w:tc>
          <w:tcPr>
            <w:tcW w:w="663" w:type="dxa"/>
            <w:shd w:val="clear" w:color="auto" w:fill="auto"/>
            <w:noWrap/>
            <w:vAlign w:val="bottom"/>
            <w:hideMark/>
          </w:tcPr>
          <w:p w:rsidR="004A31EE" w:rsidRPr="004A31EE" w:rsidRDefault="004A31EE" w:rsidP="004A31EE">
            <w:r w:rsidRPr="004A31EE">
              <w:t>8</w:t>
            </w:r>
          </w:p>
        </w:tc>
        <w:tc>
          <w:tcPr>
            <w:tcW w:w="716" w:type="dxa"/>
            <w:shd w:val="clear" w:color="auto" w:fill="auto"/>
            <w:noWrap/>
            <w:vAlign w:val="bottom"/>
            <w:hideMark/>
          </w:tcPr>
          <w:p w:rsidR="004A31EE" w:rsidRPr="004A31EE" w:rsidRDefault="004A31EE" w:rsidP="004A31EE">
            <w:r w:rsidRPr="004A31EE">
              <w:t>10</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Small</w:t>
            </w:r>
          </w:p>
        </w:tc>
        <w:tc>
          <w:tcPr>
            <w:tcW w:w="663" w:type="dxa"/>
            <w:shd w:val="clear" w:color="auto" w:fill="auto"/>
            <w:noWrap/>
            <w:vAlign w:val="bottom"/>
            <w:hideMark/>
          </w:tcPr>
          <w:p w:rsidR="004A31EE" w:rsidRPr="004A31EE" w:rsidRDefault="004A31EE" w:rsidP="004A31EE"/>
        </w:tc>
        <w:tc>
          <w:tcPr>
            <w:tcW w:w="663" w:type="dxa"/>
            <w:shd w:val="clear" w:color="auto" w:fill="auto"/>
            <w:noWrap/>
            <w:vAlign w:val="bottom"/>
            <w:hideMark/>
          </w:tcPr>
          <w:p w:rsidR="004A31EE" w:rsidRPr="004A31EE" w:rsidRDefault="004A31EE" w:rsidP="004A31EE"/>
        </w:tc>
        <w:tc>
          <w:tcPr>
            <w:tcW w:w="663" w:type="dxa"/>
            <w:shd w:val="clear" w:color="auto" w:fill="auto"/>
            <w:noWrap/>
            <w:vAlign w:val="bottom"/>
            <w:hideMark/>
          </w:tcPr>
          <w:p w:rsidR="004A31EE" w:rsidRPr="004A31EE" w:rsidRDefault="004A31EE" w:rsidP="004A31EE">
            <w:r w:rsidRPr="004A31EE">
              <w:t>10</w:t>
            </w:r>
          </w:p>
        </w:tc>
        <w:tc>
          <w:tcPr>
            <w:tcW w:w="716" w:type="dxa"/>
            <w:shd w:val="clear" w:color="auto" w:fill="auto"/>
            <w:noWrap/>
            <w:vAlign w:val="bottom"/>
            <w:hideMark/>
          </w:tcPr>
          <w:p w:rsidR="004A31EE" w:rsidRPr="004A31EE" w:rsidRDefault="004A31EE" w:rsidP="004A31EE">
            <w:r w:rsidRPr="004A31EE">
              <w:t>10</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pPr>
              <w:rPr>
                <w:b/>
                <w:bCs/>
              </w:rPr>
            </w:pPr>
            <w:r w:rsidRPr="004A31EE">
              <w:rPr>
                <w:b/>
                <w:bCs/>
              </w:rPr>
              <w:t>Rural</w:t>
            </w:r>
          </w:p>
        </w:tc>
        <w:tc>
          <w:tcPr>
            <w:tcW w:w="663" w:type="dxa"/>
            <w:shd w:val="clear" w:color="auto" w:fill="auto"/>
            <w:noWrap/>
            <w:vAlign w:val="bottom"/>
            <w:hideMark/>
          </w:tcPr>
          <w:p w:rsidR="004A31EE" w:rsidRPr="004A31EE" w:rsidRDefault="004A31EE" w:rsidP="004A31EE">
            <w:pPr>
              <w:rPr>
                <w:b/>
                <w:bCs/>
              </w:rPr>
            </w:pPr>
            <w:r w:rsidRPr="004A31EE">
              <w:rPr>
                <w:b/>
                <w:bCs/>
              </w:rPr>
              <w:t>16</w:t>
            </w:r>
          </w:p>
        </w:tc>
        <w:tc>
          <w:tcPr>
            <w:tcW w:w="663" w:type="dxa"/>
            <w:shd w:val="clear" w:color="auto" w:fill="auto"/>
            <w:noWrap/>
            <w:vAlign w:val="bottom"/>
            <w:hideMark/>
          </w:tcPr>
          <w:p w:rsidR="004A31EE" w:rsidRPr="004A31EE" w:rsidRDefault="004A31EE" w:rsidP="004A31EE">
            <w:pPr>
              <w:rPr>
                <w:b/>
                <w:bCs/>
              </w:rPr>
            </w:pPr>
            <w:r w:rsidRPr="004A31EE">
              <w:rPr>
                <w:b/>
                <w:bCs/>
              </w:rPr>
              <w:t>32</w:t>
            </w:r>
          </w:p>
        </w:tc>
        <w:tc>
          <w:tcPr>
            <w:tcW w:w="663" w:type="dxa"/>
            <w:shd w:val="clear" w:color="auto" w:fill="auto"/>
            <w:noWrap/>
            <w:vAlign w:val="bottom"/>
            <w:hideMark/>
          </w:tcPr>
          <w:p w:rsidR="004A31EE" w:rsidRPr="004A31EE" w:rsidRDefault="004A31EE" w:rsidP="004A31EE">
            <w:pPr>
              <w:rPr>
                <w:b/>
                <w:bCs/>
              </w:rPr>
            </w:pPr>
            <w:r w:rsidRPr="004A31EE">
              <w:rPr>
                <w:b/>
                <w:bCs/>
              </w:rPr>
              <w:t>16</w:t>
            </w:r>
          </w:p>
        </w:tc>
        <w:tc>
          <w:tcPr>
            <w:tcW w:w="716" w:type="dxa"/>
            <w:shd w:val="clear" w:color="auto" w:fill="auto"/>
            <w:noWrap/>
            <w:vAlign w:val="bottom"/>
            <w:hideMark/>
          </w:tcPr>
          <w:p w:rsidR="004A31EE" w:rsidRPr="004A31EE" w:rsidRDefault="004A31EE" w:rsidP="004A31EE">
            <w:pPr>
              <w:rPr>
                <w:b/>
                <w:bCs/>
              </w:rPr>
            </w:pPr>
            <w:r w:rsidRPr="004A31EE">
              <w:rPr>
                <w:b/>
                <w:bCs/>
              </w:rPr>
              <w:t>64</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Large</w:t>
            </w:r>
          </w:p>
        </w:tc>
        <w:tc>
          <w:tcPr>
            <w:tcW w:w="663" w:type="dxa"/>
            <w:shd w:val="clear" w:color="auto" w:fill="auto"/>
            <w:noWrap/>
            <w:vAlign w:val="bottom"/>
            <w:hideMark/>
          </w:tcPr>
          <w:p w:rsidR="004A31EE" w:rsidRPr="004A31EE" w:rsidRDefault="004A31EE" w:rsidP="004A31EE">
            <w:r w:rsidRPr="004A31EE">
              <w:t>2</w:t>
            </w:r>
          </w:p>
        </w:tc>
        <w:tc>
          <w:tcPr>
            <w:tcW w:w="663" w:type="dxa"/>
            <w:shd w:val="clear" w:color="auto" w:fill="auto"/>
            <w:noWrap/>
            <w:vAlign w:val="bottom"/>
            <w:hideMark/>
          </w:tcPr>
          <w:p w:rsidR="004A31EE" w:rsidRPr="004A31EE" w:rsidRDefault="004A31EE" w:rsidP="004A31EE">
            <w:r w:rsidRPr="004A31EE">
              <w:t>3</w:t>
            </w:r>
          </w:p>
        </w:tc>
        <w:tc>
          <w:tcPr>
            <w:tcW w:w="663" w:type="dxa"/>
            <w:shd w:val="clear" w:color="auto" w:fill="auto"/>
            <w:noWrap/>
            <w:vAlign w:val="bottom"/>
            <w:hideMark/>
          </w:tcPr>
          <w:p w:rsidR="004A31EE" w:rsidRPr="004A31EE" w:rsidRDefault="004A31EE" w:rsidP="004A31EE"/>
        </w:tc>
        <w:tc>
          <w:tcPr>
            <w:tcW w:w="716" w:type="dxa"/>
            <w:shd w:val="clear" w:color="auto" w:fill="auto"/>
            <w:noWrap/>
            <w:vAlign w:val="bottom"/>
            <w:hideMark/>
          </w:tcPr>
          <w:p w:rsidR="004A31EE" w:rsidRPr="004A31EE" w:rsidRDefault="004A31EE" w:rsidP="004A31EE">
            <w:r w:rsidRPr="004A31EE">
              <w:t>5</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 xml:space="preserve">Medium </w:t>
            </w:r>
          </w:p>
        </w:tc>
        <w:tc>
          <w:tcPr>
            <w:tcW w:w="663" w:type="dxa"/>
            <w:shd w:val="clear" w:color="auto" w:fill="auto"/>
            <w:noWrap/>
            <w:vAlign w:val="bottom"/>
            <w:hideMark/>
          </w:tcPr>
          <w:p w:rsidR="004A31EE" w:rsidRPr="004A31EE" w:rsidRDefault="004A31EE" w:rsidP="004A31EE">
            <w:r w:rsidRPr="004A31EE">
              <w:t>5</w:t>
            </w:r>
          </w:p>
        </w:tc>
        <w:tc>
          <w:tcPr>
            <w:tcW w:w="663" w:type="dxa"/>
            <w:shd w:val="clear" w:color="auto" w:fill="auto"/>
            <w:noWrap/>
            <w:vAlign w:val="bottom"/>
            <w:hideMark/>
          </w:tcPr>
          <w:p w:rsidR="004A31EE" w:rsidRPr="004A31EE" w:rsidRDefault="004A31EE" w:rsidP="004A31EE">
            <w:r w:rsidRPr="004A31EE">
              <w:t>15</w:t>
            </w:r>
          </w:p>
        </w:tc>
        <w:tc>
          <w:tcPr>
            <w:tcW w:w="663" w:type="dxa"/>
            <w:shd w:val="clear" w:color="auto" w:fill="auto"/>
            <w:noWrap/>
            <w:vAlign w:val="bottom"/>
            <w:hideMark/>
          </w:tcPr>
          <w:p w:rsidR="004A31EE" w:rsidRPr="004A31EE" w:rsidRDefault="004A31EE" w:rsidP="004A31EE">
            <w:r w:rsidRPr="004A31EE">
              <w:t>6</w:t>
            </w:r>
          </w:p>
        </w:tc>
        <w:tc>
          <w:tcPr>
            <w:tcW w:w="716" w:type="dxa"/>
            <w:shd w:val="clear" w:color="auto" w:fill="auto"/>
            <w:noWrap/>
            <w:vAlign w:val="bottom"/>
            <w:hideMark/>
          </w:tcPr>
          <w:p w:rsidR="004A31EE" w:rsidRPr="004A31EE" w:rsidRDefault="004A31EE" w:rsidP="004A31EE">
            <w:r w:rsidRPr="004A31EE">
              <w:t>26</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Small</w:t>
            </w:r>
          </w:p>
        </w:tc>
        <w:tc>
          <w:tcPr>
            <w:tcW w:w="663" w:type="dxa"/>
            <w:shd w:val="clear" w:color="auto" w:fill="auto"/>
            <w:noWrap/>
            <w:vAlign w:val="bottom"/>
            <w:hideMark/>
          </w:tcPr>
          <w:p w:rsidR="004A31EE" w:rsidRPr="004A31EE" w:rsidRDefault="004A31EE" w:rsidP="004A31EE">
            <w:r w:rsidRPr="004A31EE">
              <w:t>9</w:t>
            </w:r>
          </w:p>
        </w:tc>
        <w:tc>
          <w:tcPr>
            <w:tcW w:w="663" w:type="dxa"/>
            <w:shd w:val="clear" w:color="auto" w:fill="auto"/>
            <w:noWrap/>
            <w:vAlign w:val="bottom"/>
            <w:hideMark/>
          </w:tcPr>
          <w:p w:rsidR="004A31EE" w:rsidRPr="004A31EE" w:rsidRDefault="004A31EE" w:rsidP="004A31EE">
            <w:r w:rsidRPr="004A31EE">
              <w:t>14</w:t>
            </w:r>
          </w:p>
        </w:tc>
        <w:tc>
          <w:tcPr>
            <w:tcW w:w="663" w:type="dxa"/>
            <w:shd w:val="clear" w:color="auto" w:fill="auto"/>
            <w:noWrap/>
            <w:vAlign w:val="bottom"/>
            <w:hideMark/>
          </w:tcPr>
          <w:p w:rsidR="004A31EE" w:rsidRPr="004A31EE" w:rsidRDefault="004A31EE" w:rsidP="004A31EE">
            <w:r w:rsidRPr="004A31EE">
              <w:t>10</w:t>
            </w:r>
          </w:p>
        </w:tc>
        <w:tc>
          <w:tcPr>
            <w:tcW w:w="716" w:type="dxa"/>
            <w:shd w:val="clear" w:color="auto" w:fill="auto"/>
            <w:noWrap/>
            <w:vAlign w:val="bottom"/>
            <w:hideMark/>
          </w:tcPr>
          <w:p w:rsidR="004A31EE" w:rsidRPr="004A31EE" w:rsidRDefault="004A31EE" w:rsidP="004A31EE">
            <w:r w:rsidRPr="004A31EE">
              <w:t>33</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pPr>
              <w:rPr>
                <w:b/>
                <w:bCs/>
              </w:rPr>
            </w:pPr>
            <w:r w:rsidRPr="004A31EE">
              <w:rPr>
                <w:b/>
                <w:bCs/>
              </w:rPr>
              <w:t>Urban</w:t>
            </w:r>
          </w:p>
        </w:tc>
        <w:tc>
          <w:tcPr>
            <w:tcW w:w="663" w:type="dxa"/>
            <w:shd w:val="clear" w:color="auto" w:fill="auto"/>
            <w:noWrap/>
            <w:vAlign w:val="bottom"/>
            <w:hideMark/>
          </w:tcPr>
          <w:p w:rsidR="004A31EE" w:rsidRPr="004A31EE" w:rsidRDefault="004A31EE" w:rsidP="004A31EE">
            <w:pPr>
              <w:rPr>
                <w:b/>
                <w:bCs/>
              </w:rPr>
            </w:pPr>
            <w:r w:rsidRPr="004A31EE">
              <w:rPr>
                <w:b/>
                <w:bCs/>
              </w:rPr>
              <w:t>9</w:t>
            </w:r>
          </w:p>
        </w:tc>
        <w:tc>
          <w:tcPr>
            <w:tcW w:w="663" w:type="dxa"/>
            <w:shd w:val="clear" w:color="auto" w:fill="auto"/>
            <w:noWrap/>
            <w:vAlign w:val="bottom"/>
            <w:hideMark/>
          </w:tcPr>
          <w:p w:rsidR="004A31EE" w:rsidRPr="004A31EE" w:rsidRDefault="004A31EE" w:rsidP="004A31EE">
            <w:pPr>
              <w:rPr>
                <w:b/>
                <w:bCs/>
              </w:rPr>
            </w:pPr>
            <w:r w:rsidRPr="004A31EE">
              <w:rPr>
                <w:b/>
                <w:bCs/>
              </w:rPr>
              <w:t>18</w:t>
            </w:r>
          </w:p>
        </w:tc>
        <w:tc>
          <w:tcPr>
            <w:tcW w:w="663" w:type="dxa"/>
            <w:shd w:val="clear" w:color="auto" w:fill="auto"/>
            <w:noWrap/>
            <w:vAlign w:val="bottom"/>
            <w:hideMark/>
          </w:tcPr>
          <w:p w:rsidR="004A31EE" w:rsidRPr="004A31EE" w:rsidRDefault="004A31EE" w:rsidP="004A31EE">
            <w:pPr>
              <w:rPr>
                <w:b/>
                <w:bCs/>
              </w:rPr>
            </w:pPr>
            <w:r w:rsidRPr="004A31EE">
              <w:rPr>
                <w:b/>
                <w:bCs/>
              </w:rPr>
              <w:t>10</w:t>
            </w:r>
          </w:p>
        </w:tc>
        <w:tc>
          <w:tcPr>
            <w:tcW w:w="716" w:type="dxa"/>
            <w:shd w:val="clear" w:color="auto" w:fill="auto"/>
            <w:noWrap/>
            <w:vAlign w:val="bottom"/>
            <w:hideMark/>
          </w:tcPr>
          <w:p w:rsidR="004A31EE" w:rsidRPr="004A31EE" w:rsidRDefault="004A31EE" w:rsidP="004A31EE">
            <w:pPr>
              <w:rPr>
                <w:b/>
                <w:bCs/>
              </w:rPr>
            </w:pPr>
            <w:r w:rsidRPr="004A31EE">
              <w:rPr>
                <w:b/>
                <w:bCs/>
              </w:rPr>
              <w:t>37</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Large</w:t>
            </w:r>
          </w:p>
        </w:tc>
        <w:tc>
          <w:tcPr>
            <w:tcW w:w="663" w:type="dxa"/>
            <w:shd w:val="clear" w:color="auto" w:fill="auto"/>
            <w:noWrap/>
            <w:vAlign w:val="bottom"/>
            <w:hideMark/>
          </w:tcPr>
          <w:p w:rsidR="004A31EE" w:rsidRPr="004A31EE" w:rsidRDefault="004A31EE" w:rsidP="004A31EE">
            <w:r w:rsidRPr="004A31EE">
              <w:t>5</w:t>
            </w:r>
          </w:p>
        </w:tc>
        <w:tc>
          <w:tcPr>
            <w:tcW w:w="663" w:type="dxa"/>
            <w:shd w:val="clear" w:color="auto" w:fill="auto"/>
            <w:noWrap/>
            <w:vAlign w:val="bottom"/>
            <w:hideMark/>
          </w:tcPr>
          <w:p w:rsidR="004A31EE" w:rsidRPr="004A31EE" w:rsidRDefault="004A31EE" w:rsidP="004A31EE">
            <w:r w:rsidRPr="004A31EE">
              <w:t>4</w:t>
            </w:r>
          </w:p>
        </w:tc>
        <w:tc>
          <w:tcPr>
            <w:tcW w:w="663" w:type="dxa"/>
            <w:shd w:val="clear" w:color="auto" w:fill="auto"/>
            <w:noWrap/>
            <w:vAlign w:val="bottom"/>
            <w:hideMark/>
          </w:tcPr>
          <w:p w:rsidR="004A31EE" w:rsidRPr="004A31EE" w:rsidRDefault="004A31EE" w:rsidP="004A31EE">
            <w:r w:rsidRPr="004A31EE">
              <w:t>3</w:t>
            </w:r>
          </w:p>
        </w:tc>
        <w:tc>
          <w:tcPr>
            <w:tcW w:w="716" w:type="dxa"/>
            <w:shd w:val="clear" w:color="auto" w:fill="auto"/>
            <w:noWrap/>
            <w:vAlign w:val="bottom"/>
            <w:hideMark/>
          </w:tcPr>
          <w:p w:rsidR="004A31EE" w:rsidRPr="004A31EE" w:rsidRDefault="004A31EE" w:rsidP="004A31EE">
            <w:r w:rsidRPr="004A31EE">
              <w:t>12</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 xml:space="preserve">Medium </w:t>
            </w:r>
          </w:p>
        </w:tc>
        <w:tc>
          <w:tcPr>
            <w:tcW w:w="663" w:type="dxa"/>
            <w:shd w:val="clear" w:color="auto" w:fill="auto"/>
            <w:noWrap/>
            <w:vAlign w:val="bottom"/>
            <w:hideMark/>
          </w:tcPr>
          <w:p w:rsidR="004A31EE" w:rsidRPr="004A31EE" w:rsidRDefault="004A31EE" w:rsidP="004A31EE">
            <w:r w:rsidRPr="004A31EE">
              <w:t>2</w:t>
            </w:r>
          </w:p>
        </w:tc>
        <w:tc>
          <w:tcPr>
            <w:tcW w:w="663" w:type="dxa"/>
            <w:shd w:val="clear" w:color="auto" w:fill="auto"/>
            <w:noWrap/>
            <w:vAlign w:val="bottom"/>
            <w:hideMark/>
          </w:tcPr>
          <w:p w:rsidR="004A31EE" w:rsidRPr="004A31EE" w:rsidRDefault="004A31EE" w:rsidP="004A31EE">
            <w:r w:rsidRPr="004A31EE">
              <w:t>12</w:t>
            </w:r>
          </w:p>
        </w:tc>
        <w:tc>
          <w:tcPr>
            <w:tcW w:w="663" w:type="dxa"/>
            <w:shd w:val="clear" w:color="auto" w:fill="auto"/>
            <w:noWrap/>
            <w:vAlign w:val="bottom"/>
            <w:hideMark/>
          </w:tcPr>
          <w:p w:rsidR="004A31EE" w:rsidRPr="004A31EE" w:rsidRDefault="004A31EE" w:rsidP="004A31EE">
            <w:r w:rsidRPr="004A31EE">
              <w:t>4</w:t>
            </w:r>
          </w:p>
        </w:tc>
        <w:tc>
          <w:tcPr>
            <w:tcW w:w="716" w:type="dxa"/>
            <w:shd w:val="clear" w:color="auto" w:fill="auto"/>
            <w:noWrap/>
            <w:vAlign w:val="bottom"/>
            <w:hideMark/>
          </w:tcPr>
          <w:p w:rsidR="004A31EE" w:rsidRPr="004A31EE" w:rsidRDefault="004A31EE" w:rsidP="004A31EE">
            <w:r w:rsidRPr="004A31EE">
              <w:t>18</w:t>
            </w:r>
          </w:p>
        </w:tc>
      </w:tr>
      <w:tr w:rsidR="004A31EE" w:rsidRPr="004A31EE" w:rsidTr="00E23794">
        <w:trPr>
          <w:trHeight w:val="290"/>
        </w:trPr>
        <w:tc>
          <w:tcPr>
            <w:tcW w:w="2060" w:type="dxa"/>
            <w:shd w:val="clear" w:color="auto" w:fill="auto"/>
            <w:noWrap/>
            <w:vAlign w:val="bottom"/>
            <w:hideMark/>
          </w:tcPr>
          <w:p w:rsidR="004A31EE" w:rsidRPr="004A31EE" w:rsidRDefault="004A31EE" w:rsidP="004A31EE">
            <w:r w:rsidRPr="004A31EE">
              <w:t>Small</w:t>
            </w:r>
          </w:p>
        </w:tc>
        <w:tc>
          <w:tcPr>
            <w:tcW w:w="663" w:type="dxa"/>
            <w:shd w:val="clear" w:color="auto" w:fill="auto"/>
            <w:noWrap/>
            <w:vAlign w:val="bottom"/>
            <w:hideMark/>
          </w:tcPr>
          <w:p w:rsidR="004A31EE" w:rsidRPr="004A31EE" w:rsidRDefault="004A31EE" w:rsidP="004A31EE">
            <w:r w:rsidRPr="004A31EE">
              <w:t>2</w:t>
            </w:r>
          </w:p>
        </w:tc>
        <w:tc>
          <w:tcPr>
            <w:tcW w:w="663" w:type="dxa"/>
            <w:shd w:val="clear" w:color="auto" w:fill="auto"/>
            <w:noWrap/>
            <w:vAlign w:val="bottom"/>
            <w:hideMark/>
          </w:tcPr>
          <w:p w:rsidR="004A31EE" w:rsidRPr="004A31EE" w:rsidRDefault="004A31EE" w:rsidP="004A31EE">
            <w:r w:rsidRPr="004A31EE">
              <w:t>2</w:t>
            </w:r>
          </w:p>
        </w:tc>
        <w:tc>
          <w:tcPr>
            <w:tcW w:w="663" w:type="dxa"/>
            <w:shd w:val="clear" w:color="auto" w:fill="auto"/>
            <w:noWrap/>
            <w:vAlign w:val="bottom"/>
            <w:hideMark/>
          </w:tcPr>
          <w:p w:rsidR="004A31EE" w:rsidRPr="004A31EE" w:rsidRDefault="004A31EE" w:rsidP="004A31EE">
            <w:r w:rsidRPr="004A31EE">
              <w:t>3</w:t>
            </w:r>
          </w:p>
        </w:tc>
        <w:tc>
          <w:tcPr>
            <w:tcW w:w="716" w:type="dxa"/>
            <w:shd w:val="clear" w:color="auto" w:fill="auto"/>
            <w:noWrap/>
            <w:vAlign w:val="bottom"/>
            <w:hideMark/>
          </w:tcPr>
          <w:p w:rsidR="004A31EE" w:rsidRPr="004A31EE" w:rsidRDefault="004A31EE" w:rsidP="004A31EE">
            <w:r w:rsidRPr="004A31EE">
              <w:t>7</w:t>
            </w:r>
          </w:p>
        </w:tc>
      </w:tr>
      <w:tr w:rsidR="004A31EE" w:rsidRPr="004A31EE" w:rsidTr="00E23794">
        <w:trPr>
          <w:trHeight w:val="290"/>
        </w:trPr>
        <w:tc>
          <w:tcPr>
            <w:tcW w:w="2060" w:type="dxa"/>
            <w:shd w:val="clear" w:color="DDEBF7" w:fill="DDEBF7"/>
            <w:noWrap/>
            <w:vAlign w:val="bottom"/>
            <w:hideMark/>
          </w:tcPr>
          <w:p w:rsidR="004A31EE" w:rsidRPr="004A31EE" w:rsidRDefault="004A31EE" w:rsidP="004A31EE">
            <w:pPr>
              <w:rPr>
                <w:b/>
                <w:bCs/>
              </w:rPr>
            </w:pPr>
            <w:r w:rsidRPr="004A31EE">
              <w:rPr>
                <w:b/>
                <w:bCs/>
              </w:rPr>
              <w:t>Total</w:t>
            </w:r>
          </w:p>
        </w:tc>
        <w:tc>
          <w:tcPr>
            <w:tcW w:w="663" w:type="dxa"/>
            <w:shd w:val="clear" w:color="DDEBF7" w:fill="DDEBF7"/>
            <w:noWrap/>
            <w:vAlign w:val="bottom"/>
            <w:hideMark/>
          </w:tcPr>
          <w:p w:rsidR="004A31EE" w:rsidRPr="004A31EE" w:rsidRDefault="004A31EE" w:rsidP="004A31EE">
            <w:pPr>
              <w:rPr>
                <w:b/>
                <w:bCs/>
              </w:rPr>
            </w:pPr>
            <w:r w:rsidRPr="004A31EE">
              <w:rPr>
                <w:b/>
                <w:bCs/>
              </w:rPr>
              <w:t>26</w:t>
            </w:r>
          </w:p>
        </w:tc>
        <w:tc>
          <w:tcPr>
            <w:tcW w:w="663" w:type="dxa"/>
            <w:shd w:val="clear" w:color="DDEBF7" w:fill="DDEBF7"/>
            <w:noWrap/>
            <w:vAlign w:val="bottom"/>
            <w:hideMark/>
          </w:tcPr>
          <w:p w:rsidR="004A31EE" w:rsidRPr="004A31EE" w:rsidRDefault="004A31EE" w:rsidP="004A31EE">
            <w:pPr>
              <w:rPr>
                <w:b/>
                <w:bCs/>
              </w:rPr>
            </w:pPr>
            <w:r w:rsidRPr="004A31EE">
              <w:rPr>
                <w:b/>
                <w:bCs/>
              </w:rPr>
              <w:t>57</w:t>
            </w:r>
          </w:p>
        </w:tc>
        <w:tc>
          <w:tcPr>
            <w:tcW w:w="663" w:type="dxa"/>
            <w:shd w:val="clear" w:color="DDEBF7" w:fill="DDEBF7"/>
            <w:noWrap/>
            <w:vAlign w:val="bottom"/>
            <w:hideMark/>
          </w:tcPr>
          <w:p w:rsidR="004A31EE" w:rsidRPr="004A31EE" w:rsidRDefault="004A31EE" w:rsidP="004A31EE">
            <w:pPr>
              <w:rPr>
                <w:b/>
                <w:bCs/>
              </w:rPr>
            </w:pPr>
            <w:r w:rsidRPr="004A31EE">
              <w:rPr>
                <w:b/>
                <w:bCs/>
              </w:rPr>
              <w:t>48</w:t>
            </w:r>
          </w:p>
        </w:tc>
        <w:tc>
          <w:tcPr>
            <w:tcW w:w="716" w:type="dxa"/>
            <w:shd w:val="clear" w:color="DDEBF7" w:fill="DDEBF7"/>
            <w:noWrap/>
            <w:vAlign w:val="bottom"/>
            <w:hideMark/>
          </w:tcPr>
          <w:p w:rsidR="004A31EE" w:rsidRPr="004A31EE" w:rsidRDefault="004A31EE" w:rsidP="004A31EE">
            <w:pPr>
              <w:rPr>
                <w:b/>
                <w:bCs/>
              </w:rPr>
            </w:pPr>
            <w:r w:rsidRPr="004A31EE">
              <w:rPr>
                <w:b/>
                <w:bCs/>
              </w:rPr>
              <w:t>131</w:t>
            </w:r>
          </w:p>
        </w:tc>
      </w:tr>
    </w:tbl>
    <w:p w:rsidR="004A31EE" w:rsidRDefault="004A31EE"/>
    <w:sectPr w:rsidR="004A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3A"/>
    <w:rsid w:val="000D06AC"/>
    <w:rsid w:val="00221C51"/>
    <w:rsid w:val="00226C3A"/>
    <w:rsid w:val="003C08A1"/>
    <w:rsid w:val="004A31EE"/>
    <w:rsid w:val="004B60F2"/>
    <w:rsid w:val="00532756"/>
    <w:rsid w:val="00543E2E"/>
    <w:rsid w:val="005629AD"/>
    <w:rsid w:val="006846EE"/>
    <w:rsid w:val="006E47BA"/>
    <w:rsid w:val="007B1C66"/>
    <w:rsid w:val="007B64ED"/>
    <w:rsid w:val="007C0056"/>
    <w:rsid w:val="008B198F"/>
    <w:rsid w:val="00906734"/>
    <w:rsid w:val="00A934A7"/>
    <w:rsid w:val="00C05650"/>
    <w:rsid w:val="00C90373"/>
    <w:rsid w:val="00DC3316"/>
    <w:rsid w:val="00E44FF0"/>
    <w:rsid w:val="00E675AF"/>
    <w:rsid w:val="00FB3FAA"/>
    <w:rsid w:val="00FC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73924-F4CB-4C5B-8770-F1060F49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1">
    <w:name w:val="Table Grid41"/>
    <w:basedOn w:val="TableNormal"/>
    <w:uiPriority w:val="59"/>
    <w:rsid w:val="006E47BA"/>
    <w:pPr>
      <w:spacing w:after="0" w:line="240" w:lineRule="auto"/>
    </w:pPr>
    <w:rPr>
      <w:rFonts w:ascii="Cambria" w:eastAsia="Cambria" w:hAnsi="Cambria"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ssa.gov.za/publications/P0302/P03022017.pdf" TargetMode="External"/><Relationship Id="rId5" Type="http://schemas.openxmlformats.org/officeDocument/2006/relationships/image" Target="media/image1.pn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eli\Desktop\South%20Africa%20Research\Data%20Related\Analysis%20for%20PHC%20Indicators\PHC%20Tables_19%20Jun%2014_use%20for%20bar%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tx1"/>
            </a:solidFill>
            <a:ln>
              <a:noFill/>
            </a:ln>
            <a:effectLst/>
            <a:scene3d>
              <a:camera prst="orthographicFront">
                <a:rot lat="0" lon="0" rev="0"/>
              </a:camera>
              <a:lightRig rig="threePt" dir="t">
                <a:rot lat="0" lon="0" rev="1200000"/>
              </a:lightRig>
            </a:scene3d>
            <a:sp3d>
              <a:bevelT w="63500" h="25400"/>
            </a:sp3d>
          </c:spPr>
          <c:invertIfNegative val="0"/>
          <c:cat>
            <c:numRef>
              <c:f>clinicschart!$A$2:$A$29</c:f>
              <c:numCache>
                <c:formatCode>[$-409]mmm\-yy;@</c:formatCode>
                <c:ptCount val="28"/>
                <c:pt idx="0">
                  <c:v>40238</c:v>
                </c:pt>
                <c:pt idx="1">
                  <c:v>40269</c:v>
                </c:pt>
                <c:pt idx="2">
                  <c:v>40299</c:v>
                </c:pt>
                <c:pt idx="3">
                  <c:v>40330</c:v>
                </c:pt>
                <c:pt idx="4">
                  <c:v>40360</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pt idx="18">
                  <c:v>40878</c:v>
                </c:pt>
                <c:pt idx="19">
                  <c:v>40909</c:v>
                </c:pt>
                <c:pt idx="20">
                  <c:v>40940</c:v>
                </c:pt>
                <c:pt idx="21">
                  <c:v>40969</c:v>
                </c:pt>
                <c:pt idx="22">
                  <c:v>41000</c:v>
                </c:pt>
                <c:pt idx="23">
                  <c:v>41030</c:v>
                </c:pt>
                <c:pt idx="24">
                  <c:v>41061</c:v>
                </c:pt>
                <c:pt idx="25">
                  <c:v>41091</c:v>
                </c:pt>
                <c:pt idx="26">
                  <c:v>41122</c:v>
                </c:pt>
                <c:pt idx="27">
                  <c:v>41153</c:v>
                </c:pt>
              </c:numCache>
            </c:numRef>
          </c:cat>
          <c:val>
            <c:numRef>
              <c:f>clinicschart!$B$2:$B$29</c:f>
              <c:numCache>
                <c:formatCode>0</c:formatCode>
                <c:ptCount val="28"/>
                <c:pt idx="0">
                  <c:v>1</c:v>
                </c:pt>
                <c:pt idx="1">
                  <c:v>4</c:v>
                </c:pt>
                <c:pt idx="2">
                  <c:v>6</c:v>
                </c:pt>
                <c:pt idx="3">
                  <c:v>4</c:v>
                </c:pt>
                <c:pt idx="4">
                  <c:v>1</c:v>
                </c:pt>
                <c:pt idx="5">
                  <c:v>10</c:v>
                </c:pt>
                <c:pt idx="6">
                  <c:v>1</c:v>
                </c:pt>
                <c:pt idx="7">
                  <c:v>2</c:v>
                </c:pt>
                <c:pt idx="8">
                  <c:v>4</c:v>
                </c:pt>
                <c:pt idx="9">
                  <c:v>5</c:v>
                </c:pt>
                <c:pt idx="10">
                  <c:v>4</c:v>
                </c:pt>
                <c:pt idx="11">
                  <c:v>6</c:v>
                </c:pt>
                <c:pt idx="12">
                  <c:v>10</c:v>
                </c:pt>
                <c:pt idx="13">
                  <c:v>3</c:v>
                </c:pt>
                <c:pt idx="14">
                  <c:v>4</c:v>
                </c:pt>
                <c:pt idx="15">
                  <c:v>4</c:v>
                </c:pt>
                <c:pt idx="16">
                  <c:v>9</c:v>
                </c:pt>
                <c:pt idx="17">
                  <c:v>3</c:v>
                </c:pt>
                <c:pt idx="18">
                  <c:v>1</c:v>
                </c:pt>
                <c:pt idx="19">
                  <c:v>5</c:v>
                </c:pt>
                <c:pt idx="20">
                  <c:v>8</c:v>
                </c:pt>
                <c:pt idx="21">
                  <c:v>10</c:v>
                </c:pt>
                <c:pt idx="22">
                  <c:v>5</c:v>
                </c:pt>
                <c:pt idx="23">
                  <c:v>6</c:v>
                </c:pt>
                <c:pt idx="24">
                  <c:v>6</c:v>
                </c:pt>
                <c:pt idx="25">
                  <c:v>1</c:v>
                </c:pt>
                <c:pt idx="26">
                  <c:v>3</c:v>
                </c:pt>
                <c:pt idx="27">
                  <c:v>5</c:v>
                </c:pt>
              </c:numCache>
            </c:numRef>
          </c:val>
        </c:ser>
        <c:dLbls>
          <c:showLegendKey val="0"/>
          <c:showVal val="0"/>
          <c:showCatName val="0"/>
          <c:showSerName val="0"/>
          <c:showPercent val="0"/>
          <c:showBubbleSize val="0"/>
        </c:dLbls>
        <c:gapWidth val="120"/>
        <c:overlap val="-24"/>
        <c:axId val="555425968"/>
        <c:axId val="332126464"/>
      </c:barChart>
      <c:dateAx>
        <c:axId val="55542596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Month and Year</a:t>
                </a:r>
              </a:p>
            </c:rich>
          </c:tx>
          <c:overlay val="0"/>
          <c:spPr>
            <a:noFill/>
            <a:ln>
              <a:noFill/>
            </a:ln>
            <a:effectLst/>
          </c:spPr>
        </c:title>
        <c:numFmt formatCode="[$-409]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126464"/>
        <c:crosses val="autoZero"/>
        <c:auto val="1"/>
        <c:lblOffset val="100"/>
        <c:baseTimeUnit val="months"/>
      </c:dateAx>
      <c:valAx>
        <c:axId val="332126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Number of Clinics Which Integrated</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42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dc:creator>
  <cp:keywords/>
  <dc:description/>
  <cp:lastModifiedBy>Angeli</cp:lastModifiedBy>
  <cp:revision>2</cp:revision>
  <dcterms:created xsi:type="dcterms:W3CDTF">2018-01-06T20:39:00Z</dcterms:created>
  <dcterms:modified xsi:type="dcterms:W3CDTF">2018-01-06T20:39:00Z</dcterms:modified>
</cp:coreProperties>
</file>