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FE6" w:rsidRPr="00F54124" w:rsidRDefault="004B43B8" w:rsidP="005C7FE6">
      <w:pPr>
        <w:jc w:val="both"/>
      </w:pPr>
      <w:bookmarkStart w:id="0" w:name="_GoBack"/>
      <w:bookmarkEnd w:id="0"/>
      <w:r w:rsidRPr="004B43B8">
        <w:rPr>
          <w:rFonts w:ascii="Arial" w:hAnsi="Arial" w:cs="Arial"/>
          <w:b/>
          <w:sz w:val="22"/>
          <w:szCs w:val="22"/>
        </w:rPr>
        <w:t xml:space="preserve">Supplementary </w:t>
      </w:r>
      <w:r>
        <w:rPr>
          <w:rFonts w:ascii="Arial" w:hAnsi="Arial" w:cs="Arial"/>
          <w:b/>
          <w:sz w:val="22"/>
          <w:szCs w:val="22"/>
        </w:rPr>
        <w:t>F</w:t>
      </w:r>
      <w:r w:rsidRPr="004B43B8">
        <w:rPr>
          <w:rFonts w:ascii="Arial" w:hAnsi="Arial" w:cs="Arial"/>
          <w:b/>
          <w:sz w:val="22"/>
          <w:szCs w:val="22"/>
        </w:rPr>
        <w:t>igures</w:t>
      </w:r>
      <w:r>
        <w:rPr>
          <w:rFonts w:ascii="Arial" w:hAnsi="Arial" w:cs="Arial"/>
          <w:b/>
          <w:sz w:val="22"/>
          <w:szCs w:val="22"/>
        </w:rPr>
        <w:t>/T</w:t>
      </w:r>
      <w:r w:rsidRPr="004B43B8">
        <w:rPr>
          <w:rFonts w:ascii="Arial" w:hAnsi="Arial" w:cs="Arial"/>
          <w:b/>
          <w:sz w:val="22"/>
          <w:szCs w:val="22"/>
        </w:rPr>
        <w:t>ables</w:t>
      </w:r>
    </w:p>
    <w:p w:rsidR="004B43B8" w:rsidRPr="004B43B8" w:rsidRDefault="004B43B8" w:rsidP="004B43B8">
      <w:pPr>
        <w:jc w:val="both"/>
        <w:rPr>
          <w:rFonts w:ascii="Arial" w:hAnsi="Arial" w:cs="Arial"/>
          <w:b/>
          <w:sz w:val="22"/>
          <w:szCs w:val="22"/>
        </w:rPr>
      </w:pPr>
    </w:p>
    <w:p w:rsidR="004B43B8" w:rsidRDefault="004B43B8">
      <w:pPr>
        <w:rPr>
          <w:rFonts w:ascii="Arial" w:hAnsi="Arial" w:cs="Arial"/>
          <w:b/>
          <w:sz w:val="22"/>
          <w:szCs w:val="22"/>
        </w:rPr>
      </w:pPr>
      <w:r w:rsidRPr="004B43B8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BA398CC" wp14:editId="1C0D3DB1">
            <wp:extent cx="5943600" cy="32721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B8" w:rsidRDefault="004B43B8">
      <w:pPr>
        <w:rPr>
          <w:rFonts w:ascii="Arial" w:hAnsi="Arial" w:cs="Arial"/>
          <w:sz w:val="22"/>
          <w:szCs w:val="22"/>
        </w:rPr>
      </w:pPr>
      <w:r w:rsidRPr="00596CED">
        <w:rPr>
          <w:rFonts w:ascii="Arial" w:hAnsi="Arial" w:cs="Arial"/>
          <w:b/>
          <w:bCs/>
          <w:sz w:val="22"/>
          <w:szCs w:val="22"/>
        </w:rPr>
        <w:t>Fig</w:t>
      </w:r>
      <w:r>
        <w:rPr>
          <w:rFonts w:ascii="Arial" w:hAnsi="Arial" w:cs="Arial"/>
          <w:b/>
          <w:bCs/>
          <w:sz w:val="22"/>
          <w:szCs w:val="22"/>
        </w:rPr>
        <w:t>.</w:t>
      </w:r>
      <w:r w:rsidRPr="00596CED">
        <w:rPr>
          <w:rFonts w:ascii="Arial" w:hAnsi="Arial" w:cs="Arial"/>
          <w:b/>
          <w:bCs/>
          <w:sz w:val="22"/>
          <w:szCs w:val="22"/>
        </w:rPr>
        <w:t xml:space="preserve"> S1. Flow cytometry gating strategy for analysis of CD4+ and CD8+ T-cell subsets and expression of IL-7R (CD127) on those cells. </w:t>
      </w:r>
      <w:r w:rsidRPr="00596CED">
        <w:rPr>
          <w:rFonts w:ascii="Arial" w:hAnsi="Arial" w:cs="Arial"/>
          <w:sz w:val="22"/>
          <w:szCs w:val="22"/>
        </w:rPr>
        <w:t xml:space="preserve">Naïve, central memory, effector memory and terminal memory CD4+ or CD8+ T-cells were defined by expression of CD45RA and CD27. Nv.: naive; Cm: central memory; </w:t>
      </w:r>
      <w:proofErr w:type="spellStart"/>
      <w:r w:rsidRPr="00596CED">
        <w:rPr>
          <w:rFonts w:ascii="Arial" w:hAnsi="Arial" w:cs="Arial"/>
          <w:sz w:val="22"/>
          <w:szCs w:val="22"/>
        </w:rPr>
        <w:t>Em</w:t>
      </w:r>
      <w:proofErr w:type="spellEnd"/>
      <w:r w:rsidRPr="00596CED">
        <w:rPr>
          <w:rFonts w:ascii="Arial" w:hAnsi="Arial" w:cs="Arial"/>
          <w:sz w:val="22"/>
          <w:szCs w:val="22"/>
        </w:rPr>
        <w:t xml:space="preserve">: effector memory and </w:t>
      </w:r>
      <w:proofErr w:type="spellStart"/>
      <w:r w:rsidRPr="00596CED">
        <w:rPr>
          <w:rFonts w:ascii="Arial" w:hAnsi="Arial" w:cs="Arial"/>
          <w:sz w:val="22"/>
          <w:szCs w:val="22"/>
        </w:rPr>
        <w:t>Ef</w:t>
      </w:r>
      <w:proofErr w:type="spellEnd"/>
      <w:r w:rsidRPr="00596CED">
        <w:rPr>
          <w:rFonts w:ascii="Arial" w:hAnsi="Arial" w:cs="Arial"/>
          <w:sz w:val="22"/>
          <w:szCs w:val="22"/>
        </w:rPr>
        <w:t>.: terminal effector. All gating is based on fluorescence minus one (FMO)</w:t>
      </w:r>
      <w:r>
        <w:rPr>
          <w:rFonts w:ascii="Arial" w:hAnsi="Arial" w:cs="Arial"/>
          <w:sz w:val="22"/>
          <w:szCs w:val="22"/>
        </w:rPr>
        <w:t>.</w:t>
      </w:r>
    </w:p>
    <w:p w:rsidR="004B43B8" w:rsidRDefault="004B43B8">
      <w:pPr>
        <w:rPr>
          <w:rFonts w:ascii="Arial" w:hAnsi="Arial" w:cs="Arial"/>
          <w:b/>
          <w:sz w:val="22"/>
          <w:szCs w:val="22"/>
        </w:rPr>
      </w:pPr>
    </w:p>
    <w:p w:rsidR="004B43B8" w:rsidRDefault="004B43B8">
      <w:pPr>
        <w:rPr>
          <w:rFonts w:ascii="Arial" w:hAnsi="Arial" w:cs="Arial"/>
          <w:b/>
          <w:sz w:val="22"/>
          <w:szCs w:val="22"/>
        </w:rPr>
      </w:pPr>
    </w:p>
    <w:p w:rsidR="004B43B8" w:rsidRDefault="004B43B8" w:rsidP="004B43B8">
      <w:pPr>
        <w:jc w:val="center"/>
        <w:rPr>
          <w:rFonts w:ascii="Arial" w:hAnsi="Arial" w:cs="Arial"/>
          <w:b/>
          <w:sz w:val="22"/>
          <w:szCs w:val="22"/>
        </w:rPr>
      </w:pPr>
      <w:r w:rsidRPr="004B43B8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FCD659F" wp14:editId="2A3C5863">
            <wp:extent cx="5867400" cy="253940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462" cy="254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B8" w:rsidRDefault="004B43B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Fig.</w:t>
      </w:r>
      <w:r w:rsidRPr="00596CED">
        <w:rPr>
          <w:rFonts w:ascii="Arial" w:hAnsi="Arial" w:cs="Arial"/>
          <w:b/>
          <w:bCs/>
          <w:sz w:val="22"/>
          <w:szCs w:val="22"/>
        </w:rPr>
        <w:t xml:space="preserve"> S2. Correlations between plasma IL-7 levels and proportions of T-cells expressing IL-7R in non-C-IRIS and C-IRIS patients. </w:t>
      </w:r>
      <w:r w:rsidRPr="00596CED">
        <w:rPr>
          <w:rFonts w:ascii="Arial" w:hAnsi="Arial" w:cs="Arial"/>
          <w:sz w:val="22"/>
          <w:szCs w:val="22"/>
        </w:rPr>
        <w:t>Plasma IL-7 levels did not correlate with proportions of IL-7R+ total CD4+ or CD8+ T cells (A) nor with proportions of central memory CD4+ or CD8+ T cells (B) in either non-C-IRIS (blue) and C-IRIS (red) patients.</w:t>
      </w:r>
    </w:p>
    <w:p w:rsidR="004B43B8" w:rsidRDefault="004B43B8" w:rsidP="004B43B8">
      <w:pPr>
        <w:jc w:val="center"/>
        <w:rPr>
          <w:rFonts w:ascii="Arial" w:hAnsi="Arial" w:cs="Arial"/>
          <w:b/>
          <w:sz w:val="22"/>
          <w:szCs w:val="22"/>
        </w:rPr>
      </w:pPr>
      <w:r w:rsidRPr="004B43B8"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06EA8E3D" wp14:editId="23330A55">
            <wp:extent cx="5880100" cy="28904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3640" cy="289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B8" w:rsidRDefault="004B43B8" w:rsidP="004B43B8">
      <w:pPr>
        <w:jc w:val="both"/>
        <w:rPr>
          <w:rFonts w:ascii="Arial" w:hAnsi="Arial" w:cs="Arial"/>
          <w:sz w:val="22"/>
          <w:szCs w:val="22"/>
        </w:rPr>
      </w:pPr>
      <w:r w:rsidRPr="00596CED">
        <w:rPr>
          <w:rFonts w:ascii="Arial" w:hAnsi="Arial" w:cs="Arial"/>
          <w:b/>
          <w:bCs/>
          <w:sz w:val="22"/>
          <w:szCs w:val="22"/>
        </w:rPr>
        <w:t>Fig</w:t>
      </w:r>
      <w:r>
        <w:rPr>
          <w:rFonts w:ascii="Arial" w:hAnsi="Arial" w:cs="Arial"/>
          <w:b/>
          <w:bCs/>
          <w:sz w:val="22"/>
          <w:szCs w:val="22"/>
        </w:rPr>
        <w:t>.</w:t>
      </w:r>
      <w:r w:rsidRPr="00596CED">
        <w:rPr>
          <w:rFonts w:ascii="Arial" w:hAnsi="Arial" w:cs="Arial"/>
          <w:b/>
          <w:bCs/>
          <w:sz w:val="22"/>
          <w:szCs w:val="22"/>
        </w:rPr>
        <w:t xml:space="preserve"> S3. Comparison of CD4+ or CD8+ T cells expressing markers of activation or exhaustion at baseline in non-C-IRIS and C-IRIS patients and change in those cell proportions </w:t>
      </w:r>
      <w:r>
        <w:rPr>
          <w:rFonts w:ascii="Arial" w:hAnsi="Arial" w:cs="Arial"/>
          <w:b/>
          <w:bCs/>
          <w:sz w:val="22"/>
          <w:szCs w:val="22"/>
        </w:rPr>
        <w:t>from pre-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cART</w:t>
      </w:r>
      <w:proofErr w:type="spellEnd"/>
      <w:r w:rsidRPr="00596CED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to</w:t>
      </w:r>
      <w:r w:rsidRPr="00596CED">
        <w:rPr>
          <w:rFonts w:ascii="Arial" w:hAnsi="Arial" w:cs="Arial"/>
          <w:b/>
          <w:bCs/>
          <w:sz w:val="22"/>
          <w:szCs w:val="22"/>
        </w:rPr>
        <w:t xml:space="preserve"> C-IRIS event in C-IRIS patients.  </w:t>
      </w:r>
      <w:r w:rsidRPr="00596CED">
        <w:rPr>
          <w:rFonts w:ascii="Arial" w:hAnsi="Arial" w:cs="Arial"/>
          <w:sz w:val="22"/>
          <w:szCs w:val="22"/>
        </w:rPr>
        <w:t>There was no significant difference in T-cell activation (HLA-DR+ or CD134+ cells) or exhaustion (PD-1+ cells) between non-C-IRIS and C-IRIS patients at baseline (A) or in the change between baseline and C-IRIS event in C-IRIS patients (B). Cm: Central memory T-cell. Total: total T-cells. Comparison between baseline (pre-ART) and time of C-IRIS event (post-ART) was calculated by Wilcoxon signed rank test. Significant p-values were considered as p&lt;0.05. Trends were considered as p&lt;0.1. Analysis using IL-7R expression median fluorescence intensity (MFI) showed a similar trend.</w:t>
      </w:r>
    </w:p>
    <w:p w:rsidR="004B43B8" w:rsidRDefault="004B43B8" w:rsidP="004B43B8">
      <w:pPr>
        <w:jc w:val="both"/>
        <w:rPr>
          <w:rFonts w:ascii="Arial" w:hAnsi="Arial" w:cs="Arial"/>
          <w:b/>
          <w:sz w:val="22"/>
          <w:szCs w:val="22"/>
        </w:rPr>
      </w:pPr>
    </w:p>
    <w:p w:rsidR="004B43B8" w:rsidRDefault="004B43B8" w:rsidP="004B43B8">
      <w:pPr>
        <w:jc w:val="both"/>
        <w:rPr>
          <w:rFonts w:ascii="Arial" w:hAnsi="Arial" w:cs="Arial"/>
          <w:b/>
          <w:sz w:val="22"/>
          <w:szCs w:val="22"/>
        </w:rPr>
      </w:pPr>
      <w:r w:rsidRPr="004B43B8"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68687F3B" wp14:editId="0DB2E56B">
            <wp:extent cx="5943600" cy="61963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B8" w:rsidRDefault="004B43B8" w:rsidP="004B43B8">
      <w:pPr>
        <w:jc w:val="both"/>
        <w:rPr>
          <w:rFonts w:ascii="Arial" w:hAnsi="Arial" w:cs="Arial"/>
          <w:sz w:val="22"/>
          <w:szCs w:val="22"/>
        </w:rPr>
      </w:pPr>
      <w:r w:rsidRPr="00596CED">
        <w:rPr>
          <w:rFonts w:ascii="Arial" w:hAnsi="Arial" w:cs="Arial"/>
          <w:b/>
          <w:bCs/>
          <w:sz w:val="22"/>
          <w:szCs w:val="22"/>
        </w:rPr>
        <w:t>Fig</w:t>
      </w:r>
      <w:r>
        <w:rPr>
          <w:rFonts w:ascii="Arial" w:hAnsi="Arial" w:cs="Arial"/>
          <w:b/>
          <w:bCs/>
          <w:sz w:val="22"/>
          <w:szCs w:val="22"/>
        </w:rPr>
        <w:t>.</w:t>
      </w:r>
      <w:r w:rsidRPr="00596CED">
        <w:rPr>
          <w:rFonts w:ascii="Arial" w:hAnsi="Arial" w:cs="Arial"/>
          <w:b/>
          <w:bCs/>
          <w:sz w:val="22"/>
          <w:szCs w:val="22"/>
        </w:rPr>
        <w:t xml:space="preserve"> S4. Cryptococcus antigen-specific IFN-</w:t>
      </w:r>
      <w:r w:rsidRPr="00596CED">
        <w:rPr>
          <w:rFonts w:ascii="Arial" w:hAnsi="Arial" w:cs="Arial"/>
          <w:b/>
          <w:bCs/>
          <w:sz w:val="22"/>
          <w:szCs w:val="22"/>
          <w:lang w:val="el-GR"/>
        </w:rPr>
        <w:t xml:space="preserve">γ, </w:t>
      </w:r>
      <w:r w:rsidRPr="00596CED">
        <w:rPr>
          <w:rFonts w:ascii="Arial" w:hAnsi="Arial" w:cs="Arial"/>
          <w:b/>
          <w:bCs/>
          <w:sz w:val="22"/>
          <w:szCs w:val="22"/>
        </w:rPr>
        <w:t>IL-2 and TNF-</w:t>
      </w:r>
      <w:r w:rsidRPr="00596CED">
        <w:rPr>
          <w:rFonts w:ascii="Arial" w:hAnsi="Arial" w:cs="Arial"/>
          <w:b/>
          <w:bCs/>
          <w:sz w:val="22"/>
          <w:szCs w:val="22"/>
          <w:lang w:val="el-GR"/>
        </w:rPr>
        <w:t xml:space="preserve">α </w:t>
      </w:r>
      <w:r w:rsidRPr="00596CED">
        <w:rPr>
          <w:rFonts w:ascii="Arial" w:hAnsi="Arial" w:cs="Arial"/>
          <w:b/>
          <w:bCs/>
          <w:sz w:val="22"/>
          <w:szCs w:val="22"/>
        </w:rPr>
        <w:t>T-cell responses.</w:t>
      </w:r>
      <w:r w:rsidRPr="00596CED">
        <w:rPr>
          <w:rFonts w:ascii="Arial" w:hAnsi="Arial" w:cs="Arial"/>
          <w:sz w:val="22"/>
          <w:szCs w:val="22"/>
        </w:rPr>
        <w:t xml:space="preserve"> (A) Similar baseline SEB-activated and Cryptococcus-specific IFN-</w:t>
      </w:r>
      <w:r w:rsidRPr="00596CED">
        <w:rPr>
          <w:rFonts w:ascii="Arial" w:hAnsi="Arial" w:cs="Arial"/>
          <w:sz w:val="22"/>
          <w:szCs w:val="22"/>
          <w:lang w:val="el-GR"/>
        </w:rPr>
        <w:t xml:space="preserve">γ, </w:t>
      </w:r>
      <w:r w:rsidRPr="00596CED">
        <w:rPr>
          <w:rFonts w:ascii="Arial" w:hAnsi="Arial" w:cs="Arial"/>
          <w:sz w:val="22"/>
          <w:szCs w:val="22"/>
        </w:rPr>
        <w:t>IL-2 and TNF-</w:t>
      </w:r>
      <w:r w:rsidRPr="00596CED">
        <w:rPr>
          <w:rFonts w:ascii="Arial" w:hAnsi="Arial" w:cs="Arial"/>
          <w:sz w:val="22"/>
          <w:szCs w:val="22"/>
          <w:lang w:val="el-GR"/>
        </w:rPr>
        <w:t xml:space="preserve">α </w:t>
      </w:r>
      <w:r w:rsidRPr="00596CED">
        <w:rPr>
          <w:rFonts w:ascii="Arial" w:hAnsi="Arial" w:cs="Arial"/>
          <w:sz w:val="22"/>
          <w:szCs w:val="22"/>
        </w:rPr>
        <w:t>CD4+ T-cell responses in non-C-IRIS and C-IRIS patients. (B) IFN-</w:t>
      </w:r>
      <w:r w:rsidRPr="00596CED">
        <w:rPr>
          <w:rFonts w:ascii="Arial" w:hAnsi="Arial" w:cs="Arial"/>
          <w:sz w:val="22"/>
          <w:szCs w:val="22"/>
          <w:lang w:val="el-GR"/>
        </w:rPr>
        <w:t>γ</w:t>
      </w:r>
      <w:r w:rsidRPr="00596CED">
        <w:rPr>
          <w:rFonts w:ascii="Arial" w:hAnsi="Arial" w:cs="Arial"/>
          <w:sz w:val="22"/>
          <w:szCs w:val="22"/>
        </w:rPr>
        <w:t xml:space="preserve"> responses decreased at the time of C-IRIS event, after stimulation with SEB (p=0.056), ACA (p=0.046) and CMP (p=0.005). (C) Similar baseline Cryptococcus-specific IFN-</w:t>
      </w:r>
      <w:r w:rsidRPr="00596CED">
        <w:rPr>
          <w:rFonts w:ascii="Arial" w:hAnsi="Arial" w:cs="Arial"/>
          <w:sz w:val="22"/>
          <w:szCs w:val="22"/>
          <w:lang w:val="el-GR"/>
        </w:rPr>
        <w:t xml:space="preserve">γ, </w:t>
      </w:r>
      <w:r w:rsidRPr="00596CED">
        <w:rPr>
          <w:rFonts w:ascii="Arial" w:hAnsi="Arial" w:cs="Arial"/>
          <w:sz w:val="22"/>
          <w:szCs w:val="22"/>
        </w:rPr>
        <w:t>IL-2 and TNF-</w:t>
      </w:r>
      <w:r w:rsidRPr="00596CED">
        <w:rPr>
          <w:rFonts w:ascii="Arial" w:hAnsi="Arial" w:cs="Arial"/>
          <w:sz w:val="22"/>
          <w:szCs w:val="22"/>
          <w:lang w:val="el-GR"/>
        </w:rPr>
        <w:t xml:space="preserve">α </w:t>
      </w:r>
      <w:r w:rsidRPr="00596CED">
        <w:rPr>
          <w:rFonts w:ascii="Arial" w:hAnsi="Arial" w:cs="Arial"/>
          <w:sz w:val="22"/>
          <w:szCs w:val="22"/>
        </w:rPr>
        <w:t>CD8+ T-cell responses in non-C-IRIS and C-IRIS patients. (D) Significant decreases in ACA-specific IL-2 CD8+ T-cell responses (p=0.008) and CMP-specific IFN-</w:t>
      </w:r>
      <w:r w:rsidRPr="00596CED">
        <w:rPr>
          <w:rFonts w:ascii="Arial" w:hAnsi="Arial" w:cs="Arial"/>
          <w:sz w:val="22"/>
          <w:szCs w:val="22"/>
          <w:lang w:val="el-GR"/>
        </w:rPr>
        <w:t xml:space="preserve">γ </w:t>
      </w:r>
      <w:r w:rsidRPr="00596CED">
        <w:rPr>
          <w:rFonts w:ascii="Arial" w:hAnsi="Arial" w:cs="Arial"/>
          <w:sz w:val="22"/>
          <w:szCs w:val="22"/>
        </w:rPr>
        <w:t>CD8+ T-cell responses (p=0.022) at time of C-IRIS event compared with baseline. SEB: Staphylococcal enterotoxin B. ACS: host autologous cryptococcal antigens. CMP: cap67 strain cryptococcal mannoprotein.</w:t>
      </w:r>
    </w:p>
    <w:p w:rsidR="004B43B8" w:rsidRDefault="004B43B8" w:rsidP="004B43B8">
      <w:pPr>
        <w:jc w:val="both"/>
        <w:rPr>
          <w:rFonts w:ascii="Arial" w:hAnsi="Arial" w:cs="Arial"/>
          <w:b/>
          <w:sz w:val="22"/>
          <w:szCs w:val="22"/>
        </w:rPr>
      </w:pPr>
    </w:p>
    <w:p w:rsidR="005C7FE6" w:rsidRDefault="005C7FE6" w:rsidP="005C7FE6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ListTable6Colorful"/>
        <w:tblpPr w:leftFromText="180" w:rightFromText="180" w:tblpY="704"/>
        <w:tblW w:w="9450" w:type="dxa"/>
        <w:tblLayout w:type="fixed"/>
        <w:tblLook w:val="04A0" w:firstRow="1" w:lastRow="0" w:firstColumn="1" w:lastColumn="0" w:noHBand="0" w:noVBand="1"/>
      </w:tblPr>
      <w:tblGrid>
        <w:gridCol w:w="3150"/>
        <w:gridCol w:w="1350"/>
        <w:gridCol w:w="1260"/>
        <w:gridCol w:w="1542"/>
        <w:gridCol w:w="2148"/>
      </w:tblGrid>
      <w:tr w:rsidR="005C7FE6" w:rsidRPr="00A73F53" w:rsidTr="002A3B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:rsidR="005C7FE6" w:rsidRPr="00A73F53" w:rsidRDefault="005C7FE6" w:rsidP="002A3B4E">
            <w:pPr>
              <w:rPr>
                <w:rFonts w:ascii="Arial" w:hAnsi="Arial" w:cs="Arial"/>
                <w:sz w:val="22"/>
                <w:szCs w:val="22"/>
              </w:rPr>
            </w:pPr>
            <w:r w:rsidRPr="00A73F53">
              <w:rPr>
                <w:rFonts w:ascii="Arial" w:hAnsi="Arial" w:cs="Arial"/>
                <w:sz w:val="22"/>
                <w:szCs w:val="22"/>
              </w:rPr>
              <w:lastRenderedPageBreak/>
              <w:t>Analytes</w:t>
            </w:r>
          </w:p>
        </w:tc>
        <w:tc>
          <w:tcPr>
            <w:tcW w:w="1350" w:type="dxa"/>
          </w:tcPr>
          <w:p w:rsidR="005C7FE6" w:rsidRPr="00A73F53" w:rsidRDefault="005C7FE6" w:rsidP="002A3B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73F53">
              <w:rPr>
                <w:rFonts w:ascii="Arial" w:hAnsi="Arial" w:cs="Arial"/>
                <w:sz w:val="22"/>
                <w:szCs w:val="22"/>
              </w:rPr>
              <w:t>Univariate P-Value</w:t>
            </w:r>
          </w:p>
        </w:tc>
        <w:tc>
          <w:tcPr>
            <w:tcW w:w="1260" w:type="dxa"/>
          </w:tcPr>
          <w:p w:rsidR="005C7FE6" w:rsidRPr="00A73F53" w:rsidRDefault="005C7FE6" w:rsidP="002A3B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73F53">
              <w:rPr>
                <w:rFonts w:ascii="Arial" w:hAnsi="Arial" w:cs="Arial"/>
                <w:sz w:val="22"/>
                <w:szCs w:val="22"/>
              </w:rPr>
              <w:t>HR</w:t>
            </w:r>
          </w:p>
        </w:tc>
        <w:tc>
          <w:tcPr>
            <w:tcW w:w="1542" w:type="dxa"/>
          </w:tcPr>
          <w:p w:rsidR="005C7FE6" w:rsidRPr="00A73F53" w:rsidRDefault="005C7FE6" w:rsidP="002A3B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73F53">
              <w:rPr>
                <w:rFonts w:ascii="Arial" w:hAnsi="Arial" w:cs="Arial"/>
                <w:sz w:val="22"/>
                <w:szCs w:val="22"/>
              </w:rPr>
              <w:t>Multivariate P-Value</w:t>
            </w:r>
          </w:p>
        </w:tc>
        <w:tc>
          <w:tcPr>
            <w:tcW w:w="2148" w:type="dxa"/>
          </w:tcPr>
          <w:p w:rsidR="005C7FE6" w:rsidRPr="00A73F53" w:rsidRDefault="005C7FE6" w:rsidP="002A3B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73F53">
              <w:rPr>
                <w:rFonts w:ascii="Arial" w:hAnsi="Arial" w:cs="Arial"/>
                <w:sz w:val="22"/>
                <w:szCs w:val="22"/>
              </w:rPr>
              <w:t>95% CI</w:t>
            </w:r>
          </w:p>
        </w:tc>
      </w:tr>
      <w:tr w:rsidR="005C7FE6" w:rsidRPr="00885762" w:rsidTr="002A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:rsidR="005C7FE6" w:rsidRPr="00885762" w:rsidRDefault="005C7FE6" w:rsidP="002A3B4E">
            <w:pPr>
              <w:rPr>
                <w:rFonts w:ascii="Arial" w:hAnsi="Arial" w:cs="Arial"/>
                <w:sz w:val="22"/>
                <w:szCs w:val="22"/>
              </w:rPr>
            </w:pPr>
            <w:r w:rsidRPr="00885762">
              <w:rPr>
                <w:rFonts w:ascii="Arial" w:hAnsi="Arial" w:cs="Arial"/>
                <w:sz w:val="22"/>
                <w:szCs w:val="22"/>
              </w:rPr>
              <w:t>Baseline CD4 count</w:t>
            </w:r>
          </w:p>
        </w:tc>
        <w:tc>
          <w:tcPr>
            <w:tcW w:w="1350" w:type="dxa"/>
          </w:tcPr>
          <w:p w:rsidR="005C7FE6" w:rsidRPr="00885762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5C7FE6" w:rsidRPr="00885762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1.002</w:t>
            </w:r>
          </w:p>
        </w:tc>
        <w:tc>
          <w:tcPr>
            <w:tcW w:w="1542" w:type="dxa"/>
          </w:tcPr>
          <w:p w:rsidR="005C7FE6" w:rsidRPr="00885762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0.727</w:t>
            </w:r>
          </w:p>
        </w:tc>
        <w:tc>
          <w:tcPr>
            <w:tcW w:w="2148" w:type="dxa"/>
          </w:tcPr>
          <w:p w:rsidR="005C7FE6" w:rsidRPr="00885762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0.990 – 1.014</w:t>
            </w:r>
          </w:p>
        </w:tc>
      </w:tr>
      <w:tr w:rsidR="005C7FE6" w:rsidRPr="00885762" w:rsidTr="002A3B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:rsidR="005C7FE6" w:rsidRPr="00885762" w:rsidRDefault="005C7FE6" w:rsidP="002A3B4E">
            <w:pPr>
              <w:rPr>
                <w:rFonts w:ascii="Arial" w:hAnsi="Arial" w:cs="Arial"/>
                <w:sz w:val="22"/>
                <w:szCs w:val="22"/>
              </w:rPr>
            </w:pPr>
            <w:r w:rsidRPr="00885762">
              <w:rPr>
                <w:rFonts w:ascii="Arial" w:hAnsi="Arial" w:cs="Arial"/>
                <w:sz w:val="22"/>
                <w:szCs w:val="22"/>
              </w:rPr>
              <w:t>Baseline HIV viral load (VL)</w:t>
            </w:r>
          </w:p>
        </w:tc>
        <w:tc>
          <w:tcPr>
            <w:tcW w:w="1350" w:type="dxa"/>
          </w:tcPr>
          <w:p w:rsidR="005C7FE6" w:rsidRPr="00885762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5C7FE6" w:rsidRPr="00885762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1.000</w:t>
            </w:r>
          </w:p>
        </w:tc>
        <w:tc>
          <w:tcPr>
            <w:tcW w:w="1542" w:type="dxa"/>
          </w:tcPr>
          <w:p w:rsidR="005C7FE6" w:rsidRPr="00A73F53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2"/>
                <w:szCs w:val="22"/>
              </w:rPr>
            </w:pPr>
            <w:r w:rsidRPr="00A73F53">
              <w:rPr>
                <w:rFonts w:ascii="Arial" w:hAnsi="Arial" w:cs="Arial"/>
                <w:i/>
                <w:sz w:val="22"/>
                <w:szCs w:val="22"/>
              </w:rPr>
              <w:t>0.062</w:t>
            </w:r>
          </w:p>
        </w:tc>
        <w:tc>
          <w:tcPr>
            <w:tcW w:w="2148" w:type="dxa"/>
          </w:tcPr>
          <w:p w:rsidR="005C7FE6" w:rsidRPr="00885762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0.999 – 1.000</w:t>
            </w:r>
          </w:p>
        </w:tc>
      </w:tr>
      <w:tr w:rsidR="005C7FE6" w:rsidRPr="00885762" w:rsidTr="002A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:rsidR="005C7FE6" w:rsidRPr="00885762" w:rsidRDefault="005C7FE6" w:rsidP="002A3B4E">
            <w:pPr>
              <w:rPr>
                <w:rFonts w:ascii="Arial" w:hAnsi="Arial" w:cs="Arial"/>
                <w:sz w:val="22"/>
                <w:szCs w:val="22"/>
              </w:rPr>
            </w:pPr>
            <w:r w:rsidRPr="00885762">
              <w:rPr>
                <w:rFonts w:ascii="Arial" w:hAnsi="Arial" w:cs="Arial"/>
                <w:sz w:val="22"/>
                <w:szCs w:val="22"/>
              </w:rPr>
              <w:t>Plasma IL-7</w:t>
            </w:r>
          </w:p>
        </w:tc>
        <w:tc>
          <w:tcPr>
            <w:tcW w:w="1350" w:type="dxa"/>
          </w:tcPr>
          <w:p w:rsidR="005C7FE6" w:rsidRPr="00A73F53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A73F53">
              <w:rPr>
                <w:rFonts w:ascii="Arial" w:hAnsi="Arial" w:cs="Arial"/>
                <w:b/>
                <w:sz w:val="22"/>
                <w:szCs w:val="22"/>
              </w:rPr>
              <w:t>0.0005</w:t>
            </w:r>
          </w:p>
        </w:tc>
        <w:tc>
          <w:tcPr>
            <w:tcW w:w="1260" w:type="dxa"/>
          </w:tcPr>
          <w:p w:rsidR="005C7FE6" w:rsidRPr="00885762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5.733</w:t>
            </w:r>
          </w:p>
        </w:tc>
        <w:tc>
          <w:tcPr>
            <w:tcW w:w="1542" w:type="dxa"/>
          </w:tcPr>
          <w:p w:rsidR="005C7FE6" w:rsidRPr="00A73F53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A73F53">
              <w:rPr>
                <w:rFonts w:ascii="Arial" w:hAnsi="Arial" w:cs="Arial"/>
                <w:b/>
                <w:sz w:val="22"/>
                <w:szCs w:val="22"/>
              </w:rPr>
              <w:t>0.005</w:t>
            </w:r>
          </w:p>
        </w:tc>
        <w:tc>
          <w:tcPr>
            <w:tcW w:w="2148" w:type="dxa"/>
          </w:tcPr>
          <w:p w:rsidR="005C7FE6" w:rsidRPr="00885762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1.701 – 19.31</w:t>
            </w:r>
          </w:p>
        </w:tc>
      </w:tr>
      <w:tr w:rsidR="005C7FE6" w:rsidRPr="00885762" w:rsidTr="002A3B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:rsidR="005C7FE6" w:rsidRPr="00885762" w:rsidRDefault="005C7FE6" w:rsidP="002A3B4E">
            <w:pPr>
              <w:rPr>
                <w:rFonts w:ascii="Arial" w:hAnsi="Arial" w:cs="Arial"/>
                <w:sz w:val="22"/>
                <w:szCs w:val="22"/>
              </w:rPr>
            </w:pPr>
            <w:r w:rsidRPr="00885762">
              <w:rPr>
                <w:rFonts w:ascii="Arial" w:hAnsi="Arial" w:cs="Arial"/>
                <w:sz w:val="22"/>
                <w:szCs w:val="22"/>
              </w:rPr>
              <w:t>CD8+CD27+CD127+</w:t>
            </w:r>
          </w:p>
        </w:tc>
        <w:tc>
          <w:tcPr>
            <w:tcW w:w="1350" w:type="dxa"/>
          </w:tcPr>
          <w:p w:rsidR="005C7FE6" w:rsidRPr="00A73F53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2"/>
                <w:szCs w:val="22"/>
              </w:rPr>
            </w:pPr>
            <w:r w:rsidRPr="00A73F53">
              <w:rPr>
                <w:rFonts w:ascii="Arial" w:hAnsi="Arial" w:cs="Arial"/>
                <w:i/>
                <w:sz w:val="22"/>
                <w:szCs w:val="22"/>
              </w:rPr>
              <w:t>0.0660</w:t>
            </w:r>
          </w:p>
        </w:tc>
        <w:tc>
          <w:tcPr>
            <w:tcW w:w="1260" w:type="dxa"/>
          </w:tcPr>
          <w:p w:rsidR="005C7FE6" w:rsidRPr="00885762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0.836</w:t>
            </w:r>
          </w:p>
        </w:tc>
        <w:tc>
          <w:tcPr>
            <w:tcW w:w="1542" w:type="dxa"/>
          </w:tcPr>
          <w:p w:rsidR="005C7FE6" w:rsidRPr="00A73F53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2"/>
                <w:szCs w:val="22"/>
              </w:rPr>
            </w:pPr>
            <w:r w:rsidRPr="00A73F53">
              <w:rPr>
                <w:rFonts w:ascii="Arial" w:hAnsi="Arial" w:cs="Arial"/>
                <w:i/>
                <w:sz w:val="22"/>
                <w:szCs w:val="22"/>
              </w:rPr>
              <w:t>0.059</w:t>
            </w:r>
          </w:p>
        </w:tc>
        <w:tc>
          <w:tcPr>
            <w:tcW w:w="2148" w:type="dxa"/>
          </w:tcPr>
          <w:p w:rsidR="005C7FE6" w:rsidRPr="00885762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0.694 – 1.007</w:t>
            </w:r>
          </w:p>
        </w:tc>
      </w:tr>
      <w:tr w:rsidR="005C7FE6" w:rsidRPr="00885762" w:rsidTr="002A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:rsidR="005C7FE6" w:rsidRPr="00885762" w:rsidRDefault="005C7FE6" w:rsidP="002A3B4E">
            <w:pPr>
              <w:rPr>
                <w:rFonts w:ascii="Arial" w:hAnsi="Arial" w:cs="Arial"/>
                <w:sz w:val="22"/>
                <w:szCs w:val="22"/>
              </w:rPr>
            </w:pPr>
            <w:r w:rsidRPr="00885762">
              <w:rPr>
                <w:rFonts w:ascii="Arial" w:hAnsi="Arial" w:cs="Arial"/>
                <w:sz w:val="22"/>
                <w:szCs w:val="22"/>
              </w:rPr>
              <w:t>CD14+CD86+</w:t>
            </w:r>
          </w:p>
        </w:tc>
        <w:tc>
          <w:tcPr>
            <w:tcW w:w="1350" w:type="dxa"/>
          </w:tcPr>
          <w:p w:rsidR="005C7FE6" w:rsidRPr="00A73F53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A73F53">
              <w:rPr>
                <w:rFonts w:ascii="Arial" w:hAnsi="Arial" w:cs="Arial"/>
                <w:b/>
                <w:sz w:val="22"/>
                <w:szCs w:val="22"/>
              </w:rPr>
              <w:t>0.0340</w:t>
            </w:r>
          </w:p>
        </w:tc>
        <w:tc>
          <w:tcPr>
            <w:tcW w:w="1260" w:type="dxa"/>
          </w:tcPr>
          <w:p w:rsidR="005C7FE6" w:rsidRPr="00885762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1.026</w:t>
            </w:r>
          </w:p>
        </w:tc>
        <w:tc>
          <w:tcPr>
            <w:tcW w:w="1542" w:type="dxa"/>
          </w:tcPr>
          <w:p w:rsidR="005C7FE6" w:rsidRPr="00885762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0.102</w:t>
            </w:r>
          </w:p>
        </w:tc>
        <w:tc>
          <w:tcPr>
            <w:tcW w:w="2148" w:type="dxa"/>
          </w:tcPr>
          <w:p w:rsidR="005C7FE6" w:rsidRPr="00885762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0.995 – 1.058</w:t>
            </w:r>
          </w:p>
        </w:tc>
      </w:tr>
      <w:tr w:rsidR="005C7FE6" w:rsidRPr="00885762" w:rsidTr="002A3B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:rsidR="005C7FE6" w:rsidRPr="00885762" w:rsidRDefault="005C7FE6" w:rsidP="002A3B4E">
            <w:pPr>
              <w:rPr>
                <w:rFonts w:ascii="Arial" w:hAnsi="Arial" w:cs="Arial"/>
                <w:sz w:val="22"/>
                <w:szCs w:val="22"/>
              </w:rPr>
            </w:pPr>
            <w:r w:rsidRPr="00885762">
              <w:rPr>
                <w:rFonts w:ascii="Arial" w:hAnsi="Arial" w:cs="Arial"/>
                <w:sz w:val="22"/>
                <w:szCs w:val="22"/>
              </w:rPr>
              <w:t>CD14+HLA-DR+</w:t>
            </w:r>
          </w:p>
        </w:tc>
        <w:tc>
          <w:tcPr>
            <w:tcW w:w="1350" w:type="dxa"/>
          </w:tcPr>
          <w:p w:rsidR="005C7FE6" w:rsidRPr="00A73F53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A73F53">
              <w:rPr>
                <w:rFonts w:ascii="Arial" w:hAnsi="Arial" w:cs="Arial"/>
                <w:b/>
                <w:sz w:val="22"/>
                <w:szCs w:val="22"/>
              </w:rPr>
              <w:t>0.0360</w:t>
            </w:r>
          </w:p>
        </w:tc>
        <w:tc>
          <w:tcPr>
            <w:tcW w:w="1260" w:type="dxa"/>
          </w:tcPr>
          <w:p w:rsidR="005C7FE6" w:rsidRPr="00885762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1.055</w:t>
            </w:r>
          </w:p>
        </w:tc>
        <w:tc>
          <w:tcPr>
            <w:tcW w:w="1542" w:type="dxa"/>
          </w:tcPr>
          <w:p w:rsidR="005C7FE6" w:rsidRPr="00A73F53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A73F53">
              <w:rPr>
                <w:rFonts w:ascii="Arial" w:hAnsi="Arial" w:cs="Arial"/>
                <w:b/>
                <w:sz w:val="22"/>
                <w:szCs w:val="22"/>
              </w:rPr>
              <w:t>0.009</w:t>
            </w:r>
          </w:p>
        </w:tc>
        <w:tc>
          <w:tcPr>
            <w:tcW w:w="2148" w:type="dxa"/>
          </w:tcPr>
          <w:p w:rsidR="005C7FE6" w:rsidRPr="00885762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1.013 – 1.098</w:t>
            </w:r>
          </w:p>
        </w:tc>
      </w:tr>
      <w:tr w:rsidR="005C7FE6" w:rsidRPr="00885762" w:rsidTr="002A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:rsidR="005C7FE6" w:rsidRPr="00885762" w:rsidRDefault="005C7FE6" w:rsidP="002A3B4E">
            <w:pPr>
              <w:rPr>
                <w:rFonts w:ascii="Arial" w:hAnsi="Arial" w:cs="Arial"/>
                <w:sz w:val="22"/>
                <w:szCs w:val="22"/>
              </w:rPr>
            </w:pPr>
            <w:r w:rsidRPr="00885762">
              <w:rPr>
                <w:rFonts w:ascii="Arial" w:hAnsi="Arial" w:cs="Arial"/>
                <w:sz w:val="22"/>
                <w:szCs w:val="22"/>
              </w:rPr>
              <w:t>ACA CD8+IFN-</w:t>
            </w:r>
            <w:r w:rsidRPr="00A73F53">
              <w:rPr>
                <w:rFonts w:ascii="Arial" w:hAnsi="Arial" w:cs="Arial"/>
                <w:color w:val="000000"/>
                <w:sz w:val="22"/>
                <w:szCs w:val="22"/>
                <w:shd w:val="clear" w:color="auto" w:fill="F8F9FA"/>
              </w:rPr>
              <w:t>γ</w:t>
            </w:r>
          </w:p>
        </w:tc>
        <w:tc>
          <w:tcPr>
            <w:tcW w:w="1350" w:type="dxa"/>
          </w:tcPr>
          <w:p w:rsidR="005C7FE6" w:rsidRPr="00A73F53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A73F53">
              <w:rPr>
                <w:rFonts w:ascii="Arial" w:hAnsi="Arial" w:cs="Arial"/>
                <w:b/>
                <w:sz w:val="22"/>
                <w:szCs w:val="22"/>
              </w:rPr>
              <w:t>0.0060</w:t>
            </w:r>
          </w:p>
        </w:tc>
        <w:tc>
          <w:tcPr>
            <w:tcW w:w="1260" w:type="dxa"/>
          </w:tcPr>
          <w:p w:rsidR="005C7FE6" w:rsidRPr="00885762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1.223</w:t>
            </w:r>
          </w:p>
        </w:tc>
        <w:tc>
          <w:tcPr>
            <w:tcW w:w="1542" w:type="dxa"/>
          </w:tcPr>
          <w:p w:rsidR="005C7FE6" w:rsidRPr="00885762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0.203</w:t>
            </w:r>
          </w:p>
        </w:tc>
        <w:tc>
          <w:tcPr>
            <w:tcW w:w="2148" w:type="dxa"/>
          </w:tcPr>
          <w:p w:rsidR="005C7FE6" w:rsidRPr="00885762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0.897 – 1.667</w:t>
            </w:r>
          </w:p>
        </w:tc>
      </w:tr>
      <w:tr w:rsidR="005C7FE6" w:rsidRPr="00885762" w:rsidTr="002A3B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:rsidR="005C7FE6" w:rsidRPr="00885762" w:rsidRDefault="005C7FE6" w:rsidP="002A3B4E">
            <w:pPr>
              <w:rPr>
                <w:rFonts w:ascii="Arial" w:hAnsi="Arial" w:cs="Arial"/>
                <w:sz w:val="22"/>
                <w:szCs w:val="22"/>
              </w:rPr>
            </w:pPr>
            <w:r w:rsidRPr="00885762">
              <w:rPr>
                <w:rFonts w:ascii="Arial" w:hAnsi="Arial" w:cs="Arial"/>
                <w:sz w:val="22"/>
                <w:szCs w:val="22"/>
              </w:rPr>
              <w:t>ACA CD8+IL-2+</w:t>
            </w:r>
          </w:p>
        </w:tc>
        <w:tc>
          <w:tcPr>
            <w:tcW w:w="1350" w:type="dxa"/>
          </w:tcPr>
          <w:p w:rsidR="005C7FE6" w:rsidRPr="00885762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0.1760</w:t>
            </w:r>
          </w:p>
        </w:tc>
        <w:tc>
          <w:tcPr>
            <w:tcW w:w="1260" w:type="dxa"/>
          </w:tcPr>
          <w:p w:rsidR="005C7FE6" w:rsidRPr="00885762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1.060</w:t>
            </w:r>
          </w:p>
        </w:tc>
        <w:tc>
          <w:tcPr>
            <w:tcW w:w="1542" w:type="dxa"/>
          </w:tcPr>
          <w:p w:rsidR="005C7FE6" w:rsidRPr="00885762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0.777</w:t>
            </w:r>
          </w:p>
        </w:tc>
        <w:tc>
          <w:tcPr>
            <w:tcW w:w="2148" w:type="dxa"/>
          </w:tcPr>
          <w:p w:rsidR="005C7FE6" w:rsidRPr="00885762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0.708 – 1.588</w:t>
            </w:r>
          </w:p>
        </w:tc>
      </w:tr>
      <w:tr w:rsidR="005C7FE6" w:rsidRPr="00885762" w:rsidTr="002A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:rsidR="005C7FE6" w:rsidRPr="00885762" w:rsidRDefault="005C7FE6" w:rsidP="002A3B4E">
            <w:pPr>
              <w:rPr>
                <w:rFonts w:ascii="Arial" w:hAnsi="Arial" w:cs="Arial"/>
                <w:sz w:val="22"/>
                <w:szCs w:val="22"/>
              </w:rPr>
            </w:pPr>
            <w:r w:rsidRPr="00885762">
              <w:rPr>
                <w:rFonts w:ascii="Arial" w:hAnsi="Arial" w:cs="Arial"/>
                <w:sz w:val="22"/>
                <w:szCs w:val="22"/>
              </w:rPr>
              <w:t>ACA CD8+TNF-</w:t>
            </w:r>
            <w:r w:rsidRPr="00A73F53">
              <w:rPr>
                <w:rFonts w:ascii="Arial" w:hAnsi="Arial" w:cs="Arial"/>
                <w:b w:val="0"/>
                <w:bCs w:val="0"/>
                <w:color w:val="222222"/>
                <w:sz w:val="22"/>
                <w:szCs w:val="22"/>
                <w:shd w:val="clear" w:color="auto" w:fill="FFFFFF"/>
              </w:rPr>
              <w:t>α</w:t>
            </w:r>
          </w:p>
        </w:tc>
        <w:tc>
          <w:tcPr>
            <w:tcW w:w="1350" w:type="dxa"/>
          </w:tcPr>
          <w:p w:rsidR="005C7FE6" w:rsidRPr="00A73F53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22"/>
                <w:szCs w:val="22"/>
              </w:rPr>
            </w:pPr>
            <w:r w:rsidRPr="00A73F53">
              <w:rPr>
                <w:rFonts w:ascii="Arial" w:hAnsi="Arial" w:cs="Arial"/>
                <w:i/>
                <w:sz w:val="22"/>
                <w:szCs w:val="22"/>
              </w:rPr>
              <w:t>0.0540</w:t>
            </w:r>
          </w:p>
        </w:tc>
        <w:tc>
          <w:tcPr>
            <w:tcW w:w="1260" w:type="dxa"/>
          </w:tcPr>
          <w:p w:rsidR="005C7FE6" w:rsidRPr="00885762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1.343</w:t>
            </w:r>
          </w:p>
        </w:tc>
        <w:tc>
          <w:tcPr>
            <w:tcW w:w="1542" w:type="dxa"/>
          </w:tcPr>
          <w:p w:rsidR="005C7FE6" w:rsidRPr="00885762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0.344</w:t>
            </w:r>
          </w:p>
        </w:tc>
        <w:tc>
          <w:tcPr>
            <w:tcW w:w="2148" w:type="dxa"/>
          </w:tcPr>
          <w:p w:rsidR="005C7FE6" w:rsidRPr="00885762" w:rsidRDefault="005C7FE6" w:rsidP="002A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0.729 – 2.471</w:t>
            </w:r>
          </w:p>
        </w:tc>
      </w:tr>
      <w:tr w:rsidR="005C7FE6" w:rsidRPr="00885762" w:rsidTr="002A3B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:rsidR="005C7FE6" w:rsidRPr="00885762" w:rsidRDefault="005C7FE6" w:rsidP="002A3B4E">
            <w:pPr>
              <w:rPr>
                <w:rFonts w:ascii="Arial" w:hAnsi="Arial" w:cs="Arial"/>
                <w:sz w:val="22"/>
                <w:szCs w:val="22"/>
              </w:rPr>
            </w:pPr>
            <w:r w:rsidRPr="00885762">
              <w:rPr>
                <w:rFonts w:ascii="Arial" w:hAnsi="Arial" w:cs="Arial"/>
                <w:sz w:val="22"/>
                <w:szCs w:val="22"/>
              </w:rPr>
              <w:t>HIV VL.CD14+HLA-DR+</w:t>
            </w:r>
          </w:p>
        </w:tc>
        <w:tc>
          <w:tcPr>
            <w:tcW w:w="1350" w:type="dxa"/>
          </w:tcPr>
          <w:p w:rsidR="005C7FE6" w:rsidRPr="00885762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5C7FE6" w:rsidRPr="00885762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1.000</w:t>
            </w:r>
          </w:p>
        </w:tc>
        <w:tc>
          <w:tcPr>
            <w:tcW w:w="1542" w:type="dxa"/>
          </w:tcPr>
          <w:p w:rsidR="005C7FE6" w:rsidRPr="00A73F53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A73F53">
              <w:rPr>
                <w:rFonts w:ascii="Arial" w:hAnsi="Arial" w:cs="Arial"/>
                <w:b/>
                <w:sz w:val="22"/>
                <w:szCs w:val="22"/>
              </w:rPr>
              <w:t>0.037</w:t>
            </w:r>
          </w:p>
        </w:tc>
        <w:tc>
          <w:tcPr>
            <w:tcW w:w="2148" w:type="dxa"/>
          </w:tcPr>
          <w:p w:rsidR="005C7FE6" w:rsidRPr="00885762" w:rsidRDefault="005C7FE6" w:rsidP="002A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0.999 – 1.000</w:t>
            </w:r>
          </w:p>
        </w:tc>
      </w:tr>
    </w:tbl>
    <w:p w:rsidR="005C7FE6" w:rsidRDefault="005C7FE6" w:rsidP="005C7FE6"/>
    <w:p w:rsidR="005C7FE6" w:rsidRPr="005C7FE6" w:rsidRDefault="005C7FE6" w:rsidP="005C7FE6">
      <w:pPr>
        <w:pBdr>
          <w:top w:val="single" w:sz="18" w:space="1" w:color="auto"/>
        </w:pBdr>
        <w:tabs>
          <w:tab w:val="center" w:pos="4680"/>
        </w:tabs>
        <w:rPr>
          <w:rFonts w:ascii="Arial" w:hAnsi="Arial" w:cs="Arial"/>
          <w:sz w:val="22"/>
          <w:szCs w:val="22"/>
        </w:rPr>
      </w:pPr>
      <w:r w:rsidRPr="005C7FE6">
        <w:rPr>
          <w:rFonts w:ascii="Arial" w:hAnsi="Arial" w:cs="Arial"/>
          <w:b/>
          <w:bCs/>
          <w:sz w:val="22"/>
          <w:szCs w:val="22"/>
        </w:rPr>
        <w:t>Table S1. Cox regression analysis of the hazard ratio of C-IRIS by analyte profile pre</w:t>
      </w:r>
      <w:r>
        <w:rPr>
          <w:rFonts w:ascii="Arial" w:hAnsi="Arial" w:cs="Arial"/>
          <w:b/>
          <w:bCs/>
          <w:sz w:val="22"/>
          <w:szCs w:val="22"/>
        </w:rPr>
        <w:t>-</w:t>
      </w:r>
      <w:r w:rsidRPr="005C7FE6">
        <w:rPr>
          <w:rFonts w:ascii="Arial" w:hAnsi="Arial" w:cs="Arial"/>
          <w:b/>
          <w:bCs/>
          <w:sz w:val="22"/>
          <w:szCs w:val="22"/>
        </w:rPr>
        <w:t>A</w:t>
      </w:r>
      <w:r>
        <w:rPr>
          <w:rFonts w:ascii="Arial" w:hAnsi="Arial" w:cs="Arial"/>
          <w:b/>
          <w:bCs/>
          <w:sz w:val="22"/>
          <w:szCs w:val="22"/>
        </w:rPr>
        <w:t>RT</w:t>
      </w:r>
      <w:r>
        <w:rPr>
          <w:rFonts w:ascii="Arial" w:hAnsi="Arial" w:cs="Arial"/>
          <w:sz w:val="22"/>
          <w:szCs w:val="22"/>
        </w:rPr>
        <w:t xml:space="preserve"> </w:t>
      </w:r>
      <w:r w:rsidRPr="005C7FE6">
        <w:rPr>
          <w:rFonts w:ascii="Arial" w:hAnsi="Arial" w:cs="Arial"/>
          <w:sz w:val="22"/>
          <w:szCs w:val="22"/>
        </w:rPr>
        <w:t>Hazard ratio (HR) of C-IRIS occurrence was calculated using univariable by Mann-Whitney (GraphPad Prism v7.1., La Jolla, California, USA), followed by a multivariable Cox proportional-hazards regression where all analytes from univariate analysis with a p-value of less or equal 0.1 were considered relevant. (</w:t>
      </w:r>
      <w:proofErr w:type="spellStart"/>
      <w:r w:rsidRPr="005C7FE6">
        <w:rPr>
          <w:rFonts w:ascii="Arial" w:hAnsi="Arial" w:cs="Arial"/>
          <w:sz w:val="22"/>
          <w:szCs w:val="22"/>
        </w:rPr>
        <w:t>StataCorp</w:t>
      </w:r>
      <w:proofErr w:type="spellEnd"/>
      <w:r w:rsidRPr="005C7FE6">
        <w:rPr>
          <w:rFonts w:ascii="Arial" w:hAnsi="Arial" w:cs="Arial"/>
          <w:sz w:val="22"/>
          <w:szCs w:val="22"/>
        </w:rPr>
        <w:t>, College Station, Texas, USA). P-values &lt;0.05 are boldfaced. P-values &lt;0.1 and &gt;0.05 are in italic. HIV VL.CD14+HLA-DR+: HIV viral load and CD14+HLA-DR+ cells interaction.</w:t>
      </w:r>
    </w:p>
    <w:p w:rsidR="005C7FE6" w:rsidRPr="005C7FE6" w:rsidRDefault="005C7FE6" w:rsidP="005C7FE6">
      <w:pPr>
        <w:jc w:val="both"/>
        <w:rPr>
          <w:rFonts w:ascii="Arial" w:hAnsi="Arial" w:cs="Arial"/>
          <w:sz w:val="22"/>
          <w:szCs w:val="22"/>
        </w:rPr>
      </w:pPr>
      <w:r w:rsidRPr="005C7FE6">
        <w:rPr>
          <w:rFonts w:ascii="Arial" w:hAnsi="Arial" w:cs="Arial"/>
          <w:sz w:val="22"/>
          <w:szCs w:val="22"/>
        </w:rPr>
        <w:t xml:space="preserve"> Abbreviations: ACA: autologous cryptococcal antigen, CI: confidence intervals, IFN: interferon, IL: interleukin and TNF: tumor necrosis factor.</w:t>
      </w:r>
    </w:p>
    <w:p w:rsidR="005C7FE6" w:rsidRDefault="005C7FE6" w:rsidP="005C7FE6"/>
    <w:p w:rsidR="005C7FE6" w:rsidRPr="00F54124" w:rsidRDefault="005C7FE6" w:rsidP="005C7FE6"/>
    <w:p w:rsidR="005C7FE6" w:rsidRPr="00B960BF" w:rsidRDefault="005C7FE6" w:rsidP="005C7FE6">
      <w:pPr>
        <w:pBdr>
          <w:top w:val="single" w:sz="18" w:space="0" w:color="auto"/>
        </w:pBd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  <w:r w:rsidRPr="0045092A">
        <w:rPr>
          <w:rFonts w:ascii="Arial" w:hAnsi="Arial" w:cs="Arial"/>
          <w:b/>
          <w:sz w:val="22"/>
          <w:szCs w:val="22"/>
        </w:rPr>
        <w:t xml:space="preserve">Table S2. </w:t>
      </w:r>
      <w:r>
        <w:rPr>
          <w:rFonts w:ascii="Arial" w:hAnsi="Arial" w:cs="Arial"/>
          <w:b/>
          <w:sz w:val="22"/>
          <w:szCs w:val="22"/>
        </w:rPr>
        <w:t>Demographic and c</w:t>
      </w:r>
      <w:r w:rsidRPr="0045092A">
        <w:rPr>
          <w:rFonts w:ascii="Arial" w:hAnsi="Arial" w:cs="Arial"/>
          <w:b/>
          <w:sz w:val="22"/>
          <w:szCs w:val="22"/>
        </w:rPr>
        <w:t>linical characteristics of</w:t>
      </w:r>
      <w:r>
        <w:rPr>
          <w:rFonts w:ascii="Arial" w:hAnsi="Arial" w:cs="Arial"/>
          <w:b/>
          <w:sz w:val="22"/>
          <w:szCs w:val="22"/>
        </w:rPr>
        <w:t xml:space="preserve"> study participants </w:t>
      </w:r>
      <w:r w:rsidRPr="0045092A">
        <w:rPr>
          <w:rFonts w:ascii="Arial" w:hAnsi="Arial" w:cs="Arial"/>
          <w:b/>
          <w:sz w:val="22"/>
          <w:szCs w:val="22"/>
        </w:rPr>
        <w:t>at ART initiation</w:t>
      </w:r>
    </w:p>
    <w:tbl>
      <w:tblPr>
        <w:tblStyle w:val="ListTable6Colorful"/>
        <w:tblW w:w="5000" w:type="pct"/>
        <w:tblLayout w:type="fixed"/>
        <w:tblLook w:val="0420" w:firstRow="1" w:lastRow="0" w:firstColumn="0" w:lastColumn="0" w:noHBand="0" w:noVBand="1"/>
      </w:tblPr>
      <w:tblGrid>
        <w:gridCol w:w="5217"/>
        <w:gridCol w:w="1531"/>
        <w:gridCol w:w="1441"/>
        <w:gridCol w:w="1171"/>
      </w:tblGrid>
      <w:tr w:rsidR="005C7FE6" w:rsidRPr="00B960BF" w:rsidTr="002A3B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tcW w:w="5215" w:type="dxa"/>
          </w:tcPr>
          <w:p w:rsidR="005C7FE6" w:rsidRPr="00B960BF" w:rsidRDefault="005C7FE6" w:rsidP="002A3B4E">
            <w:pPr>
              <w:spacing w:line="480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Participant c</w:t>
            </w:r>
            <w:r w:rsidRPr="00BA48DD">
              <w:rPr>
                <w:rFonts w:ascii="Arial" w:hAnsi="Arial" w:cs="Arial"/>
                <w:sz w:val="22"/>
                <w:szCs w:val="22"/>
              </w:rPr>
              <w:t>haracteristics</w:t>
            </w:r>
          </w:p>
        </w:tc>
        <w:tc>
          <w:tcPr>
            <w:tcW w:w="1530" w:type="dxa"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C-IRIS</w:t>
            </w:r>
          </w:p>
        </w:tc>
        <w:tc>
          <w:tcPr>
            <w:tcW w:w="1440" w:type="dxa"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Non-C-IRIS</w:t>
            </w:r>
          </w:p>
        </w:tc>
        <w:tc>
          <w:tcPr>
            <w:tcW w:w="1170" w:type="dxa"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P-Value</w:t>
            </w:r>
          </w:p>
        </w:tc>
      </w:tr>
      <w:tr w:rsidR="005C7FE6" w:rsidRPr="00B960BF" w:rsidTr="002A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tcW w:w="5215" w:type="dxa"/>
            <w:hideMark/>
          </w:tcPr>
          <w:p w:rsidR="005C7FE6" w:rsidRPr="00B960BF" w:rsidRDefault="005C7FE6" w:rsidP="002A3B4E">
            <w:pPr>
              <w:spacing w:line="48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153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27</w:t>
            </w:r>
          </w:p>
        </w:tc>
        <w:tc>
          <w:tcPr>
            <w:tcW w:w="144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27</w:t>
            </w:r>
          </w:p>
        </w:tc>
        <w:tc>
          <w:tcPr>
            <w:tcW w:w="117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C7FE6" w:rsidRPr="00B960BF" w:rsidTr="002A3B4E">
        <w:trPr>
          <w:trHeight w:val="224"/>
        </w:trPr>
        <w:tc>
          <w:tcPr>
            <w:tcW w:w="5215" w:type="dxa"/>
            <w:hideMark/>
          </w:tcPr>
          <w:p w:rsidR="005C7FE6" w:rsidRPr="00B960BF" w:rsidRDefault="005C7FE6" w:rsidP="002A3B4E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Age </w:t>
            </w:r>
          </w:p>
        </w:tc>
        <w:tc>
          <w:tcPr>
            <w:tcW w:w="153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32 (28-40.5)</w:t>
            </w:r>
          </w:p>
        </w:tc>
        <w:tc>
          <w:tcPr>
            <w:tcW w:w="144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34 (28-38)</w:t>
            </w:r>
          </w:p>
        </w:tc>
        <w:tc>
          <w:tcPr>
            <w:tcW w:w="117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0.53</w:t>
            </w:r>
            <w:r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Pr="00B960BF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a</w:t>
            </w:r>
          </w:p>
        </w:tc>
      </w:tr>
      <w:tr w:rsidR="005C7FE6" w:rsidRPr="00B960BF" w:rsidTr="002A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tcW w:w="5215" w:type="dxa"/>
            <w:hideMark/>
          </w:tcPr>
          <w:p w:rsidR="005C7FE6" w:rsidRPr="00B960BF" w:rsidRDefault="005C7FE6" w:rsidP="002A3B4E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/>
                <w:bCs/>
                <w:sz w:val="22"/>
                <w:szCs w:val="22"/>
              </w:rPr>
              <w:t>Sex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N</w:t>
            </w:r>
            <w:r w:rsidRPr="00B960B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(F:M)</w:t>
            </w:r>
          </w:p>
        </w:tc>
        <w:tc>
          <w:tcPr>
            <w:tcW w:w="153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Pr="00B960BF">
              <w:rPr>
                <w:rFonts w:ascii="Arial" w:hAnsi="Arial" w:cs="Arial"/>
                <w:bCs/>
                <w:sz w:val="22"/>
                <w:szCs w:val="22"/>
              </w:rPr>
              <w:t>:</w:t>
            </w:r>
            <w:r>
              <w:rPr>
                <w:rFonts w:ascii="Arial" w:hAnsi="Arial" w:cs="Arial"/>
                <w:bCs/>
                <w:sz w:val="22"/>
                <w:szCs w:val="22"/>
              </w:rPr>
              <w:t>14</w:t>
            </w:r>
          </w:p>
        </w:tc>
        <w:tc>
          <w:tcPr>
            <w:tcW w:w="144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9</w:t>
            </w:r>
            <w:r w:rsidRPr="00B960BF">
              <w:rPr>
                <w:rFonts w:ascii="Arial" w:hAnsi="Arial" w:cs="Arial"/>
                <w:bCs/>
                <w:sz w:val="22"/>
                <w:szCs w:val="22"/>
              </w:rPr>
              <w:t>:</w:t>
            </w:r>
            <w:r>
              <w:rPr>
                <w:rFonts w:ascii="Arial" w:hAnsi="Arial" w:cs="Arial"/>
                <w:bCs/>
                <w:sz w:val="22"/>
                <w:szCs w:val="22"/>
              </w:rPr>
              <w:t>8</w:t>
            </w:r>
          </w:p>
        </w:tc>
        <w:tc>
          <w:tcPr>
            <w:tcW w:w="117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0.139</w:t>
            </w:r>
            <w:r w:rsidRPr="00B960BF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b</w:t>
            </w:r>
          </w:p>
        </w:tc>
      </w:tr>
      <w:tr w:rsidR="005C7FE6" w:rsidRPr="00B960BF" w:rsidTr="002A3B4E">
        <w:trPr>
          <w:trHeight w:val="260"/>
        </w:trPr>
        <w:tc>
          <w:tcPr>
            <w:tcW w:w="5215" w:type="dxa"/>
            <w:hideMark/>
          </w:tcPr>
          <w:p w:rsidR="005C7FE6" w:rsidRPr="00B960BF" w:rsidRDefault="005C7FE6" w:rsidP="002A3B4E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/>
                <w:bCs/>
                <w:sz w:val="22"/>
                <w:szCs w:val="22"/>
              </w:rPr>
              <w:t>Baseline CD4 counts/</w:t>
            </w:r>
            <w:proofErr w:type="spellStart"/>
            <w:r w:rsidRPr="00B960BF">
              <w:rPr>
                <w:rFonts w:ascii="Arial" w:hAnsi="Arial" w:cs="Arial"/>
                <w:b/>
                <w:bCs/>
                <w:sz w:val="22"/>
                <w:szCs w:val="22"/>
              </w:rPr>
              <w:t>μL</w:t>
            </w:r>
            <w:proofErr w:type="spellEnd"/>
          </w:p>
        </w:tc>
        <w:tc>
          <w:tcPr>
            <w:tcW w:w="153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16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B960BF">
              <w:rPr>
                <w:rFonts w:ascii="Arial" w:hAnsi="Arial" w:cs="Arial"/>
                <w:bCs/>
                <w:sz w:val="22"/>
                <w:szCs w:val="22"/>
              </w:rPr>
              <w:t>(6.5-46.5)</w:t>
            </w:r>
          </w:p>
        </w:tc>
        <w:tc>
          <w:tcPr>
            <w:tcW w:w="144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16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B960BF">
              <w:rPr>
                <w:rFonts w:ascii="Arial" w:hAnsi="Arial" w:cs="Arial"/>
                <w:bCs/>
                <w:sz w:val="22"/>
                <w:szCs w:val="22"/>
              </w:rPr>
              <w:t>(5-55)</w:t>
            </w:r>
          </w:p>
        </w:tc>
        <w:tc>
          <w:tcPr>
            <w:tcW w:w="117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&gt;0.999</w:t>
            </w:r>
            <w:r w:rsidRPr="00B960BF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a</w:t>
            </w:r>
          </w:p>
        </w:tc>
      </w:tr>
      <w:tr w:rsidR="005C7FE6" w:rsidRPr="00B960BF" w:rsidTr="002A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5215" w:type="dxa"/>
            <w:hideMark/>
          </w:tcPr>
          <w:p w:rsidR="005C7FE6" w:rsidRPr="00B960BF" w:rsidRDefault="005C7FE6" w:rsidP="002A3B4E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Baseline HIV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v</w:t>
            </w:r>
            <w:r w:rsidRPr="00B960B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iral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l</w:t>
            </w:r>
            <w:r w:rsidRPr="00B960BF">
              <w:rPr>
                <w:rFonts w:ascii="Arial" w:hAnsi="Arial" w:cs="Arial"/>
                <w:b/>
                <w:bCs/>
                <w:sz w:val="22"/>
                <w:szCs w:val="22"/>
              </w:rPr>
              <w:t>oad log</w:t>
            </w:r>
            <w:r w:rsidRPr="00B960BF">
              <w:rPr>
                <w:rFonts w:ascii="Arial" w:hAnsi="Arial" w:cs="Arial"/>
                <w:b/>
                <w:bCs/>
                <w:sz w:val="22"/>
                <w:szCs w:val="22"/>
                <w:vertAlign w:val="subscript"/>
              </w:rPr>
              <w:t xml:space="preserve">10 </w:t>
            </w:r>
            <w:r w:rsidRPr="00B960BF">
              <w:rPr>
                <w:rFonts w:ascii="Arial" w:hAnsi="Arial" w:cs="Arial"/>
                <w:b/>
                <w:bCs/>
                <w:sz w:val="22"/>
                <w:szCs w:val="22"/>
              </w:rPr>
              <w:t>copies/m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l</w:t>
            </w:r>
            <w:r w:rsidRPr="00B960B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3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5.2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B960BF">
              <w:rPr>
                <w:rFonts w:ascii="Arial" w:hAnsi="Arial" w:cs="Arial"/>
                <w:bCs/>
                <w:sz w:val="22"/>
                <w:szCs w:val="22"/>
              </w:rPr>
              <w:t>(4.5-5.7)</w:t>
            </w:r>
          </w:p>
        </w:tc>
        <w:tc>
          <w:tcPr>
            <w:tcW w:w="144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5.1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B960BF">
              <w:rPr>
                <w:rFonts w:ascii="Arial" w:hAnsi="Arial" w:cs="Arial"/>
                <w:bCs/>
                <w:sz w:val="22"/>
                <w:szCs w:val="22"/>
              </w:rPr>
              <w:t>(5.0-5.6)</w:t>
            </w:r>
          </w:p>
        </w:tc>
        <w:tc>
          <w:tcPr>
            <w:tcW w:w="117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0.46</w:t>
            </w:r>
            <w:r>
              <w:rPr>
                <w:rFonts w:ascii="Arial" w:hAnsi="Arial" w:cs="Arial"/>
                <w:bCs/>
                <w:sz w:val="22"/>
                <w:szCs w:val="22"/>
              </w:rPr>
              <w:t>9</w:t>
            </w:r>
            <w:r w:rsidRPr="00B960BF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a</w:t>
            </w:r>
          </w:p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C7FE6" w:rsidRPr="00B960BF" w:rsidTr="002A3B4E">
        <w:trPr>
          <w:trHeight w:val="422"/>
        </w:trPr>
        <w:tc>
          <w:tcPr>
            <w:tcW w:w="5215" w:type="dxa"/>
            <w:hideMark/>
          </w:tcPr>
          <w:p w:rsidR="005C7FE6" w:rsidRPr="00B960BF" w:rsidRDefault="005C7FE6" w:rsidP="002A3B4E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Days of plasma/CSF collection from Cryptococcosis </w:t>
            </w:r>
            <w:r w:rsidRPr="00B960B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diagnosis </w:t>
            </w:r>
          </w:p>
        </w:tc>
        <w:tc>
          <w:tcPr>
            <w:tcW w:w="153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15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B960BF">
              <w:rPr>
                <w:rFonts w:ascii="Arial" w:hAnsi="Arial" w:cs="Arial"/>
                <w:bCs/>
                <w:sz w:val="22"/>
                <w:szCs w:val="22"/>
              </w:rPr>
              <w:t>(14-17)</w:t>
            </w:r>
          </w:p>
        </w:tc>
        <w:tc>
          <w:tcPr>
            <w:tcW w:w="144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15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B960BF">
              <w:rPr>
                <w:rFonts w:ascii="Arial" w:hAnsi="Arial" w:cs="Arial"/>
                <w:bCs/>
                <w:sz w:val="22"/>
                <w:szCs w:val="22"/>
              </w:rPr>
              <w:t>(14-17.5)</w:t>
            </w:r>
          </w:p>
        </w:tc>
        <w:tc>
          <w:tcPr>
            <w:tcW w:w="117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&gt;0.999</w:t>
            </w:r>
            <w:r w:rsidRPr="00B960BF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a</w:t>
            </w:r>
          </w:p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C7FE6" w:rsidRPr="00B960BF" w:rsidTr="002A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tcW w:w="5215" w:type="dxa"/>
            <w:hideMark/>
          </w:tcPr>
          <w:p w:rsidR="005C7FE6" w:rsidRPr="00B960BF" w:rsidRDefault="005C7FE6" w:rsidP="002A3B4E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Days on CM treatment pre-ART </w:t>
            </w:r>
          </w:p>
        </w:tc>
        <w:tc>
          <w:tcPr>
            <w:tcW w:w="153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18 </w:t>
            </w:r>
            <w:r w:rsidRPr="00B960BF">
              <w:rPr>
                <w:rFonts w:ascii="Arial" w:hAnsi="Arial" w:cs="Arial"/>
                <w:bCs/>
                <w:sz w:val="22"/>
                <w:szCs w:val="22"/>
              </w:rPr>
              <w:t>(15.5-22)</w:t>
            </w:r>
          </w:p>
        </w:tc>
        <w:tc>
          <w:tcPr>
            <w:tcW w:w="144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21 (16-28.5)</w:t>
            </w:r>
          </w:p>
        </w:tc>
        <w:tc>
          <w:tcPr>
            <w:tcW w:w="1170" w:type="dxa"/>
            <w:hideMark/>
          </w:tcPr>
          <w:p w:rsidR="005C7FE6" w:rsidRPr="00B960BF" w:rsidRDefault="005C7FE6" w:rsidP="002A3B4E">
            <w:pPr>
              <w:spacing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960BF">
              <w:rPr>
                <w:rFonts w:ascii="Arial" w:hAnsi="Arial" w:cs="Arial"/>
                <w:bCs/>
                <w:sz w:val="22"/>
                <w:szCs w:val="22"/>
              </w:rPr>
              <w:t>0.073</w:t>
            </w:r>
            <w:r w:rsidRPr="00B960BF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a</w:t>
            </w:r>
          </w:p>
        </w:tc>
      </w:tr>
    </w:tbl>
    <w:p w:rsidR="005C7FE6" w:rsidRPr="00B960BF" w:rsidRDefault="005C7FE6" w:rsidP="005C7FE6">
      <w:pPr>
        <w:jc w:val="both"/>
        <w:rPr>
          <w:rFonts w:ascii="Arial" w:hAnsi="Arial" w:cs="Arial"/>
          <w:sz w:val="22"/>
          <w:szCs w:val="22"/>
        </w:rPr>
      </w:pPr>
      <w:r w:rsidRPr="00B960BF">
        <w:rPr>
          <w:rFonts w:ascii="Arial" w:hAnsi="Arial" w:cs="Arial"/>
          <w:sz w:val="22"/>
          <w:szCs w:val="22"/>
          <w:lang w:val="en-GB"/>
        </w:rPr>
        <w:t xml:space="preserve">Median (IQR) of </w:t>
      </w:r>
      <w:r>
        <w:rPr>
          <w:rFonts w:ascii="Arial" w:hAnsi="Arial" w:cs="Arial"/>
          <w:sz w:val="22"/>
          <w:szCs w:val="22"/>
          <w:lang w:val="en-GB"/>
        </w:rPr>
        <w:t>c</w:t>
      </w:r>
      <w:r w:rsidRPr="00B960BF">
        <w:rPr>
          <w:rFonts w:ascii="Arial" w:hAnsi="Arial" w:cs="Arial"/>
          <w:sz w:val="22"/>
          <w:szCs w:val="22"/>
          <w:lang w:val="en-GB"/>
        </w:rPr>
        <w:t>ryptococcosis-associated immune reconstitution inflammatory syndrome (</w:t>
      </w:r>
      <w:r w:rsidRPr="00B960BF">
        <w:rPr>
          <w:rFonts w:ascii="Arial" w:hAnsi="Arial" w:cs="Arial"/>
          <w:sz w:val="22"/>
          <w:szCs w:val="22"/>
        </w:rPr>
        <w:t xml:space="preserve">C-IRIS) refers to cases of probable or possible C-IRIS and Non-C-IRIS refers to patients who experienced no neurological disease during follow up following initiation of antiretroviral therapy </w:t>
      </w:r>
      <w:r w:rsidRPr="00B960BF">
        <w:rPr>
          <w:rFonts w:ascii="Arial" w:hAnsi="Arial" w:cs="Arial"/>
          <w:sz w:val="22"/>
          <w:szCs w:val="22"/>
        </w:rPr>
        <w:lastRenderedPageBreak/>
        <w:t>(ART). The groups were CD4-count matched</w:t>
      </w:r>
      <w:r w:rsidRPr="000F3F05">
        <w:rPr>
          <w:rFonts w:ascii="Arial" w:hAnsi="Arial" w:cs="Arial"/>
          <w:sz w:val="22"/>
          <w:szCs w:val="22"/>
        </w:rPr>
        <w:t xml:space="preserve">. Both groups were on standard regimen of amphotericin 1 mg/kg </w:t>
      </w:r>
      <w:r>
        <w:rPr>
          <w:rFonts w:ascii="Arial" w:hAnsi="Arial" w:cs="Arial"/>
          <w:sz w:val="22"/>
          <w:szCs w:val="22"/>
        </w:rPr>
        <w:t xml:space="preserve">for a </w:t>
      </w:r>
      <w:r w:rsidRPr="000F3F05">
        <w:rPr>
          <w:rFonts w:ascii="Arial" w:hAnsi="Arial" w:cs="Arial"/>
          <w:sz w:val="22"/>
          <w:szCs w:val="22"/>
        </w:rPr>
        <w:t>median 14 days, followed by consolidation and maintenance fluconazole)</w:t>
      </w:r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0F3F05">
        <w:rPr>
          <w:rFonts w:ascii="Arial" w:hAnsi="Arial" w:cs="Arial"/>
          <w:sz w:val="22"/>
          <w:szCs w:val="22"/>
        </w:rPr>
        <w:t>cART</w:t>
      </w:r>
      <w:proofErr w:type="spellEnd"/>
      <w:r w:rsidRPr="000F3F0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was </w:t>
      </w:r>
      <w:r w:rsidRPr="000F3F05">
        <w:rPr>
          <w:rFonts w:ascii="Arial" w:hAnsi="Arial" w:cs="Arial"/>
          <w:sz w:val="22"/>
          <w:szCs w:val="22"/>
        </w:rPr>
        <w:t xml:space="preserve">commenced </w:t>
      </w:r>
      <w:r>
        <w:rPr>
          <w:rFonts w:ascii="Arial" w:hAnsi="Arial" w:cs="Arial"/>
          <w:sz w:val="22"/>
          <w:szCs w:val="22"/>
        </w:rPr>
        <w:t xml:space="preserve">a </w:t>
      </w:r>
      <w:r w:rsidRPr="000F3F05">
        <w:rPr>
          <w:rFonts w:ascii="Arial" w:hAnsi="Arial" w:cs="Arial"/>
          <w:sz w:val="22"/>
          <w:szCs w:val="22"/>
        </w:rPr>
        <w:t>median of 18 days from cryptococcal meningitis diagnosis. The first C-IRIS event in these 27 patients, occurred at a median of 28 days (IQR:16.7-49.5 days) from time of ART commencement.</w:t>
      </w:r>
      <w:r w:rsidRPr="00B960BF">
        <w:rPr>
          <w:rFonts w:ascii="Arial" w:hAnsi="Arial" w:cs="Arial"/>
          <w:sz w:val="22"/>
          <w:szCs w:val="22"/>
        </w:rPr>
        <w:t xml:space="preserve"> </w:t>
      </w:r>
      <w:r w:rsidRPr="00B960BF">
        <w:rPr>
          <w:rFonts w:ascii="Arial" w:hAnsi="Arial" w:cs="Arial"/>
          <w:sz w:val="22"/>
          <w:szCs w:val="22"/>
          <w:vertAlign w:val="superscript"/>
        </w:rPr>
        <w:t>a</w:t>
      </w:r>
      <w:r w:rsidRPr="00B960BF">
        <w:rPr>
          <w:rFonts w:ascii="Arial" w:hAnsi="Arial" w:cs="Arial"/>
          <w:sz w:val="22"/>
          <w:szCs w:val="22"/>
          <w:lang w:val="en-GB"/>
        </w:rPr>
        <w:t>Mann-Whitney test</w:t>
      </w:r>
      <w:r w:rsidRPr="00B960BF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960BF">
        <w:rPr>
          <w:rFonts w:ascii="Arial" w:hAnsi="Arial" w:cs="Arial"/>
          <w:sz w:val="22"/>
          <w:szCs w:val="22"/>
          <w:vertAlign w:val="superscript"/>
        </w:rPr>
        <w:t>b</w:t>
      </w:r>
      <w:r w:rsidRPr="00B960BF">
        <w:rPr>
          <w:rFonts w:ascii="Arial" w:hAnsi="Arial" w:cs="Arial"/>
          <w:sz w:val="22"/>
          <w:szCs w:val="22"/>
        </w:rPr>
        <w:t>chi</w:t>
      </w:r>
      <w:proofErr w:type="spellEnd"/>
      <w:r w:rsidRPr="00B960BF">
        <w:rPr>
          <w:rFonts w:ascii="Arial" w:hAnsi="Arial" w:cs="Arial"/>
          <w:sz w:val="22"/>
          <w:szCs w:val="22"/>
        </w:rPr>
        <w:t xml:space="preserve"> square. F: female; M: male.</w:t>
      </w:r>
      <w:r>
        <w:rPr>
          <w:rFonts w:ascii="Arial" w:hAnsi="Arial" w:cs="Arial"/>
          <w:sz w:val="22"/>
          <w:szCs w:val="22"/>
        </w:rPr>
        <w:t xml:space="preserve"> </w:t>
      </w:r>
    </w:p>
    <w:p w:rsidR="005C7FE6" w:rsidRDefault="005C7FE6" w:rsidP="005C7FE6"/>
    <w:p w:rsidR="004B43B8" w:rsidRDefault="004B43B8" w:rsidP="004B43B8">
      <w:pPr>
        <w:jc w:val="both"/>
        <w:rPr>
          <w:rFonts w:ascii="Arial" w:hAnsi="Arial" w:cs="Arial"/>
          <w:b/>
          <w:sz w:val="22"/>
          <w:szCs w:val="22"/>
        </w:rPr>
      </w:pPr>
    </w:p>
    <w:p w:rsidR="004B43B8" w:rsidRPr="004B43B8" w:rsidRDefault="004B43B8" w:rsidP="004B43B8">
      <w:pPr>
        <w:jc w:val="both"/>
        <w:rPr>
          <w:rFonts w:ascii="Arial" w:hAnsi="Arial" w:cs="Arial"/>
          <w:b/>
          <w:sz w:val="22"/>
          <w:szCs w:val="22"/>
        </w:rPr>
      </w:pPr>
    </w:p>
    <w:sectPr w:rsidR="004B43B8" w:rsidRPr="004B43B8" w:rsidSect="00464F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3B8"/>
    <w:rsid w:val="000124AD"/>
    <w:rsid w:val="000A0D86"/>
    <w:rsid w:val="001B317C"/>
    <w:rsid w:val="00222D69"/>
    <w:rsid w:val="002525DA"/>
    <w:rsid w:val="002C4AB3"/>
    <w:rsid w:val="00364CEE"/>
    <w:rsid w:val="00366157"/>
    <w:rsid w:val="00464FD7"/>
    <w:rsid w:val="004B43B8"/>
    <w:rsid w:val="004F2260"/>
    <w:rsid w:val="004F5BE2"/>
    <w:rsid w:val="0052508C"/>
    <w:rsid w:val="00585306"/>
    <w:rsid w:val="0059248B"/>
    <w:rsid w:val="005A32E7"/>
    <w:rsid w:val="005C7FE6"/>
    <w:rsid w:val="005D079A"/>
    <w:rsid w:val="00663EEA"/>
    <w:rsid w:val="00843D5B"/>
    <w:rsid w:val="00877C99"/>
    <w:rsid w:val="008F2321"/>
    <w:rsid w:val="009B6E1A"/>
    <w:rsid w:val="00A70B67"/>
    <w:rsid w:val="00A8605A"/>
    <w:rsid w:val="00AA1F11"/>
    <w:rsid w:val="00AD2E81"/>
    <w:rsid w:val="00B1014D"/>
    <w:rsid w:val="00B10F6F"/>
    <w:rsid w:val="00B306B8"/>
    <w:rsid w:val="00B81D5A"/>
    <w:rsid w:val="00B9275A"/>
    <w:rsid w:val="00CC7EFF"/>
    <w:rsid w:val="00CE39DF"/>
    <w:rsid w:val="00E83CC0"/>
    <w:rsid w:val="00EA29A2"/>
    <w:rsid w:val="00EC0847"/>
    <w:rsid w:val="00F1527A"/>
    <w:rsid w:val="00F34C44"/>
    <w:rsid w:val="00F74D20"/>
    <w:rsid w:val="00F97915"/>
    <w:rsid w:val="00FE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186201-E08E-5348-9E92-765A7A086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6Colorful">
    <w:name w:val="List Table 6 Colorful"/>
    <w:basedOn w:val="TableNormal"/>
    <w:uiPriority w:val="51"/>
    <w:rsid w:val="005C7FE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Akilimali, Ngomu</dc:creator>
  <cp:keywords/>
  <dc:description/>
  <cp:lastModifiedBy>Laura Anderson</cp:lastModifiedBy>
  <cp:revision>2</cp:revision>
  <dcterms:created xsi:type="dcterms:W3CDTF">2018-12-12T16:38:00Z</dcterms:created>
  <dcterms:modified xsi:type="dcterms:W3CDTF">2018-12-12T16:38:00Z</dcterms:modified>
</cp:coreProperties>
</file>