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E0" w:rsidRPr="007F57FF" w:rsidRDefault="00651CFE" w:rsidP="00EC35E0">
      <w:pPr>
        <w:spacing w:line="480" w:lineRule="auto"/>
        <w:rPr>
          <w:rFonts w:ascii="Calibri" w:hAnsi="Calibri"/>
          <w:sz w:val="24"/>
          <w:szCs w:val="24"/>
        </w:rPr>
      </w:pPr>
      <w:r w:rsidRPr="007F57FF">
        <w:rPr>
          <w:rFonts w:ascii="Calibri" w:hAnsi="Calibri"/>
          <w:b/>
          <w:sz w:val="24"/>
          <w:szCs w:val="24"/>
        </w:rPr>
        <w:t xml:space="preserve">Table </w:t>
      </w:r>
      <w:r w:rsidR="0063460F">
        <w:rPr>
          <w:rFonts w:ascii="Calibri" w:hAnsi="Calibri"/>
          <w:b/>
          <w:sz w:val="24"/>
          <w:szCs w:val="24"/>
        </w:rPr>
        <w:t>S1</w:t>
      </w:r>
      <w:r w:rsidR="00EC35E0" w:rsidRPr="007F57FF">
        <w:rPr>
          <w:rFonts w:ascii="Calibri" w:hAnsi="Calibri"/>
          <w:b/>
          <w:sz w:val="24"/>
          <w:szCs w:val="24"/>
        </w:rPr>
        <w:t>.</w:t>
      </w:r>
      <w:r w:rsidR="00EC35E0" w:rsidRPr="007F57FF">
        <w:rPr>
          <w:rFonts w:ascii="Calibri" w:hAnsi="Calibri"/>
          <w:sz w:val="24"/>
          <w:szCs w:val="24"/>
        </w:rPr>
        <w:t xml:space="preserve"> Baseline Characteristics by CYP2B6 516G&gt;T Genotype</w:t>
      </w:r>
    </w:p>
    <w:tbl>
      <w:tblPr>
        <w:tblW w:w="11088" w:type="dxa"/>
        <w:tblInd w:w="-855" w:type="dxa"/>
        <w:tblLayout w:type="fixed"/>
        <w:tblLook w:val="04A0" w:firstRow="1" w:lastRow="0" w:firstColumn="1" w:lastColumn="0" w:noHBand="0" w:noVBand="1"/>
      </w:tblPr>
      <w:tblGrid>
        <w:gridCol w:w="3375"/>
        <w:gridCol w:w="2223"/>
        <w:gridCol w:w="2160"/>
        <w:gridCol w:w="2250"/>
        <w:gridCol w:w="1080"/>
      </w:tblGrid>
      <w:tr w:rsidR="00EC35E0" w:rsidRPr="007F57FF" w:rsidTr="00EA44D4">
        <w:trPr>
          <w:trHeight w:val="300"/>
        </w:trPr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7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Genotype</w:t>
            </w:r>
          </w:p>
        </w:tc>
      </w:tr>
      <w:tr w:rsidR="00EC35E0" w:rsidRPr="007F57FF" w:rsidTr="00EA44D4">
        <w:trPr>
          <w:trHeight w:val="300"/>
        </w:trPr>
        <w:tc>
          <w:tcPr>
            <w:tcW w:w="33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GG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GT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 xml:space="preserve">P </w:t>
            </w:r>
            <w:r w:rsidRPr="007F5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EC35E0" w:rsidRPr="007F57FF" w:rsidTr="00EA44D4">
        <w:trPr>
          <w:trHeight w:val="300"/>
        </w:trPr>
        <w:tc>
          <w:tcPr>
            <w:tcW w:w="3375" w:type="dxa"/>
            <w:shd w:val="clear" w:color="auto" w:fill="auto"/>
            <w:noWrap/>
            <w:vAlign w:val="bottom"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2223" w:type="dxa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35E0" w:rsidRPr="007F57FF" w:rsidTr="00EA44D4">
        <w:trPr>
          <w:trHeight w:val="300"/>
        </w:trPr>
        <w:tc>
          <w:tcPr>
            <w:tcW w:w="3375" w:type="dxa"/>
            <w:shd w:val="clear" w:color="auto" w:fill="auto"/>
            <w:noWrap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hAnsi="Calibri"/>
                <w:sz w:val="24"/>
                <w:szCs w:val="24"/>
              </w:rPr>
              <w:t>Age, y, mean (IQR)</w:t>
            </w:r>
          </w:p>
        </w:tc>
        <w:tc>
          <w:tcPr>
            <w:tcW w:w="2223" w:type="dxa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43.5 (37-50)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44.0 (37-50)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45.5 (38-51)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EC35E0" w:rsidRPr="007F57FF" w:rsidTr="00EA44D4">
        <w:trPr>
          <w:trHeight w:val="300"/>
        </w:trPr>
        <w:tc>
          <w:tcPr>
            <w:tcW w:w="3375" w:type="dxa"/>
            <w:shd w:val="clear" w:color="auto" w:fill="auto"/>
            <w:noWrap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hAnsi="Calibri"/>
                <w:sz w:val="24"/>
                <w:szCs w:val="24"/>
              </w:rPr>
              <w:t>Male, n (%)</w:t>
            </w:r>
          </w:p>
        </w:tc>
        <w:tc>
          <w:tcPr>
            <w:tcW w:w="2223" w:type="dxa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266 (64.9%)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328 (60.4%)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 (61.9%)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0.368</w:t>
            </w:r>
          </w:p>
        </w:tc>
      </w:tr>
      <w:tr w:rsidR="00EC35E0" w:rsidRPr="007F57FF" w:rsidTr="00EA44D4">
        <w:trPr>
          <w:trHeight w:val="300"/>
        </w:trPr>
        <w:tc>
          <w:tcPr>
            <w:tcW w:w="3375" w:type="dxa"/>
            <w:shd w:val="clear" w:color="auto" w:fill="auto"/>
            <w:noWrap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hAnsi="Calibri"/>
                <w:sz w:val="24"/>
                <w:szCs w:val="24"/>
              </w:rPr>
              <w:t>Years on EFV, median (IQR)</w:t>
            </w:r>
          </w:p>
        </w:tc>
        <w:tc>
          <w:tcPr>
            <w:tcW w:w="2223" w:type="dxa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3.4 (1.5-6.5)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3.2 (1.3-6.1)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 (1.2-5.8)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0.166</w:t>
            </w:r>
          </w:p>
        </w:tc>
      </w:tr>
      <w:tr w:rsidR="00EC35E0" w:rsidRPr="007F57FF" w:rsidTr="00EA44D4">
        <w:trPr>
          <w:trHeight w:val="300"/>
        </w:trPr>
        <w:tc>
          <w:tcPr>
            <w:tcW w:w="3375" w:type="dxa"/>
            <w:shd w:val="clear" w:color="auto" w:fill="auto"/>
            <w:noWrap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hAnsi="Calibri"/>
                <w:sz w:val="24"/>
                <w:szCs w:val="24"/>
              </w:rPr>
              <w:t>CD4 count, n (%)</w:t>
            </w:r>
          </w:p>
        </w:tc>
        <w:tc>
          <w:tcPr>
            <w:tcW w:w="2223" w:type="dxa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0.074</w:t>
            </w:r>
          </w:p>
        </w:tc>
      </w:tr>
      <w:tr w:rsidR="00EC35E0" w:rsidRPr="007F57FF" w:rsidTr="00EA44D4">
        <w:trPr>
          <w:trHeight w:val="300"/>
        </w:trPr>
        <w:tc>
          <w:tcPr>
            <w:tcW w:w="3375" w:type="dxa"/>
            <w:shd w:val="clear" w:color="auto" w:fill="auto"/>
            <w:noWrap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hAnsi="Calibri"/>
                <w:sz w:val="24"/>
                <w:szCs w:val="24"/>
              </w:rPr>
              <w:t>0-200</w:t>
            </w:r>
          </w:p>
        </w:tc>
        <w:tc>
          <w:tcPr>
            <w:tcW w:w="2223" w:type="dxa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118 (33.0%)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 (31.1%)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 (44.3%)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C35E0" w:rsidRPr="007F57FF" w:rsidRDefault="00EC35E0" w:rsidP="00EA44D4">
            <w:pPr>
              <w:pStyle w:val="NoteLevel11"/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C35E0" w:rsidRPr="007F57FF" w:rsidTr="00EA44D4">
        <w:trPr>
          <w:trHeight w:val="300"/>
        </w:trPr>
        <w:tc>
          <w:tcPr>
            <w:tcW w:w="3375" w:type="dxa"/>
            <w:shd w:val="clear" w:color="auto" w:fill="auto"/>
            <w:noWrap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hAnsi="Calibri"/>
                <w:sz w:val="24"/>
                <w:szCs w:val="24"/>
              </w:rPr>
              <w:t>200-499</w:t>
            </w:r>
          </w:p>
        </w:tc>
        <w:tc>
          <w:tcPr>
            <w:tcW w:w="2223" w:type="dxa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213 (59.7%)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302 (62.5%)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 (48.4%)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C35E0" w:rsidRPr="007F57FF" w:rsidTr="00EA44D4">
        <w:trPr>
          <w:trHeight w:val="300"/>
        </w:trPr>
        <w:tc>
          <w:tcPr>
            <w:tcW w:w="3375" w:type="dxa"/>
            <w:shd w:val="clear" w:color="auto" w:fill="auto"/>
            <w:noWrap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hAnsi="Calibri"/>
                <w:sz w:val="24"/>
                <w:szCs w:val="24"/>
              </w:rPr>
              <w:t>500+</w:t>
            </w:r>
          </w:p>
        </w:tc>
        <w:tc>
          <w:tcPr>
            <w:tcW w:w="2223" w:type="dxa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 (7.3%)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 (6.4%)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 (7.3%)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F57FF" w:rsidRPr="007F57FF" w:rsidTr="00EA44D4">
        <w:trPr>
          <w:trHeight w:val="300"/>
        </w:trPr>
        <w:tc>
          <w:tcPr>
            <w:tcW w:w="3375" w:type="dxa"/>
            <w:shd w:val="clear" w:color="auto" w:fill="auto"/>
            <w:noWrap/>
            <w:hideMark/>
          </w:tcPr>
          <w:p w:rsidR="007F57FF" w:rsidRPr="007F57FF" w:rsidRDefault="007F57FF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hAnsi="Calibri"/>
                <w:sz w:val="24"/>
                <w:szCs w:val="24"/>
              </w:rPr>
              <w:t>BMI, kg/m</w:t>
            </w: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F57FF">
              <w:rPr>
                <w:rFonts w:ascii="Calibri" w:hAnsi="Calibri"/>
                <w:sz w:val="24"/>
                <w:szCs w:val="24"/>
              </w:rPr>
              <w:t>, mean (IQR)</w:t>
            </w:r>
          </w:p>
        </w:tc>
        <w:tc>
          <w:tcPr>
            <w:tcW w:w="2223" w:type="dxa"/>
          </w:tcPr>
          <w:p w:rsidR="007F57FF" w:rsidRPr="007F57FF" w:rsidRDefault="007F57FF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22.9 (19.7-24.9)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7F57FF" w:rsidRPr="007F57FF" w:rsidRDefault="007F57FF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23.3 (19.9-25.8)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7F57FF" w:rsidRPr="007F57FF" w:rsidRDefault="007F57FF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22.5 (19.1-24.6)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F57FF" w:rsidRPr="007F57FF" w:rsidRDefault="007F57FF" w:rsidP="00EA44D4">
            <w:pPr>
              <w:pStyle w:val="NoteLevel11"/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0.969</w:t>
            </w:r>
          </w:p>
        </w:tc>
      </w:tr>
      <w:tr w:rsidR="00EC35E0" w:rsidRPr="007F57FF" w:rsidTr="00EA44D4">
        <w:trPr>
          <w:trHeight w:val="300"/>
        </w:trPr>
        <w:tc>
          <w:tcPr>
            <w:tcW w:w="3375" w:type="dxa"/>
            <w:shd w:val="clear" w:color="auto" w:fill="auto"/>
            <w:noWrap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hAnsi="Calibri"/>
                <w:sz w:val="24"/>
                <w:szCs w:val="24"/>
              </w:rPr>
              <w:t xml:space="preserve">Hazardous </w:t>
            </w:r>
            <w:proofErr w:type="spellStart"/>
            <w:r w:rsidRPr="007F57FF">
              <w:rPr>
                <w:rFonts w:ascii="Calibri" w:hAnsi="Calibri"/>
                <w:sz w:val="24"/>
                <w:szCs w:val="24"/>
              </w:rPr>
              <w:t>drinking</w:t>
            </w:r>
            <w:r w:rsidRPr="007F57FF">
              <w:rPr>
                <w:rFonts w:ascii="Calibri" w:hAnsi="Calibri"/>
                <w:sz w:val="24"/>
                <w:szCs w:val="24"/>
                <w:vertAlign w:val="superscript"/>
              </w:rPr>
              <w:t>a</w:t>
            </w:r>
            <w:proofErr w:type="spellEnd"/>
            <w:r w:rsidRPr="007F57FF">
              <w:rPr>
                <w:rFonts w:ascii="Calibri" w:hAnsi="Calibri"/>
                <w:sz w:val="24"/>
                <w:szCs w:val="24"/>
              </w:rPr>
              <w:t>, n (%)</w:t>
            </w:r>
          </w:p>
        </w:tc>
        <w:tc>
          <w:tcPr>
            <w:tcW w:w="2223" w:type="dxa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 (11.1%)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EC35E0" w:rsidRPr="007F57FF" w:rsidRDefault="00EC35E0" w:rsidP="00EA44D4">
            <w:pPr>
              <w:pStyle w:val="NoteLevel11"/>
              <w:tabs>
                <w:tab w:val="clear" w:pos="0"/>
                <w:tab w:val="num" w:pos="185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 (9.7%)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 (13.8%)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0.368</w:t>
            </w:r>
          </w:p>
        </w:tc>
      </w:tr>
      <w:tr w:rsidR="00EC35E0" w:rsidRPr="007F57FF" w:rsidTr="00EA44D4">
        <w:trPr>
          <w:trHeight w:val="300"/>
        </w:trPr>
        <w:tc>
          <w:tcPr>
            <w:tcW w:w="3375" w:type="dxa"/>
            <w:shd w:val="clear" w:color="auto" w:fill="auto"/>
            <w:noWrap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hAnsi="Calibri"/>
                <w:sz w:val="24"/>
                <w:szCs w:val="24"/>
              </w:rPr>
              <w:t>HIV RNA &gt; 400 copies/ml</w:t>
            </w:r>
          </w:p>
        </w:tc>
        <w:tc>
          <w:tcPr>
            <w:tcW w:w="2223" w:type="dxa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5.43 (4.85-5.82)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5.32 (4.64-5.81)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5.16 (4.95-5.60)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0.806</w:t>
            </w:r>
          </w:p>
        </w:tc>
      </w:tr>
      <w:tr w:rsidR="00EC35E0" w:rsidRPr="007F57FF" w:rsidTr="00EA44D4">
        <w:trPr>
          <w:trHeight w:val="300"/>
        </w:trPr>
        <w:tc>
          <w:tcPr>
            <w:tcW w:w="3375" w:type="dxa"/>
            <w:shd w:val="clear" w:color="auto" w:fill="auto"/>
            <w:noWrap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hAnsi="Calibri"/>
                <w:sz w:val="24"/>
                <w:szCs w:val="24"/>
              </w:rPr>
              <w:t>Mood Module (PHQ-9), n (%)</w:t>
            </w:r>
          </w:p>
        </w:tc>
        <w:tc>
          <w:tcPr>
            <w:tcW w:w="2223" w:type="dxa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0.226</w:t>
            </w:r>
          </w:p>
        </w:tc>
      </w:tr>
      <w:tr w:rsidR="00EC35E0" w:rsidRPr="007F57FF" w:rsidTr="00EA44D4">
        <w:trPr>
          <w:trHeight w:val="300"/>
        </w:trPr>
        <w:tc>
          <w:tcPr>
            <w:tcW w:w="3375" w:type="dxa"/>
            <w:shd w:val="clear" w:color="auto" w:fill="auto"/>
            <w:noWrap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hAnsi="Calibri"/>
                <w:sz w:val="24"/>
                <w:szCs w:val="24"/>
              </w:rPr>
              <w:t>None</w:t>
            </w:r>
          </w:p>
        </w:tc>
        <w:tc>
          <w:tcPr>
            <w:tcW w:w="2223" w:type="dxa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362 (87.9%)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458 (84.0%)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119 (85.6%)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C35E0" w:rsidRPr="007F57FF" w:rsidTr="00EA44D4">
        <w:trPr>
          <w:trHeight w:val="300"/>
        </w:trPr>
        <w:tc>
          <w:tcPr>
            <w:tcW w:w="3375" w:type="dxa"/>
            <w:shd w:val="clear" w:color="auto" w:fill="auto"/>
            <w:noWrap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hAnsi="Calibri"/>
                <w:sz w:val="24"/>
                <w:szCs w:val="24"/>
              </w:rPr>
              <w:t>1 symptom</w:t>
            </w:r>
          </w:p>
        </w:tc>
        <w:tc>
          <w:tcPr>
            <w:tcW w:w="2223" w:type="dxa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 (8.7%)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 (10.8%)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 (9.4%)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C35E0" w:rsidRPr="007F57FF" w:rsidTr="00EA44D4">
        <w:trPr>
          <w:trHeight w:val="300"/>
        </w:trPr>
        <w:tc>
          <w:tcPr>
            <w:tcW w:w="3375" w:type="dxa"/>
            <w:shd w:val="clear" w:color="auto" w:fill="auto"/>
            <w:noWrap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hAnsi="Calibri"/>
                <w:sz w:val="24"/>
                <w:szCs w:val="24"/>
              </w:rPr>
              <w:t>2 symptoms</w:t>
            </w:r>
          </w:p>
        </w:tc>
        <w:tc>
          <w:tcPr>
            <w:tcW w:w="2223" w:type="dxa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 (2.2%)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 (3.7%)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 (4.3%)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C35E0" w:rsidRPr="007F57FF" w:rsidTr="00EA44D4">
        <w:trPr>
          <w:trHeight w:val="300"/>
        </w:trPr>
        <w:tc>
          <w:tcPr>
            <w:tcW w:w="3375" w:type="dxa"/>
            <w:shd w:val="clear" w:color="auto" w:fill="auto"/>
            <w:noWrap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hAnsi="Calibri"/>
                <w:sz w:val="24"/>
                <w:szCs w:val="24"/>
              </w:rPr>
              <w:t>3 symptoms</w:t>
            </w:r>
          </w:p>
        </w:tc>
        <w:tc>
          <w:tcPr>
            <w:tcW w:w="2223" w:type="dxa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(5.0%)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 (1.1%)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(0.0%)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C35E0" w:rsidRPr="007F57FF" w:rsidTr="00EA44D4">
        <w:trPr>
          <w:trHeight w:val="300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hAnsi="Calibri"/>
                <w:sz w:val="24"/>
                <w:szCs w:val="24"/>
              </w:rPr>
              <w:t>4+ symptoms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(0.7%)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(0.4%)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35E0" w:rsidRPr="007F57FF" w:rsidRDefault="00EC35E0" w:rsidP="00EA44D4">
            <w:pPr>
              <w:pStyle w:val="NoteLevel11"/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(0.7%)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5E0" w:rsidRPr="007F57FF" w:rsidRDefault="00EC35E0" w:rsidP="00EA44D4">
            <w:pPr>
              <w:pStyle w:val="NoteLevel11"/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EC35E0" w:rsidRPr="007F57FF" w:rsidRDefault="00EC35E0" w:rsidP="00EC35E0">
      <w:pPr>
        <w:spacing w:line="480" w:lineRule="auto"/>
        <w:rPr>
          <w:rFonts w:ascii="Calibri" w:hAnsi="Calibri"/>
          <w:sz w:val="24"/>
          <w:szCs w:val="24"/>
        </w:rPr>
      </w:pPr>
      <w:r w:rsidRPr="007F57FF">
        <w:rPr>
          <w:rFonts w:ascii="Calibri" w:hAnsi="Calibri"/>
          <w:sz w:val="24"/>
          <w:szCs w:val="24"/>
        </w:rPr>
        <w:t>Abbreviation: N, number; IQR, inter-quartile range; PHQ, Patient Health Questionnaire</w:t>
      </w:r>
    </w:p>
    <w:p w:rsidR="0063460F" w:rsidRDefault="00EC35E0" w:rsidP="00EC35E0">
      <w:pPr>
        <w:spacing w:line="480" w:lineRule="auto"/>
        <w:rPr>
          <w:rFonts w:ascii="Calibri" w:hAnsi="Calibri"/>
          <w:sz w:val="24"/>
          <w:szCs w:val="24"/>
        </w:rPr>
      </w:pPr>
      <w:proofErr w:type="gramStart"/>
      <w:r w:rsidRPr="007F57FF">
        <w:rPr>
          <w:rFonts w:ascii="Calibri" w:hAnsi="Calibri"/>
          <w:sz w:val="24"/>
          <w:szCs w:val="24"/>
          <w:vertAlign w:val="superscript"/>
        </w:rPr>
        <w:lastRenderedPageBreak/>
        <w:t>a</w:t>
      </w:r>
      <w:proofErr w:type="gramEnd"/>
      <w:r w:rsidRPr="007F57FF">
        <w:rPr>
          <w:rFonts w:ascii="Calibri" w:hAnsi="Calibri"/>
          <w:sz w:val="24"/>
          <w:szCs w:val="24"/>
          <w:vertAlign w:val="superscript"/>
        </w:rPr>
        <w:t xml:space="preserve"> </w:t>
      </w:r>
      <w:r w:rsidRPr="007F57FF">
        <w:rPr>
          <w:rFonts w:ascii="Calibri" w:hAnsi="Calibri"/>
          <w:sz w:val="24"/>
          <w:szCs w:val="24"/>
        </w:rPr>
        <w:t>Hazardous drinking is defined as &gt;7 drinks weekly or &gt;4 drinks per session for women, and &gt;14 drinks weekly or &gt;5 drinks per session for men.</w:t>
      </w:r>
    </w:p>
    <w:p w:rsidR="0063460F" w:rsidRDefault="006346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63460F" w:rsidRPr="007F57FF" w:rsidRDefault="0063460F" w:rsidP="0063460F">
      <w:pPr>
        <w:pStyle w:val="NoteLevel11"/>
        <w:spacing w:line="360" w:lineRule="auto"/>
        <w:rPr>
          <w:rFonts w:asciiTheme="minorHAnsi" w:hAnsiTheme="minorHAnsi"/>
          <w:sz w:val="24"/>
          <w:szCs w:val="24"/>
        </w:rPr>
      </w:pPr>
      <w:r w:rsidRPr="007F57FF">
        <w:rPr>
          <w:rFonts w:asciiTheme="minorHAnsi" w:hAnsiTheme="minorHAnsi"/>
          <w:b/>
          <w:sz w:val="24"/>
          <w:szCs w:val="24"/>
        </w:rPr>
        <w:lastRenderedPageBreak/>
        <w:t>Table S</w:t>
      </w:r>
      <w:r>
        <w:rPr>
          <w:rFonts w:asciiTheme="minorHAnsi" w:hAnsiTheme="minorHAnsi"/>
          <w:b/>
          <w:sz w:val="24"/>
          <w:szCs w:val="24"/>
        </w:rPr>
        <w:t>2</w:t>
      </w:r>
      <w:r w:rsidRPr="007F57FF">
        <w:rPr>
          <w:rFonts w:asciiTheme="minorHAnsi" w:hAnsiTheme="minorHAnsi"/>
          <w:b/>
          <w:sz w:val="24"/>
          <w:szCs w:val="24"/>
        </w:rPr>
        <w:t xml:space="preserve">. </w:t>
      </w:r>
      <w:r w:rsidRPr="007F57FF">
        <w:rPr>
          <w:rFonts w:asciiTheme="minorHAnsi" w:hAnsiTheme="minorHAnsi"/>
          <w:sz w:val="24"/>
          <w:szCs w:val="24"/>
        </w:rPr>
        <w:t>Comparison of characteristics of patients by study inclusion.</w:t>
      </w:r>
    </w:p>
    <w:tbl>
      <w:tblPr>
        <w:tblW w:w="10318" w:type="dxa"/>
        <w:tblLook w:val="04A0" w:firstRow="1" w:lastRow="0" w:firstColumn="1" w:lastColumn="0" w:noHBand="0" w:noVBand="1"/>
      </w:tblPr>
      <w:tblGrid>
        <w:gridCol w:w="4169"/>
        <w:gridCol w:w="2427"/>
        <w:gridCol w:w="2427"/>
        <w:gridCol w:w="1295"/>
      </w:tblGrid>
      <w:tr w:rsidR="0063460F" w:rsidRPr="007F57FF" w:rsidTr="006C2DCA">
        <w:trPr>
          <w:trHeight w:val="300"/>
        </w:trPr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  <w:t>Study Inclusion</w:t>
            </w:r>
          </w:p>
        </w:tc>
      </w:tr>
      <w:tr w:rsidR="0063460F" w:rsidRPr="007F57FF" w:rsidTr="006C2DCA">
        <w:trPr>
          <w:trHeight w:val="300"/>
        </w:trPr>
        <w:tc>
          <w:tcPr>
            <w:tcW w:w="41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63460F" w:rsidRPr="007F57FF" w:rsidTr="006C2DCA">
        <w:trPr>
          <w:trHeight w:val="300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3460F" w:rsidRPr="007F57FF" w:rsidTr="006C2DCA">
        <w:trPr>
          <w:trHeight w:val="300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Age, y, mean (IQR)</w:t>
            </w:r>
          </w:p>
        </w:tc>
        <w:tc>
          <w:tcPr>
            <w:tcW w:w="2427" w:type="dxa"/>
            <w:shd w:val="clear" w:color="auto" w:fill="auto"/>
            <w:noWrap/>
            <w:vAlign w:val="bottom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44 (37 – 50)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43 (38 – 51)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0.695</w:t>
            </w:r>
          </w:p>
        </w:tc>
      </w:tr>
      <w:tr w:rsidR="0063460F" w:rsidRPr="007F57FF" w:rsidTr="006C2DCA">
        <w:trPr>
          <w:trHeight w:val="300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Male, n (%)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680 (62.3%)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142 (59.7%)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0.499</w:t>
            </w:r>
          </w:p>
        </w:tc>
      </w:tr>
      <w:tr w:rsidR="0063460F" w:rsidRPr="007F57FF" w:rsidTr="006C2DCA">
        <w:trPr>
          <w:trHeight w:val="300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Years on EFV, median (IQR)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3.2 (1.4 – 6.3)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3.2 (1.3 – 6.6)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0.721</w:t>
            </w:r>
          </w:p>
        </w:tc>
      </w:tr>
      <w:tr w:rsidR="0063460F" w:rsidRPr="007F57FF" w:rsidTr="006C2DCA">
        <w:trPr>
          <w:trHeight w:val="300"/>
        </w:trPr>
        <w:tc>
          <w:tcPr>
            <w:tcW w:w="4169" w:type="dxa"/>
            <w:shd w:val="clear" w:color="auto" w:fill="auto"/>
            <w:noWrap/>
            <w:vAlign w:val="bottom"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CD4 count at study entry, n, (%)</w:t>
            </w:r>
          </w:p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0-200 cells/mm</w:t>
            </w: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322 (33.4%)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66 (31.1%)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0.559</w:t>
            </w:r>
          </w:p>
        </w:tc>
      </w:tr>
      <w:tr w:rsidR="0063460F" w:rsidRPr="007F57FF" w:rsidTr="006C2DCA">
        <w:trPr>
          <w:trHeight w:val="300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200-499 cells/mm</w:t>
            </w: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574 (59.7%)</w:t>
            </w:r>
          </w:p>
        </w:tc>
        <w:tc>
          <w:tcPr>
            <w:tcW w:w="2427" w:type="dxa"/>
            <w:shd w:val="clear" w:color="auto" w:fill="auto"/>
            <w:noWrap/>
            <w:vAlign w:val="bottom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131 (61.8%)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63460F" w:rsidRPr="007F57FF" w:rsidTr="006C2DCA">
        <w:trPr>
          <w:trHeight w:val="300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vertAlign w:val="superscript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500+ cells/mm</w:t>
            </w: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66 (6.9%)</w:t>
            </w:r>
          </w:p>
        </w:tc>
        <w:tc>
          <w:tcPr>
            <w:tcW w:w="2427" w:type="dxa"/>
            <w:shd w:val="clear" w:color="auto" w:fill="auto"/>
            <w:noWrap/>
            <w:vAlign w:val="bottom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15 (7.1%)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63460F" w:rsidRPr="007F57FF" w:rsidRDefault="0063460F" w:rsidP="006C2DCA">
            <w:pPr>
              <w:pStyle w:val="NoteLevel11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63460F" w:rsidRPr="007F57FF" w:rsidTr="006C2DCA">
        <w:trPr>
          <w:trHeight w:val="300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BMI, mean (IQR)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22.2 (19.7 – 25.4)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22.5 (20.3 – 25.4)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0.894</w:t>
            </w:r>
          </w:p>
        </w:tc>
      </w:tr>
      <w:tr w:rsidR="0063460F" w:rsidRPr="007F57FF" w:rsidTr="006C2DCA">
        <w:trPr>
          <w:trHeight w:val="300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Hazardous drinking,* n (%)</w:t>
            </w:r>
          </w:p>
        </w:tc>
        <w:tc>
          <w:tcPr>
            <w:tcW w:w="2427" w:type="dxa"/>
            <w:shd w:val="clear" w:color="auto" w:fill="auto"/>
            <w:noWrap/>
            <w:vAlign w:val="bottom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118 (10.8%)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31 (13.0%)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0.374</w:t>
            </w:r>
          </w:p>
        </w:tc>
      </w:tr>
      <w:tr w:rsidR="0063460F" w:rsidRPr="007F57FF" w:rsidTr="006C2DCA">
        <w:trPr>
          <w:trHeight w:val="300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Baseline plasma HIV RNA log copies/ml median (IQR)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5.37 (4.77 – 5.81)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5.22 (4.66 – 5.70)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0.433</w:t>
            </w:r>
          </w:p>
        </w:tc>
      </w:tr>
      <w:tr w:rsidR="0063460F" w:rsidRPr="007F57FF" w:rsidTr="006C2DCA">
        <w:trPr>
          <w:trHeight w:val="300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Mood Module (PHQ-9), n (%)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0.989</w:t>
            </w:r>
          </w:p>
        </w:tc>
      </w:tr>
      <w:tr w:rsidR="0063460F" w:rsidRPr="007F57FF" w:rsidTr="006C2DCA">
        <w:trPr>
          <w:trHeight w:val="300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939 (85.7%)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204 (85.7%)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63460F" w:rsidRPr="007F57FF" w:rsidRDefault="0063460F" w:rsidP="006C2DCA">
            <w:pPr>
              <w:pStyle w:val="NoteLevel11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63460F" w:rsidRPr="007F57FF" w:rsidTr="006C2DCA">
        <w:trPr>
          <w:trHeight w:val="300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 symptom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108 (9.9%)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22 (9.2%)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63460F" w:rsidRPr="007F57FF" w:rsidTr="006C2DCA">
        <w:trPr>
          <w:trHeight w:val="300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2 symptoms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35 (3.2%)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9 (3.8%)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63460F" w:rsidRPr="007F57FF" w:rsidTr="006C2DCA">
        <w:trPr>
          <w:trHeight w:val="300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3 symptoms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8 (0.7%)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2 (0.8%)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63460F" w:rsidRPr="007F57FF" w:rsidTr="006C2DCA">
        <w:trPr>
          <w:trHeight w:val="30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4+ symptoms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6 (0.5%)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460F" w:rsidRPr="007F57FF" w:rsidRDefault="0063460F" w:rsidP="006C2DCA">
            <w:pPr>
              <w:pStyle w:val="NoteLevel11"/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7F57FF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 (0.4%)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3460F" w:rsidRPr="007F57FF" w:rsidRDefault="0063460F" w:rsidP="006C2DCA">
            <w:pPr>
              <w:pStyle w:val="NoteLevel11"/>
              <w:spacing w:line="36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</w:tbl>
    <w:p w:rsidR="0063460F" w:rsidRPr="007F57FF" w:rsidRDefault="0063460F" w:rsidP="0063460F">
      <w:pPr>
        <w:pStyle w:val="NoteLevel12"/>
        <w:numPr>
          <w:ilvl w:val="0"/>
          <w:numId w:val="0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F57FF">
        <w:rPr>
          <w:rFonts w:asciiTheme="minorHAnsi" w:hAnsiTheme="minorHAnsi"/>
          <w:sz w:val="24"/>
          <w:szCs w:val="24"/>
        </w:rPr>
        <w:t>* Hazardous drinking is defined as &gt;7 drinks weekly or &gt;4 drinks per session for women, and &gt;14 drinks weekly or &gt;5 drinks per session for men.</w:t>
      </w:r>
    </w:p>
    <w:p w:rsidR="00EC35E0" w:rsidRPr="007244A9" w:rsidRDefault="00EC35E0" w:rsidP="007244A9">
      <w:pPr>
        <w:rPr>
          <w:sz w:val="24"/>
          <w:szCs w:val="24"/>
        </w:rPr>
      </w:pPr>
      <w:bookmarkStart w:id="0" w:name="_GoBack"/>
      <w:bookmarkEnd w:id="0"/>
    </w:p>
    <w:sectPr w:rsidR="00EC35E0" w:rsidRPr="0072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48A1CE"/>
    <w:lvl w:ilvl="0">
      <w:start w:val="1"/>
      <w:numFmt w:val="bullet"/>
      <w:pStyle w:val="NoteLevel12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497D2A"/>
    <w:rsid w:val="0063460F"/>
    <w:rsid w:val="00651CFE"/>
    <w:rsid w:val="007244A9"/>
    <w:rsid w:val="007F57FF"/>
    <w:rsid w:val="00EC35E0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587EC-2542-4B66-BFB1-62A4A0B7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rsid w:val="00EC35E0"/>
    <w:pPr>
      <w:keepNext/>
      <w:tabs>
        <w:tab w:val="num" w:pos="0"/>
      </w:tabs>
      <w:spacing w:after="0"/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rsid w:val="00651CFE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rsid w:val="00651CFE"/>
    <w:pPr>
      <w:keepNext/>
      <w:numPr>
        <w:ilvl w:val="2"/>
        <w:numId w:val="1"/>
      </w:numPr>
      <w:tabs>
        <w:tab w:val="clear" w:pos="1440"/>
        <w:tab w:val="num" w:pos="360"/>
      </w:tabs>
      <w:spacing w:after="0"/>
      <w:ind w:left="0" w:firstLine="0"/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rsid w:val="00651CFE"/>
    <w:pPr>
      <w:keepNext/>
      <w:numPr>
        <w:ilvl w:val="3"/>
        <w:numId w:val="1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rsid w:val="00651CFE"/>
    <w:pPr>
      <w:keepNext/>
      <w:numPr>
        <w:ilvl w:val="4"/>
        <w:numId w:val="1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rsid w:val="00651CFE"/>
    <w:pPr>
      <w:keepNext/>
      <w:numPr>
        <w:ilvl w:val="5"/>
        <w:numId w:val="1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rsid w:val="00651CFE"/>
    <w:pPr>
      <w:keepNext/>
      <w:numPr>
        <w:ilvl w:val="6"/>
        <w:numId w:val="1"/>
      </w:numPr>
      <w:spacing w:after="0"/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rsid w:val="00651CFE"/>
    <w:pPr>
      <w:keepNext/>
      <w:numPr>
        <w:ilvl w:val="7"/>
        <w:numId w:val="1"/>
      </w:numPr>
      <w:spacing w:after="0"/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rsid w:val="00651CFE"/>
    <w:pPr>
      <w:keepNext/>
      <w:numPr>
        <w:ilvl w:val="8"/>
        <w:numId w:val="1"/>
      </w:numPr>
      <w:spacing w:after="0"/>
      <w:contextualSpacing/>
      <w:outlineLvl w:val="8"/>
    </w:pPr>
    <w:rPr>
      <w:rFonts w:ascii="Verdana" w:hAnsi="Verdana"/>
    </w:rPr>
  </w:style>
  <w:style w:type="paragraph" w:customStyle="1" w:styleId="NoteLevel12">
    <w:name w:val="Note Level 12"/>
    <w:basedOn w:val="Normal"/>
    <w:uiPriority w:val="99"/>
    <w:unhideWhenUsed/>
    <w:rsid w:val="00651CFE"/>
    <w:pPr>
      <w:keepNext/>
      <w:numPr>
        <w:numId w:val="1"/>
      </w:numPr>
      <w:spacing w:after="0"/>
      <w:contextualSpacing/>
      <w:outlineLvl w:val="0"/>
    </w:pPr>
    <w:rPr>
      <w:rFonts w:ascii="Verdana" w:hAnsi="Verdana"/>
    </w:rPr>
  </w:style>
  <w:style w:type="table" w:styleId="TableGrid">
    <w:name w:val="Table Grid"/>
    <w:basedOn w:val="TableNormal"/>
    <w:uiPriority w:val="39"/>
    <w:rsid w:val="0063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V.</dc:creator>
  <cp:keywords/>
  <dc:description/>
  <cp:lastModifiedBy>Marijana V.</cp:lastModifiedBy>
  <cp:revision>6</cp:revision>
  <dcterms:created xsi:type="dcterms:W3CDTF">2017-03-22T23:44:00Z</dcterms:created>
  <dcterms:modified xsi:type="dcterms:W3CDTF">2017-03-23T22:23:00Z</dcterms:modified>
</cp:coreProperties>
</file>