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1" w:rsidRPr="00293C2D" w:rsidRDefault="00022551" w:rsidP="00022551">
      <w:pPr>
        <w:spacing w:after="0"/>
        <w:jc w:val="both"/>
      </w:pPr>
      <w:r>
        <w:rPr>
          <w:b/>
          <w:lang w:val="en-GB"/>
        </w:rPr>
        <w:t>Supplement table 1: Participant characteristics at baseline</w:t>
      </w:r>
    </w:p>
    <w:tbl>
      <w:tblPr>
        <w:tblStyle w:val="TableGrid"/>
        <w:tblW w:w="0" w:type="auto"/>
        <w:tblLook w:val="04A0"/>
      </w:tblPr>
      <w:tblGrid>
        <w:gridCol w:w="3888"/>
        <w:gridCol w:w="1841"/>
        <w:gridCol w:w="1849"/>
        <w:gridCol w:w="1998"/>
      </w:tblGrid>
      <w:tr w:rsidR="00022551" w:rsidRPr="007C6D91" w:rsidTr="004C46F0">
        <w:trPr>
          <w:trHeight w:val="269"/>
        </w:trPr>
        <w:tc>
          <w:tcPr>
            <w:tcW w:w="3888" w:type="dxa"/>
          </w:tcPr>
          <w:p w:rsidR="00022551" w:rsidRPr="007C6D91" w:rsidRDefault="00022551" w:rsidP="004C46F0">
            <w:pPr>
              <w:pStyle w:val="ListParagraph"/>
              <w:ind w:left="0"/>
              <w:rPr>
                <w:b/>
              </w:rPr>
            </w:pPr>
            <w:r w:rsidRPr="007C6D91">
              <w:rPr>
                <w:b/>
              </w:rPr>
              <w:t xml:space="preserve">Variable </w:t>
            </w:r>
          </w:p>
        </w:tc>
        <w:tc>
          <w:tcPr>
            <w:tcW w:w="1841" w:type="dxa"/>
          </w:tcPr>
          <w:p w:rsidR="0002255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02255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(n=50)</w:t>
            </w:r>
          </w:p>
          <w:p w:rsidR="0002255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n(%) or mean(SD)</w:t>
            </w:r>
          </w:p>
        </w:tc>
        <w:tc>
          <w:tcPr>
            <w:tcW w:w="1849" w:type="dxa"/>
          </w:tcPr>
          <w:p w:rsidR="0002255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mDAART</w:t>
            </w:r>
            <w:proofErr w:type="spellEnd"/>
            <w:r>
              <w:rPr>
                <w:b/>
              </w:rPr>
              <w:t xml:space="preserve"> </w:t>
            </w:r>
          </w:p>
          <w:p w:rsidR="0002255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(n=23)</w:t>
            </w:r>
          </w:p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n(%) or mean(SD)</w:t>
            </w:r>
          </w:p>
        </w:tc>
        <w:tc>
          <w:tcPr>
            <w:tcW w:w="1998" w:type="dxa"/>
          </w:tcPr>
          <w:p w:rsidR="0002255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Standard care (n=27)</w:t>
            </w:r>
          </w:p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n(%)  or mean(SD)</w:t>
            </w:r>
          </w:p>
        </w:tc>
      </w:tr>
      <w:tr w:rsidR="00022551" w:rsidRPr="007C6D91" w:rsidTr="004C46F0">
        <w:trPr>
          <w:trHeight w:val="278"/>
        </w:trPr>
        <w:tc>
          <w:tcPr>
            <w:tcW w:w="388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Age (years)</w:t>
            </w:r>
          </w:p>
        </w:tc>
        <w:tc>
          <w:tcPr>
            <w:tcW w:w="1841" w:type="dxa"/>
          </w:tcPr>
          <w:p w:rsidR="00022551" w:rsidRDefault="00022551" w:rsidP="004C46F0">
            <w:pPr>
              <w:jc w:val="center"/>
            </w:pPr>
            <w:r>
              <w:t>15.8(1.8)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  <w:r>
              <w:t>15.5(1.95)</w:t>
            </w:r>
          </w:p>
        </w:tc>
        <w:tc>
          <w:tcPr>
            <w:tcW w:w="1998" w:type="dxa"/>
          </w:tcPr>
          <w:p w:rsidR="00022551" w:rsidRPr="007C6D91" w:rsidRDefault="00022551" w:rsidP="004C46F0">
            <w:pPr>
              <w:jc w:val="center"/>
            </w:pPr>
            <w:r>
              <w:t>16(1.7)</w:t>
            </w:r>
          </w:p>
        </w:tc>
      </w:tr>
      <w:tr w:rsidR="00022551" w:rsidRPr="007C6D91" w:rsidTr="004C46F0">
        <w:trPr>
          <w:trHeight w:val="530"/>
        </w:trPr>
        <w:tc>
          <w:tcPr>
            <w:tcW w:w="388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Gender: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Female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Male</w:t>
            </w:r>
          </w:p>
        </w:tc>
        <w:tc>
          <w:tcPr>
            <w:tcW w:w="1841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27(54)</w:t>
            </w:r>
          </w:p>
          <w:p w:rsidR="00022551" w:rsidRPr="007C6D91" w:rsidRDefault="00022551" w:rsidP="004C46F0">
            <w:pPr>
              <w:jc w:val="center"/>
            </w:pPr>
            <w:r>
              <w:t>23(56)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>
              <w:t>12(52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11(48</w:t>
            </w:r>
            <w:r w:rsidRPr="007C6D91">
              <w:t>)</w:t>
            </w:r>
          </w:p>
        </w:tc>
        <w:tc>
          <w:tcPr>
            <w:tcW w:w="1998" w:type="dxa"/>
          </w:tcPr>
          <w:p w:rsidR="0002255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>
              <w:t>15(56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12(44</w:t>
            </w:r>
            <w:r w:rsidRPr="007C6D91">
              <w:t>)</w:t>
            </w:r>
          </w:p>
        </w:tc>
      </w:tr>
      <w:tr w:rsidR="00022551" w:rsidRPr="007C6D91" w:rsidTr="004C46F0">
        <w:trPr>
          <w:trHeight w:val="350"/>
        </w:trPr>
        <w:tc>
          <w:tcPr>
            <w:tcW w:w="3888" w:type="dxa"/>
          </w:tcPr>
          <w:p w:rsidR="00022551" w:rsidRPr="007C6D91" w:rsidRDefault="00022551" w:rsidP="004C46F0">
            <w:r>
              <w:t xml:space="preserve">Total time on ART </w:t>
            </w:r>
            <w:r w:rsidRPr="007C6D91">
              <w:t>(months)</w:t>
            </w:r>
          </w:p>
        </w:tc>
        <w:tc>
          <w:tcPr>
            <w:tcW w:w="1841" w:type="dxa"/>
          </w:tcPr>
          <w:p w:rsidR="00022551" w:rsidRDefault="00022551" w:rsidP="004C46F0">
            <w:pPr>
              <w:jc w:val="center"/>
            </w:pPr>
            <w:r>
              <w:t>78(26)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  <w:r>
              <w:t>80.9(21.6</w:t>
            </w:r>
            <w:r w:rsidRPr="007C6D91">
              <w:t>)</w:t>
            </w:r>
          </w:p>
        </w:tc>
        <w:tc>
          <w:tcPr>
            <w:tcW w:w="1998" w:type="dxa"/>
          </w:tcPr>
          <w:p w:rsidR="00022551" w:rsidRPr="007C6D91" w:rsidRDefault="00022551" w:rsidP="004C46F0">
            <w:pPr>
              <w:jc w:val="center"/>
            </w:pPr>
            <w:r>
              <w:t>75.3(29.3)</w:t>
            </w:r>
          </w:p>
        </w:tc>
      </w:tr>
      <w:tr w:rsidR="00022551" w:rsidRPr="007C6D91" w:rsidTr="004C46F0">
        <w:trPr>
          <w:trHeight w:val="1160"/>
        </w:trPr>
        <w:tc>
          <w:tcPr>
            <w:tcW w:w="388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 xml:space="preserve">BMI-for-age: 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Underweigh</w:t>
            </w:r>
            <w:r>
              <w:t>t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 xml:space="preserve">Normal 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Overweight</w:t>
            </w:r>
          </w:p>
        </w:tc>
        <w:tc>
          <w:tcPr>
            <w:tcW w:w="1841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14(30)</w:t>
            </w:r>
          </w:p>
          <w:p w:rsidR="00022551" w:rsidRDefault="00022551" w:rsidP="004C46F0">
            <w:pPr>
              <w:jc w:val="center"/>
            </w:pPr>
            <w:r>
              <w:t>25(55)</w:t>
            </w:r>
          </w:p>
          <w:p w:rsidR="00022551" w:rsidRPr="007C6D91" w:rsidRDefault="00022551" w:rsidP="004C46F0">
            <w:pPr>
              <w:jc w:val="center"/>
            </w:pPr>
            <w:r>
              <w:t>7(15)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>
              <w:t>6(27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12</w:t>
            </w:r>
            <w:r w:rsidRPr="007C6D91">
              <w:t>(55)</w:t>
            </w:r>
          </w:p>
          <w:p w:rsidR="00022551" w:rsidRPr="007C6D91" w:rsidRDefault="00022551" w:rsidP="004C46F0">
            <w:pPr>
              <w:jc w:val="center"/>
            </w:pPr>
            <w:r>
              <w:t>4(18</w:t>
            </w:r>
            <w:r w:rsidRPr="007C6D91">
              <w:t>)</w:t>
            </w:r>
          </w:p>
        </w:tc>
        <w:tc>
          <w:tcPr>
            <w:tcW w:w="1998" w:type="dxa"/>
          </w:tcPr>
          <w:p w:rsidR="0002255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>
              <w:t>8(33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13(54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3(13</w:t>
            </w:r>
            <w:r w:rsidRPr="007C6D91">
              <w:t>)</w:t>
            </w:r>
          </w:p>
        </w:tc>
      </w:tr>
      <w:tr w:rsidR="00022551" w:rsidRPr="007C6D91" w:rsidTr="004C46F0">
        <w:trPr>
          <w:trHeight w:val="287"/>
        </w:trPr>
        <w:tc>
          <w:tcPr>
            <w:tcW w:w="3888" w:type="dxa"/>
          </w:tcPr>
          <w:p w:rsidR="00022551" w:rsidRPr="00E77884" w:rsidRDefault="00022551" w:rsidP="004C46F0">
            <w:r w:rsidRPr="00E77884">
              <w:t xml:space="preserve">Viral load (log </w:t>
            </w:r>
            <w:r w:rsidRPr="00E77884">
              <w:rPr>
                <w:vertAlign w:val="subscript"/>
              </w:rPr>
              <w:t xml:space="preserve">10 </w:t>
            </w:r>
            <w:r w:rsidRPr="00E77884">
              <w:t>copies/ml)</w:t>
            </w:r>
          </w:p>
        </w:tc>
        <w:tc>
          <w:tcPr>
            <w:tcW w:w="1841" w:type="dxa"/>
          </w:tcPr>
          <w:p w:rsidR="00022551" w:rsidRPr="007C6D91" w:rsidRDefault="00022551" w:rsidP="004C46F0">
            <w:pPr>
              <w:jc w:val="center"/>
            </w:pPr>
            <w:r>
              <w:t>4.8(0.8)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  <w:r>
              <w:t>4.8(0.8)</w:t>
            </w:r>
          </w:p>
        </w:tc>
        <w:tc>
          <w:tcPr>
            <w:tcW w:w="1998" w:type="dxa"/>
          </w:tcPr>
          <w:p w:rsidR="00022551" w:rsidRPr="007C6D91" w:rsidRDefault="00022551" w:rsidP="004C46F0">
            <w:pPr>
              <w:jc w:val="center"/>
            </w:pPr>
            <w:r>
              <w:t>4.7(0.9)</w:t>
            </w:r>
          </w:p>
        </w:tc>
      </w:tr>
      <w:tr w:rsidR="00022551" w:rsidRPr="007C6D91" w:rsidTr="004C46F0">
        <w:trPr>
          <w:trHeight w:val="260"/>
        </w:trPr>
        <w:tc>
          <w:tcPr>
            <w:tcW w:w="3888" w:type="dxa"/>
          </w:tcPr>
          <w:p w:rsidR="00022551" w:rsidRPr="007C6D91" w:rsidRDefault="00022551" w:rsidP="004C46F0">
            <w:r>
              <w:t>Average</w:t>
            </w:r>
            <w:r w:rsidRPr="007C6D91">
              <w:t xml:space="preserve"> self-reported adherence, VAS: </w:t>
            </w:r>
          </w:p>
          <w:p w:rsidR="00022551" w:rsidRPr="007C6D91" w:rsidRDefault="00022551" w:rsidP="004C46F0">
            <w:r w:rsidRPr="007C6D91">
              <w:t>≥95%</w:t>
            </w:r>
          </w:p>
          <w:p w:rsidR="00022551" w:rsidRPr="007C6D91" w:rsidRDefault="00022551" w:rsidP="004C46F0">
            <w:r w:rsidRPr="007C6D91">
              <w:t>80-94%</w:t>
            </w:r>
          </w:p>
          <w:p w:rsidR="00022551" w:rsidRPr="007C6D91" w:rsidRDefault="00022551" w:rsidP="004C46F0">
            <w:r w:rsidRPr="007C6D91">
              <w:t>&lt;80%</w:t>
            </w:r>
          </w:p>
        </w:tc>
        <w:tc>
          <w:tcPr>
            <w:tcW w:w="1841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15(30)</w:t>
            </w:r>
          </w:p>
          <w:p w:rsidR="00022551" w:rsidRDefault="00022551" w:rsidP="004C46F0">
            <w:pPr>
              <w:jc w:val="center"/>
            </w:pPr>
            <w:r>
              <w:t>15(30)</w:t>
            </w:r>
          </w:p>
          <w:p w:rsidR="00022551" w:rsidRPr="007C6D91" w:rsidRDefault="00022551" w:rsidP="004C46F0">
            <w:pPr>
              <w:jc w:val="center"/>
            </w:pPr>
            <w:r>
              <w:t>20(40)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6(26)</w:t>
            </w:r>
          </w:p>
          <w:p w:rsidR="00022551" w:rsidRDefault="00022551" w:rsidP="004C46F0">
            <w:pPr>
              <w:jc w:val="center"/>
            </w:pPr>
            <w:r>
              <w:t>9(39)</w:t>
            </w:r>
          </w:p>
          <w:p w:rsidR="00022551" w:rsidRPr="007C6D91" w:rsidRDefault="00022551" w:rsidP="004C46F0">
            <w:pPr>
              <w:jc w:val="center"/>
            </w:pPr>
            <w:r>
              <w:t>8(35)</w:t>
            </w:r>
          </w:p>
        </w:tc>
        <w:tc>
          <w:tcPr>
            <w:tcW w:w="1998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9(33)</w:t>
            </w:r>
          </w:p>
          <w:p w:rsidR="00022551" w:rsidRDefault="00022551" w:rsidP="004C46F0">
            <w:pPr>
              <w:jc w:val="center"/>
            </w:pPr>
            <w:r>
              <w:t>6(22)</w:t>
            </w:r>
          </w:p>
          <w:p w:rsidR="00022551" w:rsidRPr="007C6D91" w:rsidRDefault="00022551" w:rsidP="004C46F0">
            <w:pPr>
              <w:jc w:val="center"/>
            </w:pPr>
            <w:r>
              <w:t>12(45)</w:t>
            </w:r>
          </w:p>
        </w:tc>
      </w:tr>
      <w:tr w:rsidR="00022551" w:rsidRPr="007C6D91" w:rsidTr="004C46F0">
        <w:trPr>
          <w:trHeight w:val="1133"/>
        </w:trPr>
        <w:tc>
          <w:tcPr>
            <w:tcW w:w="3888" w:type="dxa"/>
          </w:tcPr>
          <w:p w:rsidR="00022551" w:rsidRPr="007C6D91" w:rsidRDefault="00022551" w:rsidP="004C46F0">
            <w:pPr>
              <w:jc w:val="both"/>
            </w:pPr>
            <w:r>
              <w:t>Self-reported closely following</w:t>
            </w:r>
            <w:r w:rsidRPr="007C6D91">
              <w:t xml:space="preserve"> dosing sche</w:t>
            </w:r>
            <w:r>
              <w:t>dule in past 4 days</w:t>
            </w:r>
            <w:r w:rsidRPr="007C6D91">
              <w:t>:</w:t>
            </w:r>
          </w:p>
          <w:p w:rsidR="00022551" w:rsidRPr="007C6D91" w:rsidRDefault="00022551" w:rsidP="004C46F0">
            <w:r w:rsidRPr="007C6D91">
              <w:t>Yes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No</w:t>
            </w:r>
          </w:p>
        </w:tc>
        <w:tc>
          <w:tcPr>
            <w:tcW w:w="1841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22(44)</w:t>
            </w:r>
          </w:p>
          <w:p w:rsidR="00022551" w:rsidRPr="007C6D91" w:rsidRDefault="00022551" w:rsidP="004C46F0">
            <w:pPr>
              <w:jc w:val="center"/>
            </w:pPr>
            <w:r>
              <w:t>28(56)</w:t>
            </w:r>
          </w:p>
        </w:tc>
        <w:tc>
          <w:tcPr>
            <w:tcW w:w="1849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>
              <w:t>10(43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13(57</w:t>
            </w:r>
            <w:r w:rsidRPr="007C6D91">
              <w:t>)</w:t>
            </w:r>
          </w:p>
        </w:tc>
        <w:tc>
          <w:tcPr>
            <w:tcW w:w="1998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>
              <w:t>12(44</w:t>
            </w:r>
            <w:r w:rsidRPr="007C6D91">
              <w:t>)</w:t>
            </w:r>
          </w:p>
          <w:p w:rsidR="00022551" w:rsidRPr="007C6D91" w:rsidRDefault="00022551" w:rsidP="004C46F0">
            <w:pPr>
              <w:jc w:val="center"/>
            </w:pPr>
            <w:r>
              <w:t>15(56</w:t>
            </w:r>
            <w:r w:rsidRPr="007C6D91">
              <w:t>)</w:t>
            </w:r>
          </w:p>
        </w:tc>
      </w:tr>
      <w:tr w:rsidR="00022551" w:rsidRPr="007C6D91" w:rsidTr="004C46F0">
        <w:trPr>
          <w:trHeight w:val="593"/>
        </w:trPr>
        <w:tc>
          <w:tcPr>
            <w:tcW w:w="3888" w:type="dxa"/>
          </w:tcPr>
          <w:p w:rsidR="00022551" w:rsidRPr="007C6D91" w:rsidRDefault="00022551" w:rsidP="004C46F0">
            <w:pPr>
              <w:pStyle w:val="ListParagraph"/>
              <w:ind w:left="0"/>
            </w:pPr>
            <w:r>
              <w:t>H</w:t>
            </w:r>
            <w:r w:rsidRPr="007C6D91">
              <w:t xml:space="preserve">air </w:t>
            </w:r>
            <w:proofErr w:type="spellStart"/>
            <w:r w:rsidRPr="007C6D91">
              <w:t>atazanavir</w:t>
            </w:r>
            <w:proofErr w:type="spellEnd"/>
            <w:r w:rsidRPr="007C6D91">
              <w:t xml:space="preserve"> concentration (</w:t>
            </w:r>
            <w:proofErr w:type="spellStart"/>
            <w:r w:rsidRPr="007C6D91">
              <w:t>ng</w:t>
            </w:r>
            <w:proofErr w:type="spellEnd"/>
            <w:r w:rsidRPr="007C6D91">
              <w:t>/mg) (n=44)</w:t>
            </w:r>
            <w:r>
              <w:t>; mean(SD); 95% CI</w:t>
            </w:r>
            <w:r w:rsidRPr="007C6D91">
              <w:t>:</w:t>
            </w:r>
          </w:p>
        </w:tc>
        <w:tc>
          <w:tcPr>
            <w:tcW w:w="1841" w:type="dxa"/>
          </w:tcPr>
          <w:p w:rsidR="00022551" w:rsidRPr="005312A7" w:rsidRDefault="00022551" w:rsidP="004C46F0">
            <w:pPr>
              <w:jc w:val="center"/>
              <w:rPr>
                <w:rFonts w:cs="Times New Roman"/>
              </w:rPr>
            </w:pPr>
          </w:p>
          <w:p w:rsidR="00022551" w:rsidRPr="005312A7" w:rsidRDefault="00022551" w:rsidP="004C46F0">
            <w:pPr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1.4(1.5); 0-3.92</w:t>
            </w:r>
          </w:p>
        </w:tc>
        <w:tc>
          <w:tcPr>
            <w:tcW w:w="1849" w:type="dxa"/>
          </w:tcPr>
          <w:p w:rsidR="00022551" w:rsidRPr="005312A7" w:rsidRDefault="00022551" w:rsidP="004C46F0">
            <w:pPr>
              <w:jc w:val="center"/>
              <w:rPr>
                <w:rFonts w:cs="Times New Roman"/>
              </w:rPr>
            </w:pPr>
          </w:p>
          <w:p w:rsidR="00022551" w:rsidRPr="005312A7" w:rsidRDefault="00022551" w:rsidP="004C46F0">
            <w:pPr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1.1(1.4); 0-3.79</w:t>
            </w:r>
          </w:p>
        </w:tc>
        <w:tc>
          <w:tcPr>
            <w:tcW w:w="1998" w:type="dxa"/>
          </w:tcPr>
          <w:p w:rsidR="00022551" w:rsidRPr="005312A7" w:rsidRDefault="00022551" w:rsidP="004C46F0">
            <w:pPr>
              <w:rPr>
                <w:rFonts w:cs="Times New Roman"/>
              </w:rPr>
            </w:pPr>
          </w:p>
          <w:p w:rsidR="00022551" w:rsidRPr="005312A7" w:rsidRDefault="00022551" w:rsidP="004C46F0">
            <w:pPr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1.7(1.6); 0-3.98</w:t>
            </w:r>
          </w:p>
        </w:tc>
      </w:tr>
    </w:tbl>
    <w:p w:rsidR="00022551" w:rsidRPr="000E4FB7" w:rsidRDefault="00022551" w:rsidP="00022551">
      <w:pPr>
        <w:tabs>
          <w:tab w:val="left" w:pos="7530"/>
        </w:tabs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ART- antiretroviral therapy; BMI- body mass index; </w:t>
      </w:r>
      <w:r w:rsidRPr="000E4FB7">
        <w:rPr>
          <w:i/>
          <w:sz w:val="18"/>
          <w:szCs w:val="18"/>
        </w:rPr>
        <w:t>VAS- visual analogue scale</w:t>
      </w: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</w:rPr>
      </w:pPr>
    </w:p>
    <w:p w:rsidR="00022551" w:rsidRPr="00444F1B" w:rsidRDefault="00022551" w:rsidP="00022551">
      <w:pPr>
        <w:tabs>
          <w:tab w:val="left" w:pos="7530"/>
        </w:tabs>
        <w:spacing w:after="0" w:line="240" w:lineRule="auto"/>
        <w:contextualSpacing/>
        <w:jc w:val="both"/>
        <w:rPr>
          <w:b/>
          <w:lang w:val="en-GB"/>
        </w:rPr>
      </w:pPr>
      <w:r>
        <w:rPr>
          <w:b/>
        </w:rPr>
        <w:lastRenderedPageBreak/>
        <w:t>Supplement t</w:t>
      </w:r>
      <w:r w:rsidRPr="00BF3834">
        <w:rPr>
          <w:b/>
        </w:rPr>
        <w:t>able 2: Comparison of participants’ treatment characteristics by treatment arms after follow-up</w:t>
      </w:r>
    </w:p>
    <w:tbl>
      <w:tblPr>
        <w:tblStyle w:val="TableGrid"/>
        <w:tblpPr w:leftFromText="180" w:rightFromText="180" w:vertAnchor="text" w:horzAnchor="margin" w:tblpXSpec="center" w:tblpY="226"/>
        <w:tblW w:w="9450" w:type="dxa"/>
        <w:tblLayout w:type="fixed"/>
        <w:tblLook w:val="04A0"/>
      </w:tblPr>
      <w:tblGrid>
        <w:gridCol w:w="4608"/>
        <w:gridCol w:w="1962"/>
        <w:gridCol w:w="1980"/>
        <w:gridCol w:w="900"/>
      </w:tblGrid>
      <w:tr w:rsidR="00022551" w:rsidRPr="007C6D91" w:rsidTr="004C46F0">
        <w:tc>
          <w:tcPr>
            <w:tcW w:w="4608" w:type="dxa"/>
          </w:tcPr>
          <w:p w:rsidR="00022551" w:rsidRPr="007C6D91" w:rsidRDefault="00022551" w:rsidP="004C46F0">
            <w:pPr>
              <w:pStyle w:val="ListParagraph"/>
              <w:ind w:left="0"/>
              <w:rPr>
                <w:b/>
              </w:rPr>
            </w:pPr>
            <w:r w:rsidRPr="007C6D91">
              <w:rPr>
                <w:b/>
              </w:rPr>
              <w:t>Variable</w:t>
            </w:r>
          </w:p>
        </w:tc>
        <w:tc>
          <w:tcPr>
            <w:tcW w:w="1962" w:type="dxa"/>
          </w:tcPr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7C6D91">
              <w:rPr>
                <w:b/>
              </w:rPr>
              <w:t>mDAART</w:t>
            </w:r>
            <w:proofErr w:type="spellEnd"/>
          </w:p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 w:rsidRPr="007C6D91">
              <w:rPr>
                <w:b/>
              </w:rPr>
              <w:t>(n=23)</w:t>
            </w:r>
          </w:p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 w:rsidRPr="007C6D91">
              <w:rPr>
                <w:b/>
              </w:rPr>
              <w:t>n(%) or mean(SD)</w:t>
            </w:r>
          </w:p>
        </w:tc>
        <w:tc>
          <w:tcPr>
            <w:tcW w:w="1980" w:type="dxa"/>
          </w:tcPr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 w:rsidRPr="007C6D91">
              <w:rPr>
                <w:b/>
              </w:rPr>
              <w:t>Standard care</w:t>
            </w:r>
          </w:p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 w:rsidRPr="007C6D91">
              <w:rPr>
                <w:b/>
              </w:rPr>
              <w:t>(n=27)</w:t>
            </w:r>
          </w:p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 w:rsidRPr="007C6D91">
              <w:rPr>
                <w:b/>
              </w:rPr>
              <w:t>n(%)  or mean(SD)</w:t>
            </w:r>
          </w:p>
        </w:tc>
        <w:tc>
          <w:tcPr>
            <w:tcW w:w="900" w:type="dxa"/>
          </w:tcPr>
          <w:p w:rsidR="00022551" w:rsidRPr="007C6D91" w:rsidRDefault="00022551" w:rsidP="004C46F0">
            <w:pPr>
              <w:pStyle w:val="ListParagraph"/>
              <w:ind w:left="0"/>
              <w:jc w:val="center"/>
              <w:rPr>
                <w:b/>
              </w:rPr>
            </w:pPr>
            <w:r w:rsidRPr="007C6D91">
              <w:rPr>
                <w:b/>
              </w:rPr>
              <w:t>p-value</w:t>
            </w:r>
          </w:p>
        </w:tc>
      </w:tr>
      <w:tr w:rsidR="00022551" w:rsidRPr="007C6D91" w:rsidTr="004C46F0">
        <w:tc>
          <w:tcPr>
            <w:tcW w:w="4608" w:type="dxa"/>
          </w:tcPr>
          <w:p w:rsidR="00022551" w:rsidRPr="007C6D91" w:rsidRDefault="00022551" w:rsidP="004C46F0">
            <w:pPr>
              <w:pStyle w:val="ListParagraph"/>
              <w:ind w:left="0"/>
            </w:pPr>
            <w:r>
              <w:t>Viral load</w:t>
            </w:r>
            <w:r w:rsidRPr="007C6D91">
              <w:t xml:space="preserve">: 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&lt;1</w:t>
            </w:r>
            <w:r>
              <w:t>,</w:t>
            </w:r>
            <w:r w:rsidRPr="007C6D91">
              <w:t>000 copies/ml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rPr>
                <w:rFonts w:cstheme="minorHAnsi"/>
              </w:rPr>
              <w:t>≥</w:t>
            </w:r>
            <w:r w:rsidRPr="007C6D91">
              <w:t>1</w:t>
            </w:r>
            <w:r>
              <w:t>,</w:t>
            </w:r>
            <w:r w:rsidRPr="007C6D91">
              <w:t>000 copies/ml</w:t>
            </w:r>
          </w:p>
        </w:tc>
        <w:tc>
          <w:tcPr>
            <w:tcW w:w="1962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12(52)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11(48)</w:t>
            </w:r>
          </w:p>
        </w:tc>
        <w:tc>
          <w:tcPr>
            <w:tcW w:w="198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8(30)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19(70)</w:t>
            </w:r>
          </w:p>
        </w:tc>
        <w:tc>
          <w:tcPr>
            <w:tcW w:w="900" w:type="dxa"/>
          </w:tcPr>
          <w:p w:rsidR="00022551" w:rsidRPr="00084A5C" w:rsidRDefault="00022551" w:rsidP="004C46F0">
            <w:pPr>
              <w:jc w:val="center"/>
            </w:pPr>
          </w:p>
          <w:p w:rsidR="00022551" w:rsidRPr="00084A5C" w:rsidRDefault="00022551" w:rsidP="004C46F0">
            <w:pPr>
              <w:jc w:val="center"/>
            </w:pPr>
            <w:r w:rsidRPr="00084A5C">
              <w:t>0.105</w:t>
            </w:r>
          </w:p>
        </w:tc>
      </w:tr>
      <w:tr w:rsidR="00022551" w:rsidRPr="007C6D91" w:rsidTr="004C46F0">
        <w:trPr>
          <w:trHeight w:val="350"/>
        </w:trPr>
        <w:tc>
          <w:tcPr>
            <w:tcW w:w="4608" w:type="dxa"/>
          </w:tcPr>
          <w:p w:rsidR="00022551" w:rsidRPr="007C6D91" w:rsidRDefault="00022551" w:rsidP="004C46F0">
            <w:pPr>
              <w:pStyle w:val="ListParagraph"/>
              <w:ind w:left="0"/>
            </w:pPr>
            <w:r>
              <w:t>V</w:t>
            </w:r>
            <w:r w:rsidRPr="007C6D91">
              <w:t>iral load (log</w:t>
            </w:r>
            <w:r w:rsidRPr="007C6D91">
              <w:rPr>
                <w:vertAlign w:val="subscript"/>
              </w:rPr>
              <w:t>10</w:t>
            </w:r>
            <w:r w:rsidRPr="007C6D91">
              <w:t xml:space="preserve"> copies/ml)</w:t>
            </w:r>
          </w:p>
        </w:tc>
        <w:tc>
          <w:tcPr>
            <w:tcW w:w="1962" w:type="dxa"/>
          </w:tcPr>
          <w:p w:rsidR="00022551" w:rsidRPr="007C6D91" w:rsidRDefault="00022551" w:rsidP="004C46F0">
            <w:pPr>
              <w:jc w:val="center"/>
            </w:pPr>
            <w:r w:rsidRPr="007C6D91">
              <w:t>3.3(1.5)</w:t>
            </w:r>
          </w:p>
        </w:tc>
        <w:tc>
          <w:tcPr>
            <w:tcW w:w="1980" w:type="dxa"/>
          </w:tcPr>
          <w:p w:rsidR="00022551" w:rsidRPr="007C6D91" w:rsidRDefault="00022551" w:rsidP="004C46F0">
            <w:pPr>
              <w:jc w:val="center"/>
            </w:pPr>
            <w:r w:rsidRPr="007C6D91">
              <w:t>4(1.5)</w:t>
            </w:r>
          </w:p>
        </w:tc>
        <w:tc>
          <w:tcPr>
            <w:tcW w:w="900" w:type="dxa"/>
          </w:tcPr>
          <w:p w:rsidR="00022551" w:rsidRPr="00084A5C" w:rsidRDefault="00022551" w:rsidP="004C46F0">
            <w:pPr>
              <w:jc w:val="center"/>
            </w:pPr>
            <w:r w:rsidRPr="00084A5C">
              <w:t>0.048</w:t>
            </w:r>
          </w:p>
        </w:tc>
      </w:tr>
      <w:tr w:rsidR="00022551" w:rsidRPr="007C6D91" w:rsidTr="004C46F0">
        <w:trPr>
          <w:trHeight w:val="350"/>
        </w:trPr>
        <w:tc>
          <w:tcPr>
            <w:tcW w:w="4608" w:type="dxa"/>
          </w:tcPr>
          <w:p w:rsidR="00022551" w:rsidRPr="007C6D91" w:rsidRDefault="00022551" w:rsidP="004C46F0">
            <w:pPr>
              <w:pStyle w:val="ListParagraph"/>
              <w:ind w:left="0"/>
            </w:pPr>
            <w:r>
              <w:t>Viral load change</w:t>
            </w:r>
            <w:r w:rsidRPr="007C6D91">
              <w:t xml:space="preserve"> (log</w:t>
            </w:r>
            <w:r w:rsidRPr="007C6D91">
              <w:rPr>
                <w:vertAlign w:val="subscript"/>
              </w:rPr>
              <w:t>10</w:t>
            </w:r>
            <w:r w:rsidRPr="007C6D91">
              <w:t xml:space="preserve"> copies/ml)</w:t>
            </w:r>
          </w:p>
        </w:tc>
        <w:tc>
          <w:tcPr>
            <w:tcW w:w="1962" w:type="dxa"/>
          </w:tcPr>
          <w:p w:rsidR="00022551" w:rsidRPr="007C6D91" w:rsidRDefault="00022551" w:rsidP="004C46F0">
            <w:pPr>
              <w:jc w:val="center"/>
            </w:pPr>
            <w:r w:rsidRPr="007C6D91">
              <w:t>-1.5(1.6)</w:t>
            </w:r>
          </w:p>
        </w:tc>
        <w:tc>
          <w:tcPr>
            <w:tcW w:w="1980" w:type="dxa"/>
          </w:tcPr>
          <w:p w:rsidR="00022551" w:rsidRPr="007C6D91" w:rsidRDefault="00022551" w:rsidP="004C46F0">
            <w:pPr>
              <w:jc w:val="center"/>
            </w:pPr>
            <w:r w:rsidRPr="007C6D91">
              <w:t>-0.8(1.3)</w:t>
            </w:r>
          </w:p>
        </w:tc>
        <w:tc>
          <w:tcPr>
            <w:tcW w:w="900" w:type="dxa"/>
          </w:tcPr>
          <w:p w:rsidR="00022551" w:rsidRPr="00084A5C" w:rsidRDefault="00022551" w:rsidP="004C46F0">
            <w:pPr>
              <w:jc w:val="center"/>
            </w:pPr>
            <w:r w:rsidRPr="00084A5C">
              <w:t>0.031</w:t>
            </w:r>
          </w:p>
        </w:tc>
      </w:tr>
      <w:tr w:rsidR="00022551" w:rsidRPr="007C6D91" w:rsidTr="004C46F0">
        <w:tc>
          <w:tcPr>
            <w:tcW w:w="4608" w:type="dxa"/>
          </w:tcPr>
          <w:p w:rsidR="00022551" w:rsidRPr="007C6D91" w:rsidRDefault="00022551" w:rsidP="004C46F0">
            <w:r>
              <w:t>Average</w:t>
            </w:r>
            <w:r w:rsidRPr="007C6D91">
              <w:t xml:space="preserve"> self-reported adherence, VAS: </w:t>
            </w:r>
          </w:p>
          <w:p w:rsidR="00022551" w:rsidRPr="007C6D91" w:rsidRDefault="00022551" w:rsidP="004C46F0">
            <w:r w:rsidRPr="007C6D91">
              <w:t>≥95%</w:t>
            </w:r>
          </w:p>
          <w:p w:rsidR="00022551" w:rsidRPr="007C6D91" w:rsidRDefault="00022551" w:rsidP="004C46F0">
            <w:r w:rsidRPr="007C6D91">
              <w:t>80-94%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&lt;80%</w:t>
            </w:r>
          </w:p>
        </w:tc>
        <w:tc>
          <w:tcPr>
            <w:tcW w:w="1962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15(65)</w:t>
            </w:r>
          </w:p>
          <w:p w:rsidR="00022551" w:rsidRDefault="00022551" w:rsidP="004C46F0">
            <w:pPr>
              <w:jc w:val="center"/>
            </w:pPr>
            <w:r>
              <w:t>6(26)</w:t>
            </w:r>
          </w:p>
          <w:p w:rsidR="00022551" w:rsidRPr="007B2666" w:rsidRDefault="00022551" w:rsidP="004C46F0">
            <w:pPr>
              <w:jc w:val="center"/>
            </w:pPr>
            <w:r>
              <w:t>2(9)</w:t>
            </w:r>
          </w:p>
        </w:tc>
        <w:tc>
          <w:tcPr>
            <w:tcW w:w="1980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10(37)</w:t>
            </w:r>
          </w:p>
          <w:p w:rsidR="00022551" w:rsidRDefault="00022551" w:rsidP="004C46F0">
            <w:pPr>
              <w:jc w:val="center"/>
            </w:pPr>
            <w:r>
              <w:t>8(30)</w:t>
            </w:r>
          </w:p>
          <w:p w:rsidR="00022551" w:rsidRPr="007B2666" w:rsidRDefault="00022551" w:rsidP="004C46F0">
            <w:pPr>
              <w:jc w:val="center"/>
            </w:pPr>
            <w:r>
              <w:t>9(33)</w:t>
            </w:r>
          </w:p>
        </w:tc>
        <w:tc>
          <w:tcPr>
            <w:tcW w:w="900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Pr="00E079B5" w:rsidRDefault="00022551" w:rsidP="004C46F0">
            <w:pPr>
              <w:jc w:val="center"/>
            </w:pPr>
            <w:r>
              <w:t>0.050</w:t>
            </w:r>
          </w:p>
        </w:tc>
      </w:tr>
      <w:tr w:rsidR="00022551" w:rsidRPr="007C6D91" w:rsidTr="004C46F0">
        <w:tc>
          <w:tcPr>
            <w:tcW w:w="4608" w:type="dxa"/>
          </w:tcPr>
          <w:p w:rsidR="00022551" w:rsidRPr="007C6D91" w:rsidRDefault="00022551" w:rsidP="004C46F0">
            <w:pPr>
              <w:jc w:val="both"/>
            </w:pPr>
            <w:r>
              <w:t>Self-reported closely following</w:t>
            </w:r>
            <w:r w:rsidRPr="007C6D91">
              <w:t xml:space="preserve"> dosing sche</w:t>
            </w:r>
            <w:r>
              <w:t>dule in past 4 days</w:t>
            </w:r>
            <w:r w:rsidRPr="007C6D91">
              <w:t>:</w:t>
            </w:r>
          </w:p>
          <w:p w:rsidR="00022551" w:rsidRPr="007C6D91" w:rsidRDefault="00022551" w:rsidP="004C46F0">
            <w:r w:rsidRPr="007C6D91">
              <w:t>Yes</w:t>
            </w:r>
          </w:p>
          <w:p w:rsidR="00022551" w:rsidRPr="007C6D91" w:rsidRDefault="00022551" w:rsidP="004C46F0">
            <w:r w:rsidRPr="007C6D91">
              <w:t>No</w:t>
            </w:r>
          </w:p>
        </w:tc>
        <w:tc>
          <w:tcPr>
            <w:tcW w:w="1962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19(83)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4(17)</w:t>
            </w:r>
          </w:p>
        </w:tc>
        <w:tc>
          <w:tcPr>
            <w:tcW w:w="198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10(37)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17(63)</w:t>
            </w:r>
          </w:p>
        </w:tc>
        <w:tc>
          <w:tcPr>
            <w:tcW w:w="900" w:type="dxa"/>
          </w:tcPr>
          <w:p w:rsidR="00022551" w:rsidRPr="00084A5C" w:rsidRDefault="00022551" w:rsidP="004C46F0">
            <w:pPr>
              <w:jc w:val="center"/>
            </w:pPr>
          </w:p>
          <w:p w:rsidR="00022551" w:rsidRPr="00084A5C" w:rsidRDefault="00022551" w:rsidP="004C46F0">
            <w:pPr>
              <w:jc w:val="center"/>
            </w:pPr>
          </w:p>
          <w:p w:rsidR="00022551" w:rsidRPr="00084A5C" w:rsidRDefault="00022551" w:rsidP="004C46F0">
            <w:pPr>
              <w:jc w:val="center"/>
            </w:pPr>
            <w:r>
              <w:t>&lt;</w:t>
            </w:r>
            <w:r w:rsidRPr="00084A5C">
              <w:t>0.001</w:t>
            </w:r>
          </w:p>
        </w:tc>
      </w:tr>
      <w:tr w:rsidR="00022551" w:rsidRPr="007C6D91" w:rsidTr="004C46F0">
        <w:tc>
          <w:tcPr>
            <w:tcW w:w="460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 xml:space="preserve">Hair </w:t>
            </w:r>
            <w:proofErr w:type="spellStart"/>
            <w:r w:rsidRPr="007C6D91">
              <w:t>atazanavir</w:t>
            </w:r>
            <w:proofErr w:type="spellEnd"/>
            <w:r w:rsidRPr="007C6D91">
              <w:t xml:space="preserve"> concentration (</w:t>
            </w:r>
            <w:proofErr w:type="spellStart"/>
            <w:r w:rsidRPr="007C6D91">
              <w:t>ng</w:t>
            </w:r>
            <w:proofErr w:type="spellEnd"/>
            <w:r w:rsidRPr="007C6D91">
              <w:t>/mg)</w:t>
            </w:r>
            <w:r>
              <w:t xml:space="preserve"> (n=42)</w:t>
            </w:r>
            <w:r w:rsidRPr="007C6D91">
              <w:t>:</w:t>
            </w:r>
          </w:p>
        </w:tc>
        <w:tc>
          <w:tcPr>
            <w:tcW w:w="1962" w:type="dxa"/>
          </w:tcPr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2.9(2.2); 0.5-7.2</w:t>
            </w:r>
          </w:p>
        </w:tc>
        <w:tc>
          <w:tcPr>
            <w:tcW w:w="1980" w:type="dxa"/>
          </w:tcPr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2.3(2.5); 0-6.6</w:t>
            </w:r>
          </w:p>
        </w:tc>
        <w:tc>
          <w:tcPr>
            <w:tcW w:w="900" w:type="dxa"/>
          </w:tcPr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0.203</w:t>
            </w:r>
          </w:p>
        </w:tc>
      </w:tr>
    </w:tbl>
    <w:p w:rsidR="00022551" w:rsidRDefault="00022551" w:rsidP="00022551">
      <w:pPr>
        <w:spacing w:after="0"/>
        <w:rPr>
          <w:i/>
          <w:sz w:val="18"/>
          <w:szCs w:val="18"/>
        </w:rPr>
      </w:pPr>
      <w:proofErr w:type="spellStart"/>
      <w:proofErr w:type="gramStart"/>
      <w:r>
        <w:rPr>
          <w:i/>
          <w:sz w:val="18"/>
          <w:szCs w:val="18"/>
        </w:rPr>
        <w:t>mDAART</w:t>
      </w:r>
      <w:proofErr w:type="spellEnd"/>
      <w:r>
        <w:rPr>
          <w:i/>
          <w:sz w:val="18"/>
          <w:szCs w:val="18"/>
        </w:rPr>
        <w:t>-</w:t>
      </w:r>
      <w:proofErr w:type="gramEnd"/>
      <w:r>
        <w:rPr>
          <w:i/>
          <w:sz w:val="18"/>
          <w:szCs w:val="18"/>
        </w:rPr>
        <w:t xml:space="preserve"> modified directly administered antiretroviral therapy;  </w:t>
      </w:r>
      <w:r w:rsidRPr="00C40516">
        <w:rPr>
          <w:i/>
          <w:sz w:val="18"/>
          <w:szCs w:val="18"/>
        </w:rPr>
        <w:t>VAS- visual analogue scale</w:t>
      </w:r>
    </w:p>
    <w:p w:rsidR="00022551" w:rsidRDefault="00022551" w:rsidP="00022551">
      <w:pPr>
        <w:spacing w:after="0"/>
      </w:pPr>
    </w:p>
    <w:p w:rsidR="00022551" w:rsidRDefault="00022551" w:rsidP="00022551">
      <w:pPr>
        <w:spacing w:after="0"/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jc w:val="both"/>
        <w:rPr>
          <w:b/>
        </w:rPr>
      </w:pPr>
    </w:p>
    <w:p w:rsidR="00022551" w:rsidRDefault="00022551" w:rsidP="00022551">
      <w:pPr>
        <w:spacing w:after="0" w:line="240" w:lineRule="auto"/>
        <w:jc w:val="both"/>
        <w:rPr>
          <w:b/>
        </w:rPr>
      </w:pPr>
    </w:p>
    <w:p w:rsidR="00022551" w:rsidRDefault="00022551" w:rsidP="00022551">
      <w:pPr>
        <w:spacing w:after="0" w:line="240" w:lineRule="auto"/>
        <w:jc w:val="both"/>
        <w:rPr>
          <w:b/>
        </w:rPr>
      </w:pPr>
    </w:p>
    <w:p w:rsidR="00022551" w:rsidRDefault="00022551" w:rsidP="00022551">
      <w:pPr>
        <w:spacing w:after="0" w:line="240" w:lineRule="auto"/>
        <w:jc w:val="both"/>
        <w:rPr>
          <w:b/>
        </w:rPr>
      </w:pPr>
    </w:p>
    <w:p w:rsidR="00022551" w:rsidRPr="00AA2FA5" w:rsidRDefault="00022551" w:rsidP="00022551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</w:rPr>
        <w:lastRenderedPageBreak/>
        <w:t xml:space="preserve">Supplement table 3: </w:t>
      </w:r>
      <w:r w:rsidRPr="00DD1758">
        <w:rPr>
          <w:b/>
        </w:rPr>
        <w:t>Multivariate logistic regression</w:t>
      </w:r>
      <w:r>
        <w:rPr>
          <w:b/>
        </w:rPr>
        <w:t xml:space="preserve"> comparing </w:t>
      </w:r>
      <w:proofErr w:type="spellStart"/>
      <w:r>
        <w:rPr>
          <w:b/>
        </w:rPr>
        <w:t>mDAART</w:t>
      </w:r>
      <w:proofErr w:type="spellEnd"/>
      <w:r>
        <w:rPr>
          <w:b/>
        </w:rPr>
        <w:t xml:space="preserve"> referenced to standard care</w:t>
      </w:r>
    </w:p>
    <w:tbl>
      <w:tblPr>
        <w:tblStyle w:val="TableGrid"/>
        <w:tblW w:w="0" w:type="auto"/>
        <w:tblLook w:val="04A0"/>
      </w:tblPr>
      <w:tblGrid>
        <w:gridCol w:w="5688"/>
        <w:gridCol w:w="2790"/>
        <w:gridCol w:w="1098"/>
      </w:tblGrid>
      <w:tr w:rsidR="00022551" w:rsidTr="004C46F0">
        <w:tc>
          <w:tcPr>
            <w:tcW w:w="5688" w:type="dxa"/>
          </w:tcPr>
          <w:p w:rsidR="00022551" w:rsidRDefault="00022551" w:rsidP="004C46F0">
            <w:pPr>
              <w:jc w:val="both"/>
              <w:rPr>
                <w:b/>
              </w:rPr>
            </w:pPr>
            <w:r>
              <w:rPr>
                <w:b/>
              </w:rPr>
              <w:t xml:space="preserve">Variable </w:t>
            </w:r>
          </w:p>
        </w:tc>
        <w:tc>
          <w:tcPr>
            <w:tcW w:w="2790" w:type="dxa"/>
          </w:tcPr>
          <w:p w:rsidR="00022551" w:rsidRDefault="00022551" w:rsidP="004C46F0">
            <w:pPr>
              <w:jc w:val="center"/>
              <w:rPr>
                <w:b/>
              </w:rPr>
            </w:pPr>
            <w:r>
              <w:rPr>
                <w:b/>
              </w:rPr>
              <w:t>Relative risk (95% confidence interval)</w:t>
            </w:r>
          </w:p>
        </w:tc>
        <w:tc>
          <w:tcPr>
            <w:tcW w:w="1098" w:type="dxa"/>
          </w:tcPr>
          <w:p w:rsidR="00022551" w:rsidRDefault="00022551" w:rsidP="004C46F0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022551" w:rsidRPr="00C55218" w:rsidTr="004C46F0">
        <w:tc>
          <w:tcPr>
            <w:tcW w:w="5688" w:type="dxa"/>
          </w:tcPr>
          <w:p w:rsidR="00022551" w:rsidRPr="0036331C" w:rsidRDefault="00022551" w:rsidP="004C46F0">
            <w:pPr>
              <w:jc w:val="both"/>
            </w:pPr>
            <w:r w:rsidRPr="0036331C">
              <w:t>Self-reported closely following dosing schedule in past 4 days:</w:t>
            </w:r>
          </w:p>
          <w:p w:rsidR="00022551" w:rsidRPr="0036331C" w:rsidRDefault="00022551" w:rsidP="004C46F0">
            <w:r w:rsidRPr="0036331C">
              <w:t>Yes</w:t>
            </w:r>
          </w:p>
        </w:tc>
        <w:tc>
          <w:tcPr>
            <w:tcW w:w="2790" w:type="dxa"/>
          </w:tcPr>
          <w:p w:rsidR="00022551" w:rsidRPr="0036331C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Pr="0036331C" w:rsidRDefault="00022551" w:rsidP="004C46F0">
            <w:pPr>
              <w:jc w:val="center"/>
            </w:pPr>
            <w:r w:rsidRPr="0036331C">
              <w:t>10(1.9-52.4)</w:t>
            </w:r>
          </w:p>
        </w:tc>
        <w:tc>
          <w:tcPr>
            <w:tcW w:w="1098" w:type="dxa"/>
          </w:tcPr>
          <w:p w:rsidR="00022551" w:rsidRPr="0036331C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Pr="0036331C" w:rsidRDefault="00022551" w:rsidP="004C46F0">
            <w:pPr>
              <w:jc w:val="center"/>
            </w:pPr>
            <w:r w:rsidRPr="0036331C">
              <w:t>0.007</w:t>
            </w:r>
          </w:p>
        </w:tc>
      </w:tr>
      <w:tr w:rsidR="00022551" w:rsidRPr="00757741" w:rsidTr="004C46F0">
        <w:tc>
          <w:tcPr>
            <w:tcW w:w="5688" w:type="dxa"/>
          </w:tcPr>
          <w:p w:rsidR="00022551" w:rsidRPr="0036331C" w:rsidRDefault="00022551" w:rsidP="004C46F0">
            <w:pPr>
              <w:pStyle w:val="ListParagraph"/>
              <w:ind w:left="0"/>
            </w:pPr>
            <w:r w:rsidRPr="0036331C">
              <w:t>Viral load at follow-up:</w:t>
            </w:r>
          </w:p>
          <w:p w:rsidR="00022551" w:rsidRPr="0036331C" w:rsidRDefault="00022551" w:rsidP="004C46F0">
            <w:pPr>
              <w:jc w:val="both"/>
            </w:pPr>
            <w:r w:rsidRPr="0036331C">
              <w:rPr>
                <w:rFonts w:cstheme="minorHAnsi"/>
              </w:rPr>
              <w:t>≥</w:t>
            </w:r>
            <w:r w:rsidRPr="0036331C">
              <w:t>1</w:t>
            </w:r>
            <w:r>
              <w:t>,</w:t>
            </w:r>
            <w:r w:rsidRPr="0036331C">
              <w:t>000 copies/ml</w:t>
            </w:r>
          </w:p>
        </w:tc>
        <w:tc>
          <w:tcPr>
            <w:tcW w:w="2790" w:type="dxa"/>
          </w:tcPr>
          <w:p w:rsidR="00022551" w:rsidRPr="0036331C" w:rsidRDefault="00022551" w:rsidP="004C46F0">
            <w:pPr>
              <w:jc w:val="center"/>
            </w:pPr>
          </w:p>
          <w:p w:rsidR="00022551" w:rsidRPr="0036331C" w:rsidRDefault="00022551" w:rsidP="004C46F0">
            <w:pPr>
              <w:jc w:val="center"/>
            </w:pPr>
            <w:r w:rsidRPr="0036331C">
              <w:t>0.2(0.006-7.4)</w:t>
            </w:r>
          </w:p>
        </w:tc>
        <w:tc>
          <w:tcPr>
            <w:tcW w:w="1098" w:type="dxa"/>
          </w:tcPr>
          <w:p w:rsidR="00022551" w:rsidRPr="0036331C" w:rsidRDefault="00022551" w:rsidP="004C46F0">
            <w:pPr>
              <w:jc w:val="center"/>
            </w:pPr>
          </w:p>
          <w:p w:rsidR="00022551" w:rsidRPr="0036331C" w:rsidRDefault="00022551" w:rsidP="004C46F0">
            <w:pPr>
              <w:jc w:val="center"/>
            </w:pPr>
            <w:r w:rsidRPr="0036331C">
              <w:t>0.384</w:t>
            </w:r>
          </w:p>
        </w:tc>
      </w:tr>
      <w:tr w:rsidR="00022551" w:rsidRPr="00757741" w:rsidTr="004C46F0">
        <w:tc>
          <w:tcPr>
            <w:tcW w:w="5688" w:type="dxa"/>
          </w:tcPr>
          <w:p w:rsidR="00022551" w:rsidRPr="0036331C" w:rsidRDefault="00022551" w:rsidP="004C46F0">
            <w:r w:rsidRPr="0036331C">
              <w:t>Av</w:t>
            </w:r>
            <w:r>
              <w:t>erage self-reported adherence, VAS,</w:t>
            </w:r>
            <w:r w:rsidRPr="0036331C">
              <w:t xml:space="preserve"> at follow-up:</w:t>
            </w:r>
          </w:p>
          <w:p w:rsidR="00022551" w:rsidRPr="0036331C" w:rsidRDefault="00022551" w:rsidP="004C46F0">
            <w:r w:rsidRPr="0036331C">
              <w:t>80-94%</w:t>
            </w:r>
          </w:p>
          <w:p w:rsidR="00022551" w:rsidRPr="0036331C" w:rsidRDefault="00022551" w:rsidP="004C46F0">
            <w:pPr>
              <w:pStyle w:val="ListParagraph"/>
              <w:ind w:left="0"/>
            </w:pPr>
            <w:r w:rsidRPr="0036331C">
              <w:t>&lt;80%</w:t>
            </w:r>
          </w:p>
        </w:tc>
        <w:tc>
          <w:tcPr>
            <w:tcW w:w="2790" w:type="dxa"/>
          </w:tcPr>
          <w:p w:rsidR="00022551" w:rsidRPr="0036331C" w:rsidRDefault="00022551" w:rsidP="004C46F0"/>
          <w:p w:rsidR="00022551" w:rsidRPr="0036331C" w:rsidRDefault="00022551" w:rsidP="004C46F0">
            <w:pPr>
              <w:jc w:val="center"/>
            </w:pPr>
            <w:r w:rsidRPr="0036331C">
              <w:t>0.35(0.06-2.1)</w:t>
            </w:r>
          </w:p>
          <w:p w:rsidR="00022551" w:rsidRPr="0036331C" w:rsidRDefault="00022551" w:rsidP="004C46F0">
            <w:pPr>
              <w:jc w:val="center"/>
            </w:pPr>
            <w:r w:rsidRPr="0036331C">
              <w:t>0.25(0.03-2.3)</w:t>
            </w:r>
          </w:p>
        </w:tc>
        <w:tc>
          <w:tcPr>
            <w:tcW w:w="1098" w:type="dxa"/>
          </w:tcPr>
          <w:p w:rsidR="00022551" w:rsidRPr="0036331C" w:rsidRDefault="00022551" w:rsidP="004C46F0"/>
          <w:p w:rsidR="00022551" w:rsidRPr="0036331C" w:rsidRDefault="00022551" w:rsidP="004C46F0">
            <w:pPr>
              <w:jc w:val="center"/>
            </w:pPr>
            <w:r w:rsidRPr="0036331C">
              <w:t>0.250</w:t>
            </w:r>
          </w:p>
          <w:p w:rsidR="00022551" w:rsidRPr="0036331C" w:rsidRDefault="00022551" w:rsidP="004C46F0">
            <w:pPr>
              <w:jc w:val="center"/>
            </w:pPr>
            <w:r w:rsidRPr="0036331C">
              <w:t>0.217</w:t>
            </w:r>
          </w:p>
        </w:tc>
      </w:tr>
      <w:tr w:rsidR="00022551" w:rsidRPr="00C55218" w:rsidTr="004C46F0">
        <w:tc>
          <w:tcPr>
            <w:tcW w:w="5688" w:type="dxa"/>
          </w:tcPr>
          <w:p w:rsidR="00022551" w:rsidRPr="0036331C" w:rsidRDefault="00022551" w:rsidP="004C46F0">
            <w:pPr>
              <w:pStyle w:val="ListParagraph"/>
              <w:ind w:left="0"/>
            </w:pPr>
            <w:r w:rsidRPr="0036331C">
              <w:t xml:space="preserve">Hair </w:t>
            </w:r>
            <w:proofErr w:type="spellStart"/>
            <w:r w:rsidRPr="0036331C">
              <w:t>atazanavir</w:t>
            </w:r>
            <w:proofErr w:type="spellEnd"/>
            <w:r w:rsidRPr="0036331C">
              <w:t xml:space="preserve"> concentration (</w:t>
            </w:r>
            <w:proofErr w:type="spellStart"/>
            <w:r w:rsidRPr="0036331C">
              <w:t>ng</w:t>
            </w:r>
            <w:proofErr w:type="spellEnd"/>
            <w:r w:rsidRPr="0036331C">
              <w:t>/mg):</w:t>
            </w:r>
          </w:p>
          <w:p w:rsidR="00022551" w:rsidRPr="0036331C" w:rsidRDefault="00022551" w:rsidP="004C46F0">
            <w:pPr>
              <w:pStyle w:val="ListParagraph"/>
              <w:ind w:left="0"/>
            </w:pPr>
            <w:r w:rsidRPr="0036331C">
              <w:rPr>
                <w:rFonts w:cstheme="minorHAnsi"/>
              </w:rPr>
              <w:t>≤</w:t>
            </w:r>
            <w:r w:rsidRPr="0036331C">
              <w:t>2.35</w:t>
            </w:r>
          </w:p>
        </w:tc>
        <w:tc>
          <w:tcPr>
            <w:tcW w:w="2790" w:type="dxa"/>
          </w:tcPr>
          <w:p w:rsidR="00022551" w:rsidRPr="0036331C" w:rsidRDefault="00022551" w:rsidP="004C46F0"/>
          <w:p w:rsidR="00022551" w:rsidRPr="0036331C" w:rsidRDefault="00022551" w:rsidP="004C46F0">
            <w:pPr>
              <w:jc w:val="center"/>
            </w:pPr>
            <w:r w:rsidRPr="0036331C">
              <w:t>3.6(0.47-27.3)</w:t>
            </w:r>
          </w:p>
        </w:tc>
        <w:tc>
          <w:tcPr>
            <w:tcW w:w="1098" w:type="dxa"/>
          </w:tcPr>
          <w:p w:rsidR="00022551" w:rsidRPr="0036331C" w:rsidRDefault="00022551" w:rsidP="004C46F0">
            <w:pPr>
              <w:jc w:val="center"/>
            </w:pPr>
          </w:p>
          <w:p w:rsidR="00022551" w:rsidRPr="0036331C" w:rsidRDefault="00022551" w:rsidP="004C46F0">
            <w:pPr>
              <w:jc w:val="center"/>
            </w:pPr>
            <w:r w:rsidRPr="0036331C">
              <w:t>0.217</w:t>
            </w:r>
          </w:p>
        </w:tc>
      </w:tr>
    </w:tbl>
    <w:p w:rsidR="00022551" w:rsidRPr="00E44FB4" w:rsidRDefault="00022551" w:rsidP="00022551">
      <w:pPr>
        <w:jc w:val="both"/>
        <w:rPr>
          <w:i/>
          <w:sz w:val="18"/>
          <w:szCs w:val="18"/>
        </w:rPr>
      </w:pPr>
      <w:r w:rsidRPr="00C40516">
        <w:rPr>
          <w:i/>
          <w:sz w:val="18"/>
          <w:szCs w:val="18"/>
        </w:rPr>
        <w:t>VAS- visual analogue scale</w:t>
      </w:r>
    </w:p>
    <w:p w:rsidR="00022551" w:rsidRDefault="00022551" w:rsidP="00022551">
      <w:pPr>
        <w:spacing w:after="0"/>
      </w:pPr>
    </w:p>
    <w:p w:rsidR="00022551" w:rsidRDefault="00022551" w:rsidP="00022551">
      <w:pPr>
        <w:spacing w:after="0"/>
      </w:pPr>
    </w:p>
    <w:p w:rsidR="00022551" w:rsidRDefault="00022551" w:rsidP="00022551">
      <w:pPr>
        <w:spacing w:after="0"/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</w:p>
    <w:p w:rsidR="00022551" w:rsidRDefault="00022551" w:rsidP="00022551">
      <w:pPr>
        <w:spacing w:after="0"/>
        <w:rPr>
          <w:b/>
        </w:rPr>
      </w:pPr>
      <w:r>
        <w:rPr>
          <w:b/>
        </w:rPr>
        <w:lastRenderedPageBreak/>
        <w:t>Supplement table 4: Comparison of participants by viral load suppression to &lt;1 000 copies/ml after follow-up</w:t>
      </w:r>
    </w:p>
    <w:tbl>
      <w:tblPr>
        <w:tblStyle w:val="TableGrid"/>
        <w:tblW w:w="0" w:type="auto"/>
        <w:tblLayout w:type="fixed"/>
        <w:tblLook w:val="04A0"/>
      </w:tblPr>
      <w:tblGrid>
        <w:gridCol w:w="4698"/>
        <w:gridCol w:w="2070"/>
        <w:gridCol w:w="2070"/>
        <w:gridCol w:w="738"/>
      </w:tblGrid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jc w:val="both"/>
              <w:rPr>
                <w:b/>
              </w:rPr>
            </w:pPr>
            <w:r w:rsidRPr="007C6D91">
              <w:rPr>
                <w:b/>
              </w:rPr>
              <w:t xml:space="preserve">Variable 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both"/>
              <w:rPr>
                <w:b/>
              </w:rPr>
            </w:pPr>
            <w:r>
              <w:rPr>
                <w:b/>
              </w:rPr>
              <w:t>Viral load &lt;1,</w:t>
            </w:r>
            <w:r w:rsidRPr="007C6D91">
              <w:rPr>
                <w:b/>
              </w:rPr>
              <w:t>000 copies/ml (n=20)</w:t>
            </w:r>
          </w:p>
          <w:p w:rsidR="00022551" w:rsidRPr="007C6D91" w:rsidRDefault="00022551" w:rsidP="004C46F0">
            <w:pPr>
              <w:jc w:val="center"/>
              <w:rPr>
                <w:b/>
              </w:rPr>
            </w:pPr>
            <w:r w:rsidRPr="007C6D91">
              <w:rPr>
                <w:b/>
              </w:rPr>
              <w:t>n(%) or mean(SD)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  <w:rPr>
                <w:b/>
              </w:rPr>
            </w:pPr>
            <w:r w:rsidRPr="007C6D91">
              <w:rPr>
                <w:b/>
              </w:rPr>
              <w:t xml:space="preserve">Viral load </w:t>
            </w:r>
            <w:r w:rsidRPr="007C6D91">
              <w:rPr>
                <w:rFonts w:cstheme="minorHAnsi"/>
                <w:b/>
              </w:rPr>
              <w:t>≥</w:t>
            </w:r>
            <w:r w:rsidRPr="007C6D91">
              <w:rPr>
                <w:b/>
              </w:rPr>
              <w:t>1</w:t>
            </w:r>
            <w:r>
              <w:rPr>
                <w:b/>
              </w:rPr>
              <w:t>,</w:t>
            </w:r>
            <w:r w:rsidRPr="007C6D91">
              <w:rPr>
                <w:b/>
              </w:rPr>
              <w:t>000 copies/ml (n=30)</w:t>
            </w:r>
            <w:r>
              <w:rPr>
                <w:b/>
              </w:rPr>
              <w:t xml:space="preserve"> n(%) or mean(SD)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  <w:rPr>
                <w:b/>
              </w:rPr>
            </w:pPr>
            <w:r w:rsidRPr="007C6D91">
              <w:rPr>
                <w:b/>
              </w:rPr>
              <w:t>p-value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jc w:val="both"/>
            </w:pPr>
            <w:r w:rsidRPr="007C6D91">
              <w:t>Age (years)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  <w:r w:rsidRPr="007C6D91">
              <w:t>15(1.98)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  <w:r w:rsidRPr="007C6D91">
              <w:t>16(1.66)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  <w:r w:rsidRPr="007C6D91">
              <w:t>0.08</w:t>
            </w:r>
            <w:r>
              <w:t>0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 xml:space="preserve">Gender: 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Female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Male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10(50)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10(50)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17(57)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13(43)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0.643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WHO clinical stage at ART initiation: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1-2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3-4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8(40)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12(60)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8(27)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22(73)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0.322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Default="00022551" w:rsidP="004C46F0">
            <w:r w:rsidRPr="007C6D91">
              <w:t>Latest CD4 cell count</w:t>
            </w:r>
            <w:r>
              <w:t xml:space="preserve"> (</w:t>
            </w:r>
            <w:r w:rsidRPr="00DD4133">
              <w:t>cells/mm</w:t>
            </w:r>
            <w:r w:rsidRPr="00DD4133">
              <w:rPr>
                <w:vertAlign w:val="superscript"/>
              </w:rPr>
              <w:t>3</w:t>
            </w:r>
            <w:r>
              <w:t>):</w:t>
            </w:r>
          </w:p>
          <w:p w:rsidR="00022551" w:rsidRPr="00671C32" w:rsidRDefault="00022551" w:rsidP="004C46F0">
            <w:r w:rsidRPr="00671C32">
              <w:t>&lt;200</w:t>
            </w:r>
          </w:p>
          <w:p w:rsidR="00022551" w:rsidRPr="00671C32" w:rsidRDefault="00022551" w:rsidP="004C46F0">
            <w:r w:rsidRPr="00671C32">
              <w:t>200-350</w:t>
            </w:r>
          </w:p>
          <w:p w:rsidR="00022551" w:rsidRPr="00671C32" w:rsidRDefault="00022551" w:rsidP="004C46F0">
            <w:r w:rsidRPr="00671C32">
              <w:t>&gt;350</w:t>
            </w:r>
          </w:p>
        </w:tc>
        <w:tc>
          <w:tcPr>
            <w:tcW w:w="2070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7(35)</w:t>
            </w:r>
          </w:p>
          <w:p w:rsidR="00022551" w:rsidRDefault="00022551" w:rsidP="004C46F0">
            <w:pPr>
              <w:jc w:val="center"/>
            </w:pPr>
            <w:r>
              <w:t>6(30)</w:t>
            </w:r>
          </w:p>
          <w:p w:rsidR="00022551" w:rsidRDefault="00022551" w:rsidP="004C46F0">
            <w:pPr>
              <w:jc w:val="center"/>
            </w:pPr>
            <w:r>
              <w:t>7(35)</w:t>
            </w:r>
          </w:p>
        </w:tc>
        <w:tc>
          <w:tcPr>
            <w:tcW w:w="2070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19(63)</w:t>
            </w:r>
          </w:p>
          <w:p w:rsidR="00022551" w:rsidRDefault="00022551" w:rsidP="004C46F0">
            <w:pPr>
              <w:jc w:val="center"/>
            </w:pPr>
            <w:r>
              <w:t>6(20)</w:t>
            </w:r>
          </w:p>
          <w:p w:rsidR="00022551" w:rsidRDefault="00022551" w:rsidP="004C46F0">
            <w:pPr>
              <w:jc w:val="center"/>
            </w:pPr>
            <w:r>
              <w:t>5(17)</w:t>
            </w:r>
          </w:p>
        </w:tc>
        <w:tc>
          <w:tcPr>
            <w:tcW w:w="738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0.133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r w:rsidRPr="007C6D91">
              <w:t>Total time on ART (months)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  <w:r w:rsidRPr="007C6D91">
              <w:t>81.3(17.6)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  <w:r w:rsidRPr="007C6D91">
              <w:t>75.3(30.8)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  <w:r w:rsidRPr="007C6D91">
              <w:t>0.217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 xml:space="preserve">BMI-for-age: 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Underweigh</w:t>
            </w:r>
            <w:r>
              <w:t>t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 xml:space="preserve">Normal 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Overweight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4(21)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12(63)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3(16)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10(37)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13(48)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4(15)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0.499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jc w:val="both"/>
            </w:pPr>
            <w:r>
              <w:t>Study</w:t>
            </w:r>
            <w:r w:rsidRPr="007C6D91">
              <w:t xml:space="preserve"> arm: </w:t>
            </w:r>
          </w:p>
          <w:p w:rsidR="00022551" w:rsidRPr="007C6D91" w:rsidRDefault="00022551" w:rsidP="004C46F0">
            <w:pPr>
              <w:jc w:val="both"/>
            </w:pPr>
            <w:proofErr w:type="spellStart"/>
            <w:r w:rsidRPr="007C6D91">
              <w:t>mDAART</w:t>
            </w:r>
            <w:proofErr w:type="spellEnd"/>
          </w:p>
          <w:p w:rsidR="00022551" w:rsidRPr="007C6D91" w:rsidRDefault="00022551" w:rsidP="004C46F0">
            <w:pPr>
              <w:jc w:val="both"/>
            </w:pPr>
            <w:r w:rsidRPr="007C6D91">
              <w:t>Standard care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12(60)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8(40)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11(37)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19(63)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0.105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r>
              <w:t>Average</w:t>
            </w:r>
            <w:r w:rsidRPr="007C6D91">
              <w:t xml:space="preserve"> self-reported adherence, VAS:  </w:t>
            </w:r>
          </w:p>
          <w:p w:rsidR="00022551" w:rsidRPr="007C6D91" w:rsidRDefault="00022551" w:rsidP="004C46F0">
            <w:r w:rsidRPr="007C6D91">
              <w:t>≥95%</w:t>
            </w:r>
          </w:p>
          <w:p w:rsidR="00022551" w:rsidRPr="007C6D91" w:rsidRDefault="00022551" w:rsidP="004C46F0">
            <w:r w:rsidRPr="007C6D91">
              <w:t>80-94%</w:t>
            </w:r>
          </w:p>
          <w:p w:rsidR="00022551" w:rsidRPr="007C6D91" w:rsidRDefault="00022551" w:rsidP="004C46F0">
            <w:pPr>
              <w:pStyle w:val="ListParagraph"/>
              <w:ind w:left="0"/>
            </w:pPr>
            <w:r w:rsidRPr="007C6D91">
              <w:t>&lt;80%</w:t>
            </w:r>
          </w:p>
        </w:tc>
        <w:tc>
          <w:tcPr>
            <w:tcW w:w="2070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10(50)</w:t>
            </w:r>
          </w:p>
          <w:p w:rsidR="00022551" w:rsidRDefault="00022551" w:rsidP="004C46F0">
            <w:pPr>
              <w:jc w:val="center"/>
            </w:pPr>
            <w:r>
              <w:t>8(40)</w:t>
            </w:r>
          </w:p>
          <w:p w:rsidR="00022551" w:rsidRDefault="00022551" w:rsidP="004C46F0">
            <w:pPr>
              <w:jc w:val="center"/>
            </w:pPr>
            <w:r>
              <w:t>2(10)</w:t>
            </w:r>
          </w:p>
        </w:tc>
        <w:tc>
          <w:tcPr>
            <w:tcW w:w="2070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15(50)</w:t>
            </w:r>
          </w:p>
          <w:p w:rsidR="00022551" w:rsidRDefault="00022551" w:rsidP="004C46F0">
            <w:pPr>
              <w:jc w:val="center"/>
            </w:pPr>
            <w:r>
              <w:t>6(20)</w:t>
            </w:r>
          </w:p>
          <w:p w:rsidR="00022551" w:rsidRDefault="00022551" w:rsidP="004C46F0">
            <w:pPr>
              <w:jc w:val="center"/>
            </w:pPr>
            <w:r>
              <w:t>9(30)</w:t>
            </w:r>
          </w:p>
        </w:tc>
        <w:tc>
          <w:tcPr>
            <w:tcW w:w="738" w:type="dxa"/>
          </w:tcPr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</w:p>
          <w:p w:rsidR="00022551" w:rsidRDefault="00022551" w:rsidP="004C46F0">
            <w:pPr>
              <w:jc w:val="center"/>
            </w:pPr>
            <w:r>
              <w:t>0.143</w:t>
            </w:r>
          </w:p>
        </w:tc>
      </w:tr>
      <w:tr w:rsidR="00022551" w:rsidRPr="007C6D91" w:rsidTr="004C46F0">
        <w:tc>
          <w:tcPr>
            <w:tcW w:w="4698" w:type="dxa"/>
          </w:tcPr>
          <w:p w:rsidR="00022551" w:rsidRPr="007C6D91" w:rsidRDefault="00022551" w:rsidP="004C46F0">
            <w:pPr>
              <w:jc w:val="both"/>
            </w:pPr>
            <w:r>
              <w:t>Self-reported closely following</w:t>
            </w:r>
            <w:r w:rsidRPr="007C6D91">
              <w:t xml:space="preserve"> dosing sche</w:t>
            </w:r>
            <w:r>
              <w:t>dule in past 4 days</w:t>
            </w:r>
            <w:r w:rsidRPr="007C6D91">
              <w:t>:</w:t>
            </w:r>
          </w:p>
          <w:p w:rsidR="00022551" w:rsidRPr="007C6D91" w:rsidRDefault="00022551" w:rsidP="004C46F0">
            <w:r w:rsidRPr="007C6D91">
              <w:t>Yes</w:t>
            </w:r>
          </w:p>
          <w:p w:rsidR="00022551" w:rsidRPr="007C6D91" w:rsidRDefault="00022551" w:rsidP="004C46F0">
            <w:r w:rsidRPr="007C6D91">
              <w:t>No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14(70)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6(30)</w:t>
            </w:r>
          </w:p>
        </w:tc>
        <w:tc>
          <w:tcPr>
            <w:tcW w:w="2070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15(50)</w:t>
            </w:r>
          </w:p>
          <w:p w:rsidR="00022551" w:rsidRPr="007C6D91" w:rsidRDefault="00022551" w:rsidP="004C46F0">
            <w:pPr>
              <w:jc w:val="center"/>
            </w:pPr>
            <w:r w:rsidRPr="007C6D91">
              <w:t>15(50)</w:t>
            </w:r>
          </w:p>
        </w:tc>
        <w:tc>
          <w:tcPr>
            <w:tcW w:w="738" w:type="dxa"/>
          </w:tcPr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</w:p>
          <w:p w:rsidR="00022551" w:rsidRPr="007C6D91" w:rsidRDefault="00022551" w:rsidP="004C46F0">
            <w:pPr>
              <w:jc w:val="center"/>
            </w:pPr>
            <w:r w:rsidRPr="007C6D91">
              <w:t>0.160</w:t>
            </w:r>
          </w:p>
          <w:p w:rsidR="00022551" w:rsidRPr="007C6D91" w:rsidRDefault="00022551" w:rsidP="004C46F0">
            <w:pPr>
              <w:jc w:val="center"/>
            </w:pPr>
          </w:p>
        </w:tc>
      </w:tr>
      <w:tr w:rsidR="00022551" w:rsidRPr="007C6D91" w:rsidTr="004C46F0">
        <w:tc>
          <w:tcPr>
            <w:tcW w:w="4698" w:type="dxa"/>
          </w:tcPr>
          <w:p w:rsidR="00022551" w:rsidRPr="005312A7" w:rsidRDefault="00022551" w:rsidP="004C46F0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  <w:r w:rsidRPr="005312A7">
              <w:rPr>
                <w:rFonts w:cs="Times New Roman"/>
              </w:rPr>
              <w:t xml:space="preserve">Hair </w:t>
            </w:r>
            <w:proofErr w:type="spellStart"/>
            <w:r w:rsidRPr="005312A7">
              <w:rPr>
                <w:rFonts w:cs="Times New Roman"/>
              </w:rPr>
              <w:t>atazanavir</w:t>
            </w:r>
            <w:proofErr w:type="spellEnd"/>
            <w:r w:rsidRPr="005312A7">
              <w:rPr>
                <w:rFonts w:cs="Times New Roman"/>
              </w:rPr>
              <w:t xml:space="preserve"> concentration (</w:t>
            </w:r>
            <w:proofErr w:type="spellStart"/>
            <w:r w:rsidRPr="005312A7">
              <w:rPr>
                <w:rFonts w:cs="Times New Roman"/>
              </w:rPr>
              <w:t>ng</w:t>
            </w:r>
            <w:proofErr w:type="spellEnd"/>
            <w:r w:rsidRPr="005312A7">
              <w:rPr>
                <w:rFonts w:cs="Times New Roman"/>
              </w:rPr>
              <w:t>/mg) (n=42):</w:t>
            </w:r>
          </w:p>
          <w:p w:rsidR="00022551" w:rsidRPr="005312A7" w:rsidRDefault="00022551" w:rsidP="004C46F0">
            <w:pPr>
              <w:pStyle w:val="ListParagraph"/>
              <w:tabs>
                <w:tab w:val="center" w:pos="2241"/>
              </w:tabs>
              <w:spacing w:line="276" w:lineRule="auto"/>
              <w:ind w:left="0"/>
              <w:rPr>
                <w:rFonts w:cs="Times New Roman"/>
              </w:rPr>
            </w:pPr>
            <w:r w:rsidRPr="005312A7">
              <w:rPr>
                <w:rFonts w:cs="Times New Roman"/>
              </w:rPr>
              <w:t>≤2.35</w:t>
            </w:r>
            <w:r w:rsidRPr="005312A7">
              <w:rPr>
                <w:rFonts w:cs="Times New Roman"/>
              </w:rPr>
              <w:tab/>
            </w:r>
          </w:p>
          <w:p w:rsidR="00022551" w:rsidRPr="005312A7" w:rsidRDefault="00022551" w:rsidP="004C46F0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  <w:r w:rsidRPr="005312A7">
              <w:rPr>
                <w:rFonts w:cs="Times New Roman"/>
              </w:rPr>
              <w:t>&gt;2.35</w:t>
            </w:r>
          </w:p>
        </w:tc>
        <w:tc>
          <w:tcPr>
            <w:tcW w:w="2070" w:type="dxa"/>
          </w:tcPr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</w:p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5(</w:t>
            </w:r>
            <w:r>
              <w:rPr>
                <w:rFonts w:cs="Times New Roman"/>
              </w:rPr>
              <w:t>28</w:t>
            </w:r>
            <w:r w:rsidRPr="005312A7">
              <w:rPr>
                <w:rFonts w:cs="Times New Roman"/>
              </w:rPr>
              <w:t>)</w:t>
            </w:r>
          </w:p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13(</w:t>
            </w:r>
            <w:r>
              <w:rPr>
                <w:rFonts w:cs="Times New Roman"/>
              </w:rPr>
              <w:t>72</w:t>
            </w:r>
            <w:r w:rsidRPr="005312A7">
              <w:rPr>
                <w:rFonts w:cs="Times New Roman"/>
              </w:rPr>
              <w:t>)</w:t>
            </w:r>
          </w:p>
        </w:tc>
        <w:tc>
          <w:tcPr>
            <w:tcW w:w="2070" w:type="dxa"/>
          </w:tcPr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</w:p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16</w:t>
            </w:r>
            <w:r>
              <w:rPr>
                <w:rFonts w:cs="Times New Roman"/>
              </w:rPr>
              <w:t>(67)</w:t>
            </w:r>
          </w:p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8</w:t>
            </w:r>
            <w:r>
              <w:rPr>
                <w:rFonts w:cs="Times New Roman"/>
              </w:rPr>
              <w:t>(33)</w:t>
            </w:r>
          </w:p>
        </w:tc>
        <w:tc>
          <w:tcPr>
            <w:tcW w:w="738" w:type="dxa"/>
          </w:tcPr>
          <w:p w:rsidR="00022551" w:rsidRPr="005312A7" w:rsidRDefault="00022551" w:rsidP="004C46F0">
            <w:pPr>
              <w:spacing w:line="276" w:lineRule="auto"/>
              <w:rPr>
                <w:rFonts w:cs="Times New Roman"/>
              </w:rPr>
            </w:pPr>
          </w:p>
          <w:p w:rsidR="00022551" w:rsidRPr="005312A7" w:rsidRDefault="00022551" w:rsidP="004C46F0">
            <w:pPr>
              <w:spacing w:line="276" w:lineRule="auto"/>
              <w:jc w:val="center"/>
              <w:rPr>
                <w:rFonts w:cs="Times New Roman"/>
              </w:rPr>
            </w:pPr>
            <w:r w:rsidRPr="005312A7">
              <w:rPr>
                <w:rFonts w:cs="Times New Roman"/>
              </w:rPr>
              <w:t>0.013</w:t>
            </w:r>
          </w:p>
        </w:tc>
      </w:tr>
    </w:tbl>
    <w:p w:rsidR="00022551" w:rsidRDefault="00022551" w:rsidP="0002255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WHO- World Health </w:t>
      </w:r>
      <w:proofErr w:type="spellStart"/>
      <w:r>
        <w:rPr>
          <w:i/>
          <w:sz w:val="18"/>
          <w:szCs w:val="18"/>
        </w:rPr>
        <w:t>Organisation</w:t>
      </w:r>
      <w:proofErr w:type="spellEnd"/>
      <w:r>
        <w:rPr>
          <w:i/>
          <w:sz w:val="18"/>
          <w:szCs w:val="18"/>
        </w:rPr>
        <w:t xml:space="preserve">; ART- antiretroviral therapy; BMI- body mass index; </w:t>
      </w:r>
      <w:r w:rsidRPr="00C40516">
        <w:rPr>
          <w:i/>
          <w:sz w:val="18"/>
          <w:szCs w:val="18"/>
        </w:rPr>
        <w:t>VAS- visual analogue scale</w:t>
      </w:r>
      <w:r>
        <w:rPr>
          <w:i/>
          <w:sz w:val="18"/>
          <w:szCs w:val="18"/>
        </w:rPr>
        <w:t xml:space="preserve">; </w:t>
      </w:r>
      <w:proofErr w:type="spellStart"/>
      <w:r>
        <w:rPr>
          <w:i/>
          <w:sz w:val="18"/>
          <w:szCs w:val="18"/>
        </w:rPr>
        <w:t>mDAART</w:t>
      </w:r>
      <w:proofErr w:type="spellEnd"/>
      <w:r>
        <w:rPr>
          <w:i/>
          <w:sz w:val="18"/>
          <w:szCs w:val="18"/>
        </w:rPr>
        <w:t>- modified directly administered antiretroviral therapy</w:t>
      </w:r>
    </w:p>
    <w:p w:rsidR="00022551" w:rsidRDefault="00022551" w:rsidP="00022551"/>
    <w:p w:rsidR="00022551" w:rsidRDefault="00022551" w:rsidP="00022551">
      <w:pPr>
        <w:spacing w:after="0"/>
        <w:jc w:val="both"/>
      </w:pPr>
    </w:p>
    <w:p w:rsidR="00022551" w:rsidRDefault="00022551" w:rsidP="00022551">
      <w:pPr>
        <w:spacing w:after="0"/>
        <w:jc w:val="both"/>
        <w:rPr>
          <w:b/>
        </w:rPr>
      </w:pPr>
    </w:p>
    <w:p w:rsidR="00022551" w:rsidRDefault="00022551" w:rsidP="00022551">
      <w:pPr>
        <w:spacing w:after="0"/>
        <w:jc w:val="both"/>
        <w:rPr>
          <w:b/>
        </w:rPr>
      </w:pPr>
    </w:p>
    <w:p w:rsidR="00022551" w:rsidRDefault="00022551" w:rsidP="00022551">
      <w:pPr>
        <w:spacing w:after="0"/>
        <w:jc w:val="both"/>
        <w:rPr>
          <w:b/>
        </w:rPr>
      </w:pPr>
    </w:p>
    <w:p w:rsidR="00022551" w:rsidRDefault="00022551" w:rsidP="00022551">
      <w:pPr>
        <w:spacing w:after="0"/>
        <w:jc w:val="both"/>
        <w:rPr>
          <w:b/>
        </w:rPr>
      </w:pPr>
    </w:p>
    <w:p w:rsidR="00022551" w:rsidRDefault="00022551" w:rsidP="00022551">
      <w:pPr>
        <w:spacing w:after="0" w:line="240" w:lineRule="auto"/>
        <w:jc w:val="both"/>
        <w:rPr>
          <w:b/>
        </w:rPr>
      </w:pPr>
    </w:p>
    <w:p w:rsidR="00022551" w:rsidRPr="005312A7" w:rsidRDefault="00022551" w:rsidP="000225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Supplement table 5: Comparison of participants by </w:t>
      </w:r>
      <w:proofErr w:type="spellStart"/>
      <w:r>
        <w:rPr>
          <w:b/>
        </w:rPr>
        <w:t>atazanavir</w:t>
      </w:r>
      <w:proofErr w:type="spellEnd"/>
      <w:r>
        <w:rPr>
          <w:b/>
        </w:rPr>
        <w:t xml:space="preserve"> concentration in hair after follow-up</w:t>
      </w: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2610"/>
        <w:gridCol w:w="2610"/>
        <w:gridCol w:w="738"/>
      </w:tblGrid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both"/>
              <w:rPr>
                <w:rFonts w:cstheme="minorHAnsi"/>
                <w:b/>
              </w:rPr>
            </w:pPr>
            <w:r w:rsidRPr="0036331C">
              <w:rPr>
                <w:rFonts w:cstheme="minorHAnsi"/>
                <w:b/>
              </w:rPr>
              <w:t xml:space="preserve">Variable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  <w:b/>
              </w:rPr>
            </w:pPr>
            <w:proofErr w:type="spellStart"/>
            <w:r w:rsidRPr="0036331C">
              <w:rPr>
                <w:rFonts w:cstheme="minorHAnsi"/>
                <w:b/>
              </w:rPr>
              <w:t>Atazanavir</w:t>
            </w:r>
            <w:proofErr w:type="spellEnd"/>
            <w:r w:rsidRPr="0036331C">
              <w:rPr>
                <w:rFonts w:cstheme="minorHAnsi"/>
                <w:b/>
              </w:rPr>
              <w:t xml:space="preserve"> concentration ≤2.35ng/mg (n=18)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  <w:b/>
              </w:rPr>
            </w:pPr>
            <w:r w:rsidRPr="0036331C">
              <w:rPr>
                <w:rFonts w:cstheme="minorHAnsi"/>
                <w:b/>
              </w:rPr>
              <w:t>n(%) or mean(SD); 95% CI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  <w:b/>
              </w:rPr>
            </w:pPr>
            <w:proofErr w:type="spellStart"/>
            <w:r w:rsidRPr="0036331C">
              <w:rPr>
                <w:rFonts w:cstheme="minorHAnsi"/>
                <w:b/>
              </w:rPr>
              <w:t>Atazanavir</w:t>
            </w:r>
            <w:proofErr w:type="spellEnd"/>
            <w:r w:rsidRPr="0036331C">
              <w:rPr>
                <w:rFonts w:cstheme="minorHAnsi"/>
                <w:b/>
              </w:rPr>
              <w:t xml:space="preserve"> concentration &gt;2.35ng/mg (n=24)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  <w:b/>
              </w:rPr>
            </w:pPr>
            <w:r w:rsidRPr="0036331C">
              <w:rPr>
                <w:rFonts w:cstheme="minorHAnsi"/>
                <w:b/>
              </w:rPr>
              <w:t>n(%)or mean(SD); 95% CI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  <w:b/>
              </w:rPr>
            </w:pPr>
            <w:r w:rsidRPr="0036331C">
              <w:rPr>
                <w:rFonts w:cstheme="minorHAnsi"/>
                <w:b/>
              </w:rPr>
              <w:t>p-value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both"/>
              <w:rPr>
                <w:rFonts w:cstheme="minorHAnsi"/>
              </w:rPr>
            </w:pPr>
            <w:r w:rsidRPr="0036331C">
              <w:rPr>
                <w:rFonts w:cstheme="minorHAnsi"/>
              </w:rPr>
              <w:t>Age (years)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15.7(1.9); 14.8-16.5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15.6(1.4); 15-16.3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0.464</w:t>
            </w:r>
          </w:p>
        </w:tc>
      </w:tr>
      <w:tr w:rsidR="00022551" w:rsidRPr="0036331C" w:rsidTr="004C46F0">
        <w:trPr>
          <w:trHeight w:val="962"/>
        </w:trPr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Gender: 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Female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Male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15(71)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6(29)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8(38)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13(62)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0.030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WHO clinical stage at ART initiation: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1-2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3-4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6(29)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15(71)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9(43)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12(57)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0.334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Latest CD4 cell count (cells/mm</w:t>
            </w:r>
            <w:r w:rsidRPr="0036331C">
              <w:rPr>
                <w:rFonts w:cstheme="minorHAnsi"/>
                <w:vertAlign w:val="superscript"/>
              </w:rPr>
              <w:t>3</w:t>
            </w:r>
            <w:r w:rsidRPr="0036331C">
              <w:rPr>
                <w:rFonts w:cstheme="minorHAnsi"/>
              </w:rPr>
              <w:t xml:space="preserve">): 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&lt;200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200-350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&gt;350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9(39)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8(35)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6(26)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17(63)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4(15)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6(22)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0.174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Total time on ART (months)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75(28); 61.5-87.4-90.7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81(23); 70-91.6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0.218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BMI-for-age: 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Underweight 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Normal 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Overweight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6(30)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9(45)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5(25)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5(26)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12(63)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2(11)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0.476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Viral load</w:t>
            </w:r>
            <w:r w:rsidRPr="0036331C">
              <w:rPr>
                <w:rFonts w:cstheme="minorHAnsi"/>
              </w:rPr>
              <w:t xml:space="preserve">: 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&lt;1</w:t>
            </w:r>
            <w:r>
              <w:rPr>
                <w:rFonts w:cstheme="minorHAnsi"/>
              </w:rPr>
              <w:t>,</w:t>
            </w:r>
            <w:r w:rsidRPr="0036331C">
              <w:rPr>
                <w:rFonts w:cstheme="minorHAnsi"/>
              </w:rPr>
              <w:t>000 copies/ml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≥1</w:t>
            </w:r>
            <w:r>
              <w:rPr>
                <w:rFonts w:cstheme="minorHAnsi"/>
              </w:rPr>
              <w:t>,</w:t>
            </w:r>
            <w:r w:rsidRPr="0036331C">
              <w:rPr>
                <w:rFonts w:cstheme="minorHAnsi"/>
              </w:rPr>
              <w:t>000 copies/ml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5(24)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16(76)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13(62)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8(38)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0.013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Viral load decrease (log</w:t>
            </w:r>
            <w:r w:rsidRPr="0036331C">
              <w:rPr>
                <w:rFonts w:cstheme="minorHAnsi"/>
                <w:vertAlign w:val="subscript"/>
              </w:rPr>
              <w:t>10</w:t>
            </w:r>
            <w:r w:rsidRPr="0036331C">
              <w:rPr>
                <w:rFonts w:cstheme="minorHAnsi"/>
              </w:rPr>
              <w:t xml:space="preserve"> copies/ml)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-0.7(1.3); -1.2- -0.08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-1.8(1.5); -2.5- -1.1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0.006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jc w:val="both"/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Study arm: </w:t>
            </w:r>
          </w:p>
          <w:p w:rsidR="00022551" w:rsidRPr="0036331C" w:rsidRDefault="00022551" w:rsidP="004C46F0">
            <w:pPr>
              <w:jc w:val="both"/>
              <w:rPr>
                <w:rFonts w:cstheme="minorHAnsi"/>
              </w:rPr>
            </w:pPr>
            <w:proofErr w:type="spellStart"/>
            <w:r w:rsidRPr="0036331C">
              <w:rPr>
                <w:rFonts w:cstheme="minorHAnsi"/>
              </w:rPr>
              <w:t>mDAART</w:t>
            </w:r>
            <w:proofErr w:type="spellEnd"/>
          </w:p>
          <w:p w:rsidR="00022551" w:rsidRPr="0036331C" w:rsidRDefault="00022551" w:rsidP="004C46F0">
            <w:pPr>
              <w:jc w:val="both"/>
              <w:rPr>
                <w:rFonts w:cstheme="minorHAnsi"/>
              </w:rPr>
            </w:pPr>
            <w:r w:rsidRPr="0036331C">
              <w:rPr>
                <w:rFonts w:cstheme="minorHAnsi"/>
              </w:rPr>
              <w:t>Standard care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10(48)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11(52)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11(52)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10(48)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0.758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Average self-reported adherence, VAS:  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≥95%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80-94%</w:t>
            </w:r>
          </w:p>
          <w:p w:rsidR="00022551" w:rsidRPr="0036331C" w:rsidRDefault="00022551" w:rsidP="004C46F0">
            <w:pPr>
              <w:pStyle w:val="ListParagraph"/>
              <w:ind w:left="0"/>
              <w:rPr>
                <w:rFonts w:cstheme="minorHAnsi"/>
              </w:rPr>
            </w:pPr>
            <w:r w:rsidRPr="0036331C">
              <w:rPr>
                <w:rFonts w:cstheme="minorHAnsi"/>
              </w:rPr>
              <w:t>&lt;80%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9(43)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7(33)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5(24)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12(57)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7(33)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2(10)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0.507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Change in average self-reported adherence, VAS:  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>No change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Increased </w:t>
            </w:r>
          </w:p>
          <w:p w:rsidR="00022551" w:rsidRPr="0036331C" w:rsidRDefault="00022551" w:rsidP="004C46F0">
            <w:pPr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Decreased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1(5)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12(57)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8(38)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6(28)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13(62)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2(10)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0.031</w:t>
            </w:r>
          </w:p>
        </w:tc>
      </w:tr>
      <w:tr w:rsidR="00022551" w:rsidRPr="0036331C" w:rsidTr="004C46F0"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551" w:rsidRDefault="00022551" w:rsidP="004C46F0">
            <w:pPr>
              <w:jc w:val="both"/>
              <w:rPr>
                <w:rFonts w:cstheme="minorHAnsi"/>
              </w:rPr>
            </w:pPr>
            <w:r w:rsidRPr="0036331C">
              <w:rPr>
                <w:rFonts w:cstheme="minorHAnsi"/>
              </w:rPr>
              <w:t>Self-reported closely following dosing schedule in past 4</w:t>
            </w:r>
            <w:r>
              <w:rPr>
                <w:rFonts w:cstheme="minorHAnsi"/>
              </w:rPr>
              <w:t xml:space="preserve"> days</w:t>
            </w:r>
            <w:r w:rsidRPr="0036331C">
              <w:rPr>
                <w:rFonts w:cstheme="minorHAnsi"/>
              </w:rPr>
              <w:t>:</w:t>
            </w:r>
          </w:p>
          <w:p w:rsidR="00022551" w:rsidRPr="0036331C" w:rsidRDefault="00022551" w:rsidP="004C46F0">
            <w:pPr>
              <w:jc w:val="both"/>
              <w:rPr>
                <w:rFonts w:cstheme="minorHAnsi"/>
              </w:rPr>
            </w:pPr>
            <w:r w:rsidRPr="0036331C">
              <w:rPr>
                <w:rFonts w:cstheme="minorHAnsi"/>
              </w:rPr>
              <w:t>Yes</w:t>
            </w:r>
          </w:p>
          <w:p w:rsidR="00022551" w:rsidRPr="0036331C" w:rsidRDefault="00022551" w:rsidP="004C46F0">
            <w:pPr>
              <w:jc w:val="both"/>
              <w:rPr>
                <w:rFonts w:cstheme="minorHAnsi"/>
              </w:rPr>
            </w:pPr>
            <w:r w:rsidRPr="0036331C">
              <w:rPr>
                <w:rFonts w:cstheme="minorHAnsi"/>
              </w:rPr>
              <w:t xml:space="preserve">No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9(43)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12(57)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15(71)</w:t>
            </w: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6(29)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</w:p>
          <w:p w:rsidR="00022551" w:rsidRPr="0036331C" w:rsidRDefault="00022551" w:rsidP="004C46F0">
            <w:pPr>
              <w:jc w:val="center"/>
              <w:rPr>
                <w:rFonts w:cstheme="minorHAnsi"/>
              </w:rPr>
            </w:pPr>
            <w:r w:rsidRPr="0036331C">
              <w:rPr>
                <w:rFonts w:cstheme="minorHAnsi"/>
              </w:rPr>
              <w:t>0.061</w:t>
            </w:r>
          </w:p>
        </w:tc>
      </w:tr>
    </w:tbl>
    <w:p w:rsidR="00022551" w:rsidRDefault="00022551" w:rsidP="00022551">
      <w:pPr>
        <w:jc w:val="both"/>
        <w:rPr>
          <w:rFonts w:cs="Times New Roman"/>
          <w:i/>
          <w:sz w:val="18"/>
          <w:szCs w:val="18"/>
        </w:rPr>
      </w:pPr>
      <w:r w:rsidRPr="005312A7">
        <w:rPr>
          <w:rFonts w:cs="Times New Roman"/>
          <w:i/>
          <w:sz w:val="18"/>
          <w:szCs w:val="18"/>
        </w:rPr>
        <w:t xml:space="preserve">WHO- World Health </w:t>
      </w:r>
      <w:proofErr w:type="spellStart"/>
      <w:r w:rsidRPr="005312A7">
        <w:rPr>
          <w:rFonts w:cs="Times New Roman"/>
          <w:i/>
          <w:sz w:val="18"/>
          <w:szCs w:val="18"/>
        </w:rPr>
        <w:t>Organisation</w:t>
      </w:r>
      <w:proofErr w:type="spellEnd"/>
      <w:r w:rsidRPr="005312A7">
        <w:rPr>
          <w:rFonts w:cs="Times New Roman"/>
          <w:i/>
          <w:sz w:val="18"/>
          <w:szCs w:val="18"/>
        </w:rPr>
        <w:t xml:space="preserve">; ART- antiretroviral therapy; BMI- body mass index; VAS- visual analogue scale; </w:t>
      </w:r>
      <w:proofErr w:type="spellStart"/>
      <w:r w:rsidRPr="005312A7">
        <w:rPr>
          <w:rFonts w:cs="Times New Roman"/>
          <w:i/>
          <w:sz w:val="18"/>
          <w:szCs w:val="18"/>
        </w:rPr>
        <w:t>mDAART</w:t>
      </w:r>
      <w:proofErr w:type="spellEnd"/>
      <w:r w:rsidRPr="005312A7">
        <w:rPr>
          <w:rFonts w:cs="Times New Roman"/>
          <w:i/>
          <w:sz w:val="18"/>
          <w:szCs w:val="18"/>
        </w:rPr>
        <w:t>- modified directly administered antiretroviral therapy</w:t>
      </w:r>
    </w:p>
    <w:p w:rsidR="00022551" w:rsidRPr="007859ED" w:rsidRDefault="00022551" w:rsidP="00022551">
      <w:pPr>
        <w:jc w:val="both"/>
        <w:rPr>
          <w:rFonts w:cs="Times New Roman"/>
          <w:sz w:val="18"/>
          <w:szCs w:val="18"/>
        </w:rPr>
      </w:pPr>
    </w:p>
    <w:p w:rsidR="00787DE4" w:rsidRPr="00022551" w:rsidRDefault="00787DE4" w:rsidP="00022551"/>
    <w:sectPr w:rsidR="00787DE4" w:rsidRPr="00022551" w:rsidSect="00EF5C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15" w:rsidRDefault="00230E15" w:rsidP="0078564B">
      <w:pPr>
        <w:spacing w:after="0" w:line="240" w:lineRule="auto"/>
      </w:pPr>
      <w:r>
        <w:separator/>
      </w:r>
    </w:p>
  </w:endnote>
  <w:endnote w:type="continuationSeparator" w:id="1">
    <w:p w:rsidR="00230E15" w:rsidRDefault="00230E15" w:rsidP="007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55344"/>
      <w:docPartObj>
        <w:docPartGallery w:val="Page Numbers (Bottom of Page)"/>
        <w:docPartUnique/>
      </w:docPartObj>
    </w:sdtPr>
    <w:sdtContent>
      <w:p w:rsidR="0078564B" w:rsidRDefault="00593144">
        <w:pPr>
          <w:pStyle w:val="Footer"/>
          <w:jc w:val="right"/>
        </w:pPr>
        <w:fldSimple w:instr=" PAGE   \* MERGEFORMAT ">
          <w:r w:rsidR="00022551">
            <w:rPr>
              <w:noProof/>
            </w:rPr>
            <w:t>5</w:t>
          </w:r>
        </w:fldSimple>
      </w:p>
    </w:sdtContent>
  </w:sdt>
  <w:p w:rsidR="0078564B" w:rsidRDefault="00785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15" w:rsidRDefault="00230E15" w:rsidP="0078564B">
      <w:pPr>
        <w:spacing w:after="0" w:line="240" w:lineRule="auto"/>
      </w:pPr>
      <w:r>
        <w:separator/>
      </w:r>
    </w:p>
  </w:footnote>
  <w:footnote w:type="continuationSeparator" w:id="1">
    <w:p w:rsidR="00230E15" w:rsidRDefault="00230E15" w:rsidP="0078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0F0"/>
    <w:multiLevelType w:val="multilevel"/>
    <w:tmpl w:val="2CE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0598F"/>
    <w:multiLevelType w:val="multilevel"/>
    <w:tmpl w:val="F20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6F76"/>
    <w:multiLevelType w:val="multilevel"/>
    <w:tmpl w:val="973EC6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24DD2"/>
    <w:multiLevelType w:val="multilevel"/>
    <w:tmpl w:val="87EE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4356E"/>
    <w:multiLevelType w:val="multilevel"/>
    <w:tmpl w:val="DB0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57DDA"/>
    <w:multiLevelType w:val="multilevel"/>
    <w:tmpl w:val="D6C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550DD"/>
    <w:multiLevelType w:val="multilevel"/>
    <w:tmpl w:val="E8F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637CE"/>
    <w:multiLevelType w:val="multilevel"/>
    <w:tmpl w:val="471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C6ED8"/>
    <w:multiLevelType w:val="multilevel"/>
    <w:tmpl w:val="318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71ECD"/>
    <w:multiLevelType w:val="multilevel"/>
    <w:tmpl w:val="A61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40205"/>
    <w:multiLevelType w:val="multilevel"/>
    <w:tmpl w:val="5F0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D10DF"/>
    <w:multiLevelType w:val="multilevel"/>
    <w:tmpl w:val="BAD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E47"/>
    <w:rsid w:val="00022551"/>
    <w:rsid w:val="00230E15"/>
    <w:rsid w:val="00236697"/>
    <w:rsid w:val="00405A31"/>
    <w:rsid w:val="004E43F5"/>
    <w:rsid w:val="00593144"/>
    <w:rsid w:val="00784076"/>
    <w:rsid w:val="0078564B"/>
    <w:rsid w:val="00787DE4"/>
    <w:rsid w:val="008513BE"/>
    <w:rsid w:val="00A46C2E"/>
    <w:rsid w:val="00A97A50"/>
    <w:rsid w:val="00AE564B"/>
    <w:rsid w:val="00BF602A"/>
    <w:rsid w:val="00C0444D"/>
    <w:rsid w:val="00C071A0"/>
    <w:rsid w:val="00C62125"/>
    <w:rsid w:val="00E11E47"/>
    <w:rsid w:val="00E1736A"/>
    <w:rsid w:val="00E20199"/>
    <w:rsid w:val="00E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9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E20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56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564B"/>
  </w:style>
  <w:style w:type="paragraph" w:styleId="Footer">
    <w:name w:val="footer"/>
    <w:basedOn w:val="Normal"/>
    <w:link w:val="FooterChar"/>
    <w:uiPriority w:val="99"/>
    <w:unhideWhenUsed/>
    <w:rsid w:val="007856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8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72">
          <w:marLeft w:val="1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1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430">
          <w:marLeft w:val="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1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FF0000"/>
                <w:right w:val="none" w:sz="0" w:space="0" w:color="auto"/>
              </w:divBdr>
            </w:div>
            <w:div w:id="1386299484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456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3954260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93994788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24492354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29688523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dchawana</cp:lastModifiedBy>
  <cp:revision>12</cp:revision>
  <dcterms:created xsi:type="dcterms:W3CDTF">2016-11-21T15:29:00Z</dcterms:created>
  <dcterms:modified xsi:type="dcterms:W3CDTF">2017-04-21T09:28:00Z</dcterms:modified>
</cp:coreProperties>
</file>