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7C" w:rsidRPr="00884989" w:rsidRDefault="0039637C" w:rsidP="0039637C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b/>
        </w:rPr>
        <w:t>Supplemental Table 1</w:t>
      </w:r>
      <w:r>
        <w:rPr>
          <w:rFonts w:asciiTheme="majorBidi" w:hAnsiTheme="majorBidi" w:cstheme="majorBidi"/>
        </w:rPr>
        <w:t>: Characteristics of individuals diagnosed with cryptococcosis from 2002-2007 vs 2008-2017</w:t>
      </w:r>
    </w:p>
    <w:tbl>
      <w:tblPr>
        <w:tblStyle w:val="GridTable6Colorful"/>
        <w:tblW w:w="4762" w:type="pct"/>
        <w:tblLayout w:type="fixed"/>
        <w:tblLook w:val="0420" w:firstRow="1" w:lastRow="0" w:firstColumn="0" w:lastColumn="0" w:noHBand="0" w:noVBand="1"/>
      </w:tblPr>
      <w:tblGrid>
        <w:gridCol w:w="3055"/>
        <w:gridCol w:w="2431"/>
        <w:gridCol w:w="2340"/>
        <w:gridCol w:w="1079"/>
      </w:tblGrid>
      <w:tr w:rsidR="0039637C" w:rsidRPr="009B4B6D" w:rsidTr="0030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Pre-modern ART era (n=56) (%)</w:t>
            </w:r>
          </w:p>
        </w:tc>
        <w:tc>
          <w:tcPr>
            <w:tcW w:w="1314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ART era (n=49) (%)</w:t>
            </w:r>
          </w:p>
        </w:tc>
        <w:tc>
          <w:tcPr>
            <w:tcW w:w="606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4B6D">
              <w:rPr>
                <w:sz w:val="20"/>
                <w:szCs w:val="20"/>
              </w:rPr>
              <w:t>p-value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  <w:r w:rsidRPr="009B4B6D">
              <w:rPr>
                <w:b/>
                <w:sz w:val="20"/>
                <w:szCs w:val="20"/>
              </w:rPr>
              <w:t xml:space="preserve"> age</w:t>
            </w:r>
            <w:r>
              <w:rPr>
                <w:b/>
                <w:sz w:val="20"/>
                <w:szCs w:val="20"/>
              </w:rPr>
              <w:t xml:space="preserve"> at diagnosis</w:t>
            </w:r>
            <w:r w:rsidRPr="009B4B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SD</w:t>
            </w:r>
            <w:r w:rsidRPr="009B4B6D">
              <w:rPr>
                <w:b/>
                <w:sz w:val="20"/>
                <w:szCs w:val="20"/>
              </w:rPr>
              <w:t>), years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(8)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(11)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0.644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9B4B6D">
              <w:rPr>
                <w:b/>
                <w:sz w:val="20"/>
                <w:szCs w:val="20"/>
              </w:rPr>
              <w:t>Male sex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 (82)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(78)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0.557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0.759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African American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(75)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(78)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Non-African American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(25)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(22)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RPr="009B4B6D" w:rsidTr="003028B6">
        <w:trPr>
          <w:trHeight w:val="58"/>
        </w:trPr>
        <w:tc>
          <w:tcPr>
            <w:tcW w:w="5000" w:type="pct"/>
            <w:gridSpan w:val="4"/>
          </w:tcPr>
          <w:p w:rsidR="0039637C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Site of Infection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CNS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(68)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(67)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0.956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Pulmonary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(13)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(6)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0.267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Bloodstream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(46)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(25)</w:t>
            </w:r>
          </w:p>
        </w:tc>
        <w:tc>
          <w:tcPr>
            <w:tcW w:w="606" w:type="pct"/>
          </w:tcPr>
          <w:p w:rsidR="0039637C" w:rsidRPr="00C35CC3" w:rsidRDefault="0039637C" w:rsidP="003028B6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C35CC3">
              <w:rPr>
                <w:b/>
                <w:sz w:val="20"/>
                <w:szCs w:val="20"/>
              </w:rPr>
              <w:t>0.020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(4)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(0)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0.182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000" w:type="pct"/>
            <w:gridSpan w:val="4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Presenting Symptoms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Fever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(73)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(65)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0.380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6641C7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6641C7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6641C7">
              <w:rPr>
                <w:bCs/>
                <w:i/>
                <w:iCs/>
                <w:sz w:val="18"/>
                <w:szCs w:val="18"/>
              </w:rPr>
              <w:t>Fatigue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(77)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(78)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0.926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Stiff neck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(21)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(35)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0.129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Headache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(48)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(67)</w:t>
            </w:r>
          </w:p>
        </w:tc>
        <w:tc>
          <w:tcPr>
            <w:tcW w:w="606" w:type="pct"/>
          </w:tcPr>
          <w:p w:rsidR="0039637C" w:rsidRPr="00C35CC3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C35CC3">
              <w:rPr>
                <w:b/>
                <w:sz w:val="20"/>
                <w:szCs w:val="20"/>
              </w:rPr>
              <w:t>0.048</w:t>
            </w:r>
          </w:p>
        </w:tc>
      </w:tr>
      <w:tr w:rsidR="0039637C" w:rsidRPr="009B4B6D" w:rsidTr="003028B6">
        <w:trPr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AMS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(38)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(37)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0.935</w:t>
            </w:r>
          </w:p>
        </w:tc>
      </w:tr>
      <w:tr w:rsidR="0039637C" w:rsidRPr="009B4B6D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Visual changes</w:t>
            </w:r>
          </w:p>
        </w:tc>
        <w:tc>
          <w:tcPr>
            <w:tcW w:w="136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(7)</w:t>
            </w:r>
          </w:p>
        </w:tc>
        <w:tc>
          <w:tcPr>
            <w:tcW w:w="131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(12)</w:t>
            </w:r>
          </w:p>
        </w:tc>
        <w:tc>
          <w:tcPr>
            <w:tcW w:w="606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0.374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Serum CrAg Completed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(71)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(84)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0.136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6C3722" w:rsidRDefault="0039637C" w:rsidP="003028B6">
            <w:p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Serum CrAg titers *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0.796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0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(3)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(5)</w:t>
            </w:r>
          </w:p>
        </w:tc>
        <w:tc>
          <w:tcPr>
            <w:tcW w:w="606" w:type="pct"/>
          </w:tcPr>
          <w:p w:rsidR="0039637C" w:rsidRPr="00EE624F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1:2 – 1:8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(10)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(15)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1:16 – 1:512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(43)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(44)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≥1:1024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(45)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(37)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CSF CrAg Completed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 (66)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(90)</w:t>
            </w:r>
          </w:p>
        </w:tc>
        <w:tc>
          <w:tcPr>
            <w:tcW w:w="606" w:type="pct"/>
          </w:tcPr>
          <w:p w:rsidR="0039637C" w:rsidRPr="00EE624F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0.004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3344E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CSF CrAg titers **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</w:tcPr>
          <w:p w:rsidR="0039637C" w:rsidRPr="00763D6F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0.039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(14)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(34)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7B2531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1:2 – 1:8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(11)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(14)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1:16 – 1:512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(38)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(14)</w:t>
            </w:r>
          </w:p>
        </w:tc>
        <w:tc>
          <w:tcPr>
            <w:tcW w:w="606" w:type="pct"/>
          </w:tcPr>
          <w:p w:rsidR="0039637C" w:rsidRPr="00402249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</w:t>
            </w:r>
            <w:r w:rsidRPr="009B4B6D">
              <w:rPr>
                <w:bCs/>
                <w:i/>
                <w:iCs/>
                <w:sz w:val="18"/>
                <w:szCs w:val="18"/>
              </w:rPr>
              <w:t>≥1:1</w:t>
            </w:r>
            <w:r>
              <w:rPr>
                <w:bCs/>
                <w:i/>
                <w:iCs/>
                <w:sz w:val="18"/>
                <w:szCs w:val="18"/>
              </w:rPr>
              <w:t>,</w:t>
            </w:r>
            <w:r w:rsidRPr="009B4B6D">
              <w:rPr>
                <w:bCs/>
                <w:i/>
                <w:iCs/>
                <w:sz w:val="18"/>
                <w:szCs w:val="18"/>
              </w:rPr>
              <w:t>024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(38)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(39)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5000" w:type="pct"/>
            <w:gridSpan w:val="4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Treatment </w:t>
            </w:r>
            <w:r w:rsidRPr="005D2429">
              <w:rPr>
                <w:bCs/>
                <w:sz w:val="18"/>
                <w:szCs w:val="18"/>
              </w:rPr>
              <w:t>ꝉ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5D2429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Amphotericin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(95)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(88)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0.300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Pr="005D2429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Amphotericin ≥14 days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(63)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(58)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0.631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5D2429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+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Flucytosine</w:t>
            </w:r>
            <w:proofErr w:type="spellEnd"/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(63)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(82)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0.081</w:t>
            </w:r>
          </w:p>
        </w:tc>
      </w:tr>
      <w:tr w:rsidR="0039637C" w:rsidTr="003028B6">
        <w:trPr>
          <w:trHeight w:val="58"/>
        </w:trPr>
        <w:tc>
          <w:tcPr>
            <w:tcW w:w="5000" w:type="pct"/>
            <w:gridSpan w:val="4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Mortality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Pr="005A66A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Survivor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(34)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(74)</w:t>
            </w:r>
          </w:p>
        </w:tc>
        <w:tc>
          <w:tcPr>
            <w:tcW w:w="606" w:type="pct"/>
          </w:tcPr>
          <w:p w:rsidR="0039637C" w:rsidRPr="00B543A8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39637C" w:rsidTr="003028B6">
        <w:trPr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Early-Mortality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(14)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(18)</w:t>
            </w:r>
          </w:p>
        </w:tc>
        <w:tc>
          <w:tcPr>
            <w:tcW w:w="606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0.620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Late-Mortality</w:t>
            </w:r>
          </w:p>
        </w:tc>
        <w:tc>
          <w:tcPr>
            <w:tcW w:w="136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(48)</w:t>
            </w:r>
          </w:p>
        </w:tc>
        <w:tc>
          <w:tcPr>
            <w:tcW w:w="131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(12)</w:t>
            </w:r>
          </w:p>
        </w:tc>
        <w:tc>
          <w:tcPr>
            <w:tcW w:w="606" w:type="pct"/>
          </w:tcPr>
          <w:p w:rsidR="0039637C" w:rsidRPr="00B543A8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</w:tbl>
    <w:p w:rsidR="0039637C" w:rsidRDefault="0039637C" w:rsidP="0039637C">
      <w:pPr>
        <w:tabs>
          <w:tab w:val="num" w:pos="720"/>
        </w:tabs>
        <w:spacing w:line="240" w:lineRule="auto"/>
        <w:rPr>
          <w:sz w:val="16"/>
          <w:szCs w:val="16"/>
        </w:rPr>
      </w:pPr>
      <w:r w:rsidRPr="009B4B6D">
        <w:rPr>
          <w:sz w:val="16"/>
          <w:szCs w:val="16"/>
        </w:rPr>
        <w:t xml:space="preserve">Data are presented as No. </w:t>
      </w:r>
      <w:r>
        <w:rPr>
          <w:sz w:val="16"/>
          <w:szCs w:val="16"/>
        </w:rPr>
        <w:t>(%) unless otherwise indicated. CNS = central nervous system. CrAg = cryptococcal antigen. CSF = cerebrospinal fluid. Modern ART era defined as 2008 or later.</w:t>
      </w:r>
    </w:p>
    <w:p w:rsidR="0039637C" w:rsidRDefault="0039637C" w:rsidP="0039637C">
      <w:pPr>
        <w:tabs>
          <w:tab w:val="num" w:pos="72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*Denotes number of individuals that had serum CrAg testing (n=81) with pre-modern ART era (n=40) and modern ART era (n=41). </w:t>
      </w:r>
    </w:p>
    <w:p w:rsidR="0039637C" w:rsidRPr="009733CD" w:rsidRDefault="0039637C" w:rsidP="003963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**Denotes number of individuals that had lumbar puncture and CSF CrAg (n=81) with pre-modern ART era (n=37) and modern ART era (n=44)</w:t>
      </w:r>
    </w:p>
    <w:p w:rsidR="0039637C" w:rsidRDefault="0039637C" w:rsidP="0039637C">
      <w:pPr>
        <w:spacing w:line="240" w:lineRule="auto"/>
        <w:rPr>
          <w:rFonts w:asciiTheme="majorBidi" w:hAnsiTheme="majorBidi" w:cstheme="majorBidi"/>
          <w:b/>
        </w:rPr>
      </w:pPr>
      <w:r w:rsidRPr="005D2429">
        <w:rPr>
          <w:bCs/>
          <w:sz w:val="18"/>
          <w:szCs w:val="18"/>
        </w:rPr>
        <w:t>ꝉ</w:t>
      </w:r>
      <w:r>
        <w:rPr>
          <w:bCs/>
          <w:sz w:val="18"/>
          <w:szCs w:val="18"/>
        </w:rPr>
        <w:t xml:space="preserve"> </w:t>
      </w:r>
      <w:r>
        <w:rPr>
          <w:sz w:val="16"/>
          <w:szCs w:val="16"/>
        </w:rPr>
        <w:t>Denotes number of individuals with CNS involvement (n=71) with pre-modern ART era (n=38) and modern ART era (n=33).</w:t>
      </w:r>
    </w:p>
    <w:p w:rsidR="0039637C" w:rsidRDefault="0039637C" w:rsidP="0039637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39637C" w:rsidRPr="00884989" w:rsidRDefault="0039637C" w:rsidP="003963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>Supplemental Table 2</w:t>
      </w:r>
      <w:r>
        <w:rPr>
          <w:rFonts w:asciiTheme="majorBidi" w:hAnsiTheme="majorBidi" w:cstheme="majorBidi"/>
        </w:rPr>
        <w:t>: HIV characteristics of individuals diagnosed with cryptococcosis from 2002-2007 vs 2008-2017</w:t>
      </w:r>
    </w:p>
    <w:tbl>
      <w:tblPr>
        <w:tblStyle w:val="GridTable6Colorful"/>
        <w:tblW w:w="4955" w:type="pct"/>
        <w:tblLayout w:type="fixed"/>
        <w:tblLook w:val="0420" w:firstRow="1" w:lastRow="0" w:firstColumn="0" w:lastColumn="0" w:noHBand="0" w:noVBand="1"/>
      </w:tblPr>
      <w:tblGrid>
        <w:gridCol w:w="3324"/>
        <w:gridCol w:w="2430"/>
        <w:gridCol w:w="2252"/>
        <w:gridCol w:w="1260"/>
      </w:tblGrid>
      <w:tr w:rsidR="0039637C" w:rsidRPr="009B4B6D" w:rsidTr="0030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794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11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Pre-modern ART era</w:t>
            </w:r>
            <w:r w:rsidDel="00540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(n=56) (%)</w:t>
            </w:r>
          </w:p>
        </w:tc>
        <w:tc>
          <w:tcPr>
            <w:tcW w:w="1215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ART era (n=49) (%)</w:t>
            </w:r>
          </w:p>
        </w:tc>
        <w:tc>
          <w:tcPr>
            <w:tcW w:w="680" w:type="pct"/>
            <w:hideMark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4B6D">
              <w:rPr>
                <w:sz w:val="20"/>
                <w:szCs w:val="20"/>
              </w:rPr>
              <w:t>p-value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 CD4+ T CELL   at time of cryptococcal diagnosis (cells/mm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9B4B6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IQR</w:t>
            </w:r>
            <w:r w:rsidRPr="009B4B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(7, 49)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(8, 42)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0.533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Median HIV viral load at cryptococcal diagnosis (log copies/mL) </w:t>
            </w:r>
            <w:r w:rsidRPr="009B4B6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IQR</w:t>
            </w:r>
            <w:r w:rsidRPr="009B4B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5.26 (4.88, 5.80)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4.83 (4.05, 5.28)</w:t>
            </w:r>
          </w:p>
        </w:tc>
        <w:tc>
          <w:tcPr>
            <w:tcW w:w="680" w:type="pct"/>
          </w:tcPr>
          <w:p w:rsidR="0039637C" w:rsidRPr="00913C42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913C42">
              <w:rPr>
                <w:b/>
                <w:sz w:val="20"/>
                <w:szCs w:val="20"/>
              </w:rPr>
              <w:t>0.011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Median HIV viral load at last observation (log copies/mL) </w:t>
            </w:r>
            <w:r w:rsidRPr="009B4B6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IQR</w:t>
            </w:r>
            <w:r w:rsidRPr="009B4B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5.16 (4.47, 5.65)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4.46 (2.92, 5.27)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0.099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HIV diagnosis at time of cryptococcal diagnosis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(21)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(20)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0.898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Median time from HIV diagnosis to Cryptococcal diagnosis (Years) </w:t>
            </w:r>
            <w:r w:rsidRPr="009B4B6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IQR</w:t>
            </w:r>
            <w:r w:rsidRPr="009B4B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 (1.0, 12.0)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 (1.0, 12.5)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0.971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ART-Experienced at time of cryptococcal diagnosis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(57)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(67)</w:t>
            </w:r>
          </w:p>
        </w:tc>
        <w:tc>
          <w:tcPr>
            <w:tcW w:w="680" w:type="pct"/>
          </w:tcPr>
          <w:p w:rsidR="0039637C" w:rsidRPr="00DF50B5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 w:rsidRPr="00DF50B5">
              <w:rPr>
                <w:bCs/>
                <w:sz w:val="20"/>
                <w:szCs w:val="20"/>
              </w:rPr>
              <w:t>0.283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Prescribed ART at time of cryptococcal diagnosis</w:t>
            </w:r>
          </w:p>
        </w:tc>
        <w:tc>
          <w:tcPr>
            <w:tcW w:w="1311" w:type="pct"/>
          </w:tcPr>
          <w:p w:rsidR="0039637C" w:rsidDel="008B35E0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(30)</w:t>
            </w:r>
          </w:p>
        </w:tc>
        <w:tc>
          <w:tcPr>
            <w:tcW w:w="1215" w:type="pct"/>
          </w:tcPr>
          <w:p w:rsidR="0039637C" w:rsidDel="00DF50B5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(43)</w:t>
            </w:r>
          </w:p>
        </w:tc>
        <w:tc>
          <w:tcPr>
            <w:tcW w:w="680" w:type="pct"/>
          </w:tcPr>
          <w:p w:rsidR="0039637C" w:rsidRPr="00DF50B5" w:rsidDel="00DF50B5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0.184</w:t>
            </w:r>
          </w:p>
        </w:tc>
      </w:tr>
      <w:tr w:rsidR="0039637C" w:rsidDel="00E9586C" w:rsidTr="003028B6">
        <w:trPr>
          <w:trHeight w:val="58"/>
        </w:trPr>
        <w:tc>
          <w:tcPr>
            <w:tcW w:w="1794" w:type="pct"/>
          </w:tcPr>
          <w:p w:rsidR="0039637C" w:rsidDel="00E9586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HIV Viral Load Suppressed at time of cryptococcal diagnosis</w:t>
            </w:r>
          </w:p>
        </w:tc>
        <w:tc>
          <w:tcPr>
            <w:tcW w:w="1311" w:type="pct"/>
          </w:tcPr>
          <w:p w:rsidR="0039637C" w:rsidDel="00E9586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(9)</w:t>
            </w:r>
          </w:p>
        </w:tc>
        <w:tc>
          <w:tcPr>
            <w:tcW w:w="1215" w:type="pct"/>
          </w:tcPr>
          <w:p w:rsidR="0039637C" w:rsidDel="00E9586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(16)</w:t>
            </w:r>
          </w:p>
        </w:tc>
        <w:tc>
          <w:tcPr>
            <w:tcW w:w="680" w:type="pct"/>
          </w:tcPr>
          <w:p w:rsidR="0039637C" w:rsidDel="00E9586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0.251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HIV Viral Load Suppressed at last observation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(29)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(57)</w:t>
            </w:r>
          </w:p>
        </w:tc>
        <w:tc>
          <w:tcPr>
            <w:tcW w:w="680" w:type="pct"/>
          </w:tcPr>
          <w:p w:rsidR="0039637C" w:rsidRPr="00173646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173646">
              <w:rPr>
                <w:b/>
                <w:sz w:val="20"/>
                <w:szCs w:val="20"/>
              </w:rPr>
              <w:t>0.003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previous OIs (at time of cryptococcal diagnosis)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0.273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Pr="008E3CF3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Pneumocystis Pneumonia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(32)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(25)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Pr="00E76D6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Disseminated MAC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(7)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(8)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Pr="00E76D6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Histoplasmosis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(2)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(0)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Pr="00E76D6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Tuberculosis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(5)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(0)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Pr="00E76D6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Oral Candidiasis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(7)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(10)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Pr="00E76D6E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Cs/>
                <w:i/>
                <w:iCs/>
                <w:sz w:val="18"/>
                <w:szCs w:val="18"/>
              </w:rPr>
              <w:t>Cryptosporidium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(0)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(2)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Pr="003344E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80" w:type="pct"/>
          </w:tcPr>
          <w:p w:rsidR="0039637C" w:rsidRPr="00DA04A4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0.026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Pr="00F1389C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Private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(13)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(35)</w:t>
            </w:r>
          </w:p>
        </w:tc>
        <w:tc>
          <w:tcPr>
            <w:tcW w:w="680" w:type="pct"/>
          </w:tcPr>
          <w:p w:rsidR="0039637C" w:rsidRPr="00F33619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Government (Medicaid, Medicare,  </w:t>
            </w:r>
          </w:p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Ryan White)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(77)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(57)</w:t>
            </w:r>
          </w:p>
        </w:tc>
        <w:tc>
          <w:tcPr>
            <w:tcW w:w="680" w:type="pct"/>
          </w:tcPr>
          <w:p w:rsidR="0039637C" w:rsidRPr="00F33619" w:rsidRDefault="0039637C" w:rsidP="003028B6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Pr="009B4B6D" w:rsidRDefault="0039637C" w:rsidP="003028B6">
            <w:pPr>
              <w:spacing w:after="200" w:line="276" w:lineRule="auto"/>
              <w:contextualSpacing/>
              <w:rPr>
                <w:bCs/>
                <w:i/>
                <w:iCs/>
                <w:sz w:val="18"/>
                <w:szCs w:val="18"/>
              </w:rPr>
            </w:pPr>
            <w:r w:rsidRPr="009B4B6D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None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(11)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(8)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637C" w:rsidTr="0030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794" w:type="pct"/>
          </w:tcPr>
          <w:p w:rsidR="0039637C" w:rsidRPr="00E8046D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substance abuse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(52)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(45)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0.481</w:t>
            </w:r>
          </w:p>
        </w:tc>
      </w:tr>
      <w:tr w:rsidR="0039637C" w:rsidTr="003028B6">
        <w:trPr>
          <w:trHeight w:val="58"/>
        </w:trPr>
        <w:tc>
          <w:tcPr>
            <w:tcW w:w="1794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psychiatric illness</w:t>
            </w:r>
          </w:p>
        </w:tc>
        <w:tc>
          <w:tcPr>
            <w:tcW w:w="1311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(34)</w:t>
            </w:r>
          </w:p>
        </w:tc>
        <w:tc>
          <w:tcPr>
            <w:tcW w:w="1215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(29)</w:t>
            </w:r>
          </w:p>
        </w:tc>
        <w:tc>
          <w:tcPr>
            <w:tcW w:w="680" w:type="pct"/>
          </w:tcPr>
          <w:p w:rsidR="0039637C" w:rsidRDefault="0039637C" w:rsidP="003028B6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0.555</w:t>
            </w:r>
          </w:p>
        </w:tc>
      </w:tr>
    </w:tbl>
    <w:p w:rsidR="0039637C" w:rsidRPr="00B64259" w:rsidRDefault="0039637C" w:rsidP="0039637C">
      <w:pPr>
        <w:pStyle w:val="NoSpacing"/>
        <w:rPr>
          <w:rFonts w:asciiTheme="majorBidi" w:hAnsiTheme="majorBidi" w:cstheme="majorBidi"/>
        </w:rPr>
      </w:pPr>
      <w:r w:rsidRPr="009B4B6D">
        <w:rPr>
          <w:sz w:val="16"/>
          <w:szCs w:val="16"/>
        </w:rPr>
        <w:t xml:space="preserve">Data are presented as No. </w:t>
      </w:r>
      <w:r>
        <w:rPr>
          <w:sz w:val="16"/>
          <w:szCs w:val="16"/>
        </w:rPr>
        <w:t xml:space="preserve">(%) unless otherwise indicated. HIV= Human Immunodeficiency Virus, CD4+ T cell= Cluster of Differentiation 4, ART = </w:t>
      </w:r>
      <w:proofErr w:type="spellStart"/>
      <w:r>
        <w:rPr>
          <w:sz w:val="16"/>
          <w:szCs w:val="16"/>
        </w:rPr>
        <w:t>antiretrovirals</w:t>
      </w:r>
      <w:proofErr w:type="spellEnd"/>
      <w:r>
        <w:rPr>
          <w:sz w:val="16"/>
          <w:szCs w:val="16"/>
        </w:rPr>
        <w:t xml:space="preserve">, OI= opportunistic infections, MAC= mycobacterium </w:t>
      </w:r>
      <w:proofErr w:type="spellStart"/>
      <w:r>
        <w:rPr>
          <w:sz w:val="16"/>
          <w:szCs w:val="16"/>
        </w:rPr>
        <w:t>avium</w:t>
      </w:r>
      <w:proofErr w:type="spellEnd"/>
      <w:r>
        <w:rPr>
          <w:sz w:val="16"/>
          <w:szCs w:val="16"/>
        </w:rPr>
        <w:t xml:space="preserve"> complex. Modern ART era defined as 2008 or later. </w:t>
      </w:r>
    </w:p>
    <w:p w:rsidR="00B8416B" w:rsidRDefault="00CD206F"/>
    <w:sectPr w:rsidR="00B8416B" w:rsidSect="00CD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7C"/>
    <w:rsid w:val="001D10FA"/>
    <w:rsid w:val="00321C80"/>
    <w:rsid w:val="0039637C"/>
    <w:rsid w:val="00881722"/>
    <w:rsid w:val="00990054"/>
    <w:rsid w:val="00BA683C"/>
    <w:rsid w:val="00CD206F"/>
    <w:rsid w:val="00DC6DF7"/>
    <w:rsid w:val="00E307E0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FF6FF-56ED-40A4-8901-707A86E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63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37C"/>
  </w:style>
  <w:style w:type="table" w:styleId="GridTable6Colorful">
    <w:name w:val="Grid Table 6 Colorful"/>
    <w:basedOn w:val="TableNormal"/>
    <w:uiPriority w:val="51"/>
    <w:rsid w:val="00396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Hevey</dc:creator>
  <cp:keywords/>
  <dc:description/>
  <cp:lastModifiedBy>Laura Anderson</cp:lastModifiedBy>
  <cp:revision>4</cp:revision>
  <dcterms:created xsi:type="dcterms:W3CDTF">2019-04-25T14:40:00Z</dcterms:created>
  <dcterms:modified xsi:type="dcterms:W3CDTF">2019-04-25T14:40:00Z</dcterms:modified>
</cp:coreProperties>
</file>