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53B" w:rsidRDefault="0051607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Supplementary table: Measures of central tendency for primary outcome variables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4"/>
        <w:gridCol w:w="1374"/>
        <w:gridCol w:w="1420"/>
        <w:gridCol w:w="1374"/>
        <w:gridCol w:w="1226"/>
        <w:gridCol w:w="1226"/>
        <w:gridCol w:w="1226"/>
      </w:tblGrid>
      <w:tr w:rsidR="002653EC" w:rsidRPr="002653EC" w:rsidTr="005F16A0">
        <w:tc>
          <w:tcPr>
            <w:tcW w:w="1504" w:type="dxa"/>
            <w:tcBorders>
              <w:bottom w:val="single" w:sz="4" w:space="0" w:color="auto"/>
            </w:tcBorders>
          </w:tcPr>
          <w:p w:rsidR="002653EC" w:rsidRPr="002653EC" w:rsidRDefault="002653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8" w:type="dxa"/>
            <w:gridSpan w:val="3"/>
            <w:tcBorders>
              <w:bottom w:val="single" w:sz="4" w:space="0" w:color="auto"/>
            </w:tcBorders>
          </w:tcPr>
          <w:p w:rsidR="002653EC" w:rsidRPr="002653EC" w:rsidRDefault="002653EC" w:rsidP="002653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3EC">
              <w:rPr>
                <w:rFonts w:ascii="Arial" w:hAnsi="Arial" w:cs="Arial"/>
                <w:b/>
                <w:sz w:val="24"/>
                <w:szCs w:val="24"/>
              </w:rPr>
              <w:t>HIV-infected</w:t>
            </w:r>
          </w:p>
        </w:tc>
        <w:tc>
          <w:tcPr>
            <w:tcW w:w="3678" w:type="dxa"/>
            <w:gridSpan w:val="3"/>
            <w:tcBorders>
              <w:bottom w:val="single" w:sz="4" w:space="0" w:color="auto"/>
            </w:tcBorders>
          </w:tcPr>
          <w:p w:rsidR="002653EC" w:rsidRPr="002653EC" w:rsidRDefault="002653EC" w:rsidP="002653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3EC">
              <w:rPr>
                <w:rFonts w:ascii="Arial" w:hAnsi="Arial" w:cs="Arial"/>
                <w:b/>
                <w:sz w:val="24"/>
                <w:szCs w:val="24"/>
              </w:rPr>
              <w:t>Control</w:t>
            </w:r>
          </w:p>
        </w:tc>
      </w:tr>
      <w:tr w:rsidR="002653EC" w:rsidRPr="002653EC" w:rsidTr="005F16A0"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2653EC" w:rsidRPr="002653EC" w:rsidRDefault="002653EC" w:rsidP="002653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53EC">
              <w:rPr>
                <w:rFonts w:ascii="Arial" w:hAnsi="Arial" w:cs="Arial"/>
                <w:b/>
                <w:sz w:val="24"/>
                <w:szCs w:val="24"/>
              </w:rPr>
              <w:t>Outcome variable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2653EC" w:rsidRPr="002653EC" w:rsidRDefault="002653EC" w:rsidP="002653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53EC">
              <w:rPr>
                <w:rFonts w:ascii="Arial" w:hAnsi="Arial" w:cs="Arial"/>
                <w:b/>
                <w:sz w:val="24"/>
                <w:szCs w:val="24"/>
              </w:rPr>
              <w:t>Mean (SD)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653EC" w:rsidRPr="002653EC" w:rsidRDefault="002653EC" w:rsidP="002653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53EC">
              <w:rPr>
                <w:rFonts w:ascii="Arial" w:hAnsi="Arial" w:cs="Arial"/>
                <w:b/>
                <w:sz w:val="24"/>
                <w:szCs w:val="24"/>
              </w:rPr>
              <w:t>Median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2653EC" w:rsidRPr="002653EC" w:rsidRDefault="002653EC" w:rsidP="002653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53EC">
              <w:rPr>
                <w:rFonts w:ascii="Arial" w:hAnsi="Arial" w:cs="Arial"/>
                <w:b/>
                <w:sz w:val="24"/>
                <w:szCs w:val="24"/>
              </w:rPr>
              <w:t>Mode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2653EC" w:rsidRPr="002653EC" w:rsidRDefault="002653EC" w:rsidP="002653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53EC">
              <w:rPr>
                <w:rFonts w:ascii="Arial" w:hAnsi="Arial" w:cs="Arial"/>
                <w:b/>
                <w:sz w:val="24"/>
                <w:szCs w:val="24"/>
              </w:rPr>
              <w:t>Mean (SD)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2653EC" w:rsidRPr="002653EC" w:rsidRDefault="002653EC" w:rsidP="002653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53EC">
              <w:rPr>
                <w:rFonts w:ascii="Arial" w:hAnsi="Arial" w:cs="Arial"/>
                <w:b/>
                <w:sz w:val="24"/>
                <w:szCs w:val="24"/>
              </w:rPr>
              <w:t>Median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2653EC" w:rsidRPr="002653EC" w:rsidRDefault="002653EC" w:rsidP="002653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53EC">
              <w:rPr>
                <w:rFonts w:ascii="Arial" w:hAnsi="Arial" w:cs="Arial"/>
                <w:b/>
                <w:sz w:val="24"/>
                <w:szCs w:val="24"/>
              </w:rPr>
              <w:t>Mode</w:t>
            </w:r>
          </w:p>
        </w:tc>
      </w:tr>
      <w:tr w:rsidR="002653EC" w:rsidTr="005F16A0">
        <w:tc>
          <w:tcPr>
            <w:tcW w:w="1504" w:type="dxa"/>
            <w:tcBorders>
              <w:top w:val="single" w:sz="4" w:space="0" w:color="auto"/>
            </w:tcBorders>
          </w:tcPr>
          <w:p w:rsidR="002653EC" w:rsidRPr="00D625F0" w:rsidRDefault="002653EC" w:rsidP="002653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25F0">
              <w:rPr>
                <w:rFonts w:ascii="Arial" w:hAnsi="Arial" w:cs="Arial"/>
                <w:sz w:val="20"/>
                <w:szCs w:val="20"/>
              </w:rPr>
              <w:t>CBCL</w:t>
            </w:r>
            <w:r w:rsidRPr="00D625F0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  <w:r w:rsidRPr="00D625F0">
              <w:rPr>
                <w:rFonts w:ascii="Arial" w:hAnsi="Arial" w:cs="Arial"/>
                <w:sz w:val="20"/>
                <w:szCs w:val="20"/>
              </w:rPr>
              <w:t xml:space="preserve"> total competence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37.68 (7.70)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40.98 (8.09)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2653EC" w:rsidTr="005F16A0">
        <w:tc>
          <w:tcPr>
            <w:tcW w:w="1504" w:type="dxa"/>
          </w:tcPr>
          <w:p w:rsidR="002653EC" w:rsidRPr="00D625F0" w:rsidRDefault="002653EC" w:rsidP="002653EC">
            <w:pPr>
              <w:rPr>
                <w:rFonts w:ascii="Arial" w:hAnsi="Arial" w:cs="Arial"/>
                <w:sz w:val="20"/>
                <w:szCs w:val="20"/>
              </w:rPr>
            </w:pPr>
            <w:r w:rsidRPr="00D625F0">
              <w:rPr>
                <w:rFonts w:ascii="Arial" w:hAnsi="Arial" w:cs="Arial"/>
                <w:sz w:val="20"/>
                <w:szCs w:val="20"/>
              </w:rPr>
              <w:t>CBCL internalizing problems</w:t>
            </w:r>
          </w:p>
        </w:tc>
        <w:tc>
          <w:tcPr>
            <w:tcW w:w="1374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57.37 (11.16)</w:t>
            </w:r>
          </w:p>
        </w:tc>
        <w:tc>
          <w:tcPr>
            <w:tcW w:w="1420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374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26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55.30 (8.95)</w:t>
            </w:r>
          </w:p>
        </w:tc>
        <w:tc>
          <w:tcPr>
            <w:tcW w:w="1226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226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2653EC" w:rsidTr="005F16A0">
        <w:tc>
          <w:tcPr>
            <w:tcW w:w="1504" w:type="dxa"/>
          </w:tcPr>
          <w:p w:rsidR="002653EC" w:rsidRPr="00D625F0" w:rsidRDefault="002653EC" w:rsidP="002653EC">
            <w:pPr>
              <w:rPr>
                <w:rFonts w:ascii="Arial" w:hAnsi="Arial" w:cs="Arial"/>
                <w:sz w:val="20"/>
                <w:szCs w:val="20"/>
              </w:rPr>
            </w:pPr>
            <w:r w:rsidRPr="00D625F0">
              <w:rPr>
                <w:rFonts w:ascii="Arial" w:hAnsi="Arial" w:cs="Arial"/>
                <w:sz w:val="20"/>
                <w:szCs w:val="20"/>
              </w:rPr>
              <w:t>CBCL externalizing problems</w:t>
            </w:r>
          </w:p>
        </w:tc>
        <w:tc>
          <w:tcPr>
            <w:tcW w:w="1374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53.03 (10.96)</w:t>
            </w:r>
          </w:p>
        </w:tc>
        <w:tc>
          <w:tcPr>
            <w:tcW w:w="1420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374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226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51.30 (10.25)</w:t>
            </w:r>
          </w:p>
        </w:tc>
        <w:tc>
          <w:tcPr>
            <w:tcW w:w="1226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226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2653EC" w:rsidTr="005F16A0">
        <w:tc>
          <w:tcPr>
            <w:tcW w:w="1504" w:type="dxa"/>
          </w:tcPr>
          <w:p w:rsidR="002653EC" w:rsidRPr="00D625F0" w:rsidRDefault="002653EC" w:rsidP="002653EC">
            <w:pPr>
              <w:rPr>
                <w:rFonts w:ascii="Arial" w:hAnsi="Arial" w:cs="Arial"/>
                <w:sz w:val="20"/>
                <w:szCs w:val="20"/>
              </w:rPr>
            </w:pPr>
            <w:r w:rsidRPr="00D625F0">
              <w:rPr>
                <w:rFonts w:ascii="Arial" w:hAnsi="Arial" w:cs="Arial"/>
                <w:sz w:val="20"/>
                <w:szCs w:val="20"/>
              </w:rPr>
              <w:t>CBCL total problems</w:t>
            </w:r>
          </w:p>
        </w:tc>
        <w:tc>
          <w:tcPr>
            <w:tcW w:w="1374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55.32 (11.31)</w:t>
            </w:r>
          </w:p>
        </w:tc>
        <w:tc>
          <w:tcPr>
            <w:tcW w:w="1420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374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26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52.72 (9.09)</w:t>
            </w:r>
          </w:p>
        </w:tc>
        <w:tc>
          <w:tcPr>
            <w:tcW w:w="1226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226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2653EC" w:rsidTr="005F16A0">
        <w:tc>
          <w:tcPr>
            <w:tcW w:w="1504" w:type="dxa"/>
          </w:tcPr>
          <w:p w:rsidR="002653EC" w:rsidRPr="00D625F0" w:rsidRDefault="002653EC" w:rsidP="002653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25F0">
              <w:rPr>
                <w:rFonts w:ascii="Arial" w:hAnsi="Arial" w:cs="Arial"/>
                <w:sz w:val="20"/>
                <w:szCs w:val="20"/>
              </w:rPr>
              <w:t>BECK</w:t>
            </w:r>
            <w:r w:rsidRPr="00D625F0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  <w:r w:rsidRPr="00D625F0">
              <w:rPr>
                <w:rFonts w:ascii="Arial" w:hAnsi="Arial" w:cs="Arial"/>
                <w:sz w:val="20"/>
                <w:szCs w:val="20"/>
              </w:rPr>
              <w:t xml:space="preserve"> self-concept</w:t>
            </w:r>
          </w:p>
        </w:tc>
        <w:tc>
          <w:tcPr>
            <w:tcW w:w="1374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45.63 (9.18)</w:t>
            </w:r>
          </w:p>
        </w:tc>
        <w:tc>
          <w:tcPr>
            <w:tcW w:w="1420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374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226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49.43 (7.33)</w:t>
            </w:r>
          </w:p>
        </w:tc>
        <w:tc>
          <w:tcPr>
            <w:tcW w:w="1226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26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653EC" w:rsidTr="005F16A0">
        <w:tc>
          <w:tcPr>
            <w:tcW w:w="1504" w:type="dxa"/>
          </w:tcPr>
          <w:p w:rsidR="002653EC" w:rsidRPr="00D625F0" w:rsidRDefault="002653EC" w:rsidP="002653EC">
            <w:pPr>
              <w:rPr>
                <w:rFonts w:ascii="Arial" w:hAnsi="Arial" w:cs="Arial"/>
                <w:sz w:val="20"/>
                <w:szCs w:val="20"/>
              </w:rPr>
            </w:pPr>
            <w:r w:rsidRPr="00D625F0">
              <w:rPr>
                <w:rFonts w:ascii="Arial" w:hAnsi="Arial" w:cs="Arial"/>
                <w:sz w:val="20"/>
                <w:szCs w:val="20"/>
              </w:rPr>
              <w:t>BECK anxiety</w:t>
            </w:r>
          </w:p>
        </w:tc>
        <w:tc>
          <w:tcPr>
            <w:tcW w:w="1374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53.75 (13.57)</w:t>
            </w:r>
          </w:p>
        </w:tc>
        <w:tc>
          <w:tcPr>
            <w:tcW w:w="1420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374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226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53.82 (10.93)</w:t>
            </w:r>
          </w:p>
        </w:tc>
        <w:tc>
          <w:tcPr>
            <w:tcW w:w="1226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226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2653EC" w:rsidTr="005F16A0">
        <w:tc>
          <w:tcPr>
            <w:tcW w:w="1504" w:type="dxa"/>
          </w:tcPr>
          <w:p w:rsidR="002653EC" w:rsidRPr="00D625F0" w:rsidRDefault="002653EC" w:rsidP="002653EC">
            <w:pPr>
              <w:rPr>
                <w:rFonts w:ascii="Arial" w:hAnsi="Arial" w:cs="Arial"/>
                <w:sz w:val="20"/>
                <w:szCs w:val="20"/>
              </w:rPr>
            </w:pPr>
            <w:r w:rsidRPr="00D625F0">
              <w:rPr>
                <w:rFonts w:ascii="Arial" w:hAnsi="Arial" w:cs="Arial"/>
                <w:sz w:val="20"/>
                <w:szCs w:val="20"/>
              </w:rPr>
              <w:t>BECK depression</w:t>
            </w:r>
          </w:p>
        </w:tc>
        <w:tc>
          <w:tcPr>
            <w:tcW w:w="1374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47.66 (11.98)</w:t>
            </w:r>
          </w:p>
        </w:tc>
        <w:tc>
          <w:tcPr>
            <w:tcW w:w="1420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74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26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42.59 (9.01)</w:t>
            </w:r>
          </w:p>
        </w:tc>
        <w:tc>
          <w:tcPr>
            <w:tcW w:w="1226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26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2653EC" w:rsidTr="005F16A0">
        <w:tc>
          <w:tcPr>
            <w:tcW w:w="1504" w:type="dxa"/>
          </w:tcPr>
          <w:p w:rsidR="002653EC" w:rsidRPr="00D625F0" w:rsidRDefault="002653EC" w:rsidP="002653EC">
            <w:pPr>
              <w:rPr>
                <w:rFonts w:ascii="Arial" w:hAnsi="Arial" w:cs="Arial"/>
                <w:sz w:val="20"/>
                <w:szCs w:val="20"/>
              </w:rPr>
            </w:pPr>
            <w:r w:rsidRPr="00D625F0">
              <w:rPr>
                <w:rFonts w:ascii="Arial" w:hAnsi="Arial" w:cs="Arial"/>
                <w:sz w:val="20"/>
                <w:szCs w:val="20"/>
              </w:rPr>
              <w:t>BECK anger</w:t>
            </w:r>
          </w:p>
        </w:tc>
        <w:tc>
          <w:tcPr>
            <w:tcW w:w="1374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45.68 (12.71)</w:t>
            </w:r>
          </w:p>
        </w:tc>
        <w:tc>
          <w:tcPr>
            <w:tcW w:w="1420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374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26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42.43 (9.69)</w:t>
            </w:r>
          </w:p>
        </w:tc>
        <w:tc>
          <w:tcPr>
            <w:tcW w:w="1226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26" w:type="dxa"/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2653EC" w:rsidTr="005F16A0">
        <w:tc>
          <w:tcPr>
            <w:tcW w:w="1504" w:type="dxa"/>
            <w:tcBorders>
              <w:bottom w:val="single" w:sz="4" w:space="0" w:color="auto"/>
            </w:tcBorders>
          </w:tcPr>
          <w:p w:rsidR="002653EC" w:rsidRPr="00D625F0" w:rsidRDefault="002653EC" w:rsidP="002653EC">
            <w:pPr>
              <w:rPr>
                <w:rFonts w:ascii="Arial" w:hAnsi="Arial" w:cs="Arial"/>
                <w:sz w:val="20"/>
                <w:szCs w:val="20"/>
              </w:rPr>
            </w:pPr>
            <w:r w:rsidRPr="00D625F0">
              <w:rPr>
                <w:rFonts w:ascii="Arial" w:hAnsi="Arial" w:cs="Arial"/>
                <w:sz w:val="20"/>
                <w:szCs w:val="20"/>
              </w:rPr>
              <w:t xml:space="preserve">BECK disruptive </w:t>
            </w:r>
            <w:proofErr w:type="spellStart"/>
            <w:r w:rsidRPr="00D625F0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45.76 (11.05)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40.86 (7.93)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2653EC" w:rsidRDefault="002653EC" w:rsidP="00265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</w:tbl>
    <w:p w:rsidR="0051607A" w:rsidRPr="0051607A" w:rsidRDefault="0051607A" w:rsidP="0051607A">
      <w:pPr>
        <w:spacing w:line="240" w:lineRule="auto"/>
        <w:rPr>
          <w:rFonts w:ascii="Arial" w:eastAsia="Cambria" w:hAnsi="Arial" w:cs="Arial"/>
          <w:sz w:val="20"/>
          <w:szCs w:val="20"/>
          <w:lang w:val="en-ZA"/>
        </w:rPr>
      </w:pPr>
      <w:r w:rsidRPr="0051607A">
        <w:rPr>
          <w:rFonts w:ascii="Arial" w:eastAsia="Cambria" w:hAnsi="Arial" w:cs="Arial"/>
          <w:sz w:val="20"/>
          <w:szCs w:val="20"/>
          <w:lang w:val="en-ZA"/>
        </w:rPr>
        <w:t xml:space="preserve">NOTE: a: CBCL = Child Behaviours Checklist parent rated version. b: Beck Youth Inventory scale. </w:t>
      </w:r>
    </w:p>
    <w:p w:rsidR="0051607A" w:rsidRPr="0051607A" w:rsidRDefault="0051607A">
      <w:pPr>
        <w:rPr>
          <w:rFonts w:ascii="Arial" w:hAnsi="Arial" w:cs="Arial"/>
          <w:sz w:val="24"/>
          <w:szCs w:val="24"/>
        </w:rPr>
      </w:pPr>
    </w:p>
    <w:sectPr w:rsidR="0051607A" w:rsidRPr="00516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7A"/>
    <w:rsid w:val="00147957"/>
    <w:rsid w:val="002653EC"/>
    <w:rsid w:val="004C3B41"/>
    <w:rsid w:val="0051607A"/>
    <w:rsid w:val="005F16A0"/>
    <w:rsid w:val="00A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2B15C-B2A1-4F80-9E9B-D93A9FC4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Phillips</dc:creator>
  <cp:keywords/>
  <dc:description/>
  <cp:lastModifiedBy>Jackie Hoare</cp:lastModifiedBy>
  <cp:revision>2</cp:revision>
  <dcterms:created xsi:type="dcterms:W3CDTF">2019-03-27T16:48:00Z</dcterms:created>
  <dcterms:modified xsi:type="dcterms:W3CDTF">2019-03-27T16:48:00Z</dcterms:modified>
</cp:coreProperties>
</file>