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C81CF" w14:textId="053DFB73" w:rsidR="00DC0769" w:rsidRPr="00DC0769" w:rsidRDefault="00DC0769" w:rsidP="00DC0769">
      <w:pPr>
        <w:rPr>
          <w:rFonts w:ascii="Times New Roman" w:hAnsi="Times New Roman" w:cs="Times New Roman"/>
          <w:b/>
          <w:sz w:val="28"/>
        </w:rPr>
      </w:pPr>
      <w:bookmarkStart w:id="0" w:name="_GoBack"/>
      <w:bookmarkEnd w:id="0"/>
      <w:r w:rsidRPr="00DC0769">
        <w:rPr>
          <w:rFonts w:ascii="Times New Roman" w:hAnsi="Times New Roman" w:cs="Times New Roman"/>
          <w:b/>
          <w:sz w:val="28"/>
        </w:rPr>
        <w:t>Supplementary Materials</w:t>
      </w:r>
    </w:p>
    <w:p w14:paraId="76B4A199" w14:textId="77777777" w:rsidR="00DC0769" w:rsidRPr="00DC0769" w:rsidRDefault="00DC0769" w:rsidP="00DC0769">
      <w:pPr>
        <w:rPr>
          <w:rFonts w:ascii="Times New Roman" w:hAnsi="Times New Roman" w:cs="Times New Roman"/>
          <w:b/>
        </w:rPr>
      </w:pPr>
    </w:p>
    <w:p w14:paraId="35E41DE1" w14:textId="7EED7529" w:rsidR="00DC0769" w:rsidRPr="00DC0769" w:rsidRDefault="00DC0769" w:rsidP="00DC0769">
      <w:pPr>
        <w:rPr>
          <w:rFonts w:ascii="Times New Roman" w:hAnsi="Times New Roman" w:cs="Times New Roman"/>
          <w:b/>
        </w:rPr>
      </w:pPr>
      <w:r w:rsidRPr="00DC0769">
        <w:rPr>
          <w:rFonts w:ascii="Times New Roman" w:hAnsi="Times New Roman" w:cs="Times New Roman"/>
          <w:b/>
        </w:rPr>
        <w:t>Title:</w:t>
      </w:r>
    </w:p>
    <w:p w14:paraId="4738F3EB" w14:textId="77777777" w:rsidR="00DC0769" w:rsidRPr="00DC0769" w:rsidRDefault="00DC0769" w:rsidP="00DC0769">
      <w:pPr>
        <w:spacing w:after="0" w:line="240" w:lineRule="auto"/>
        <w:rPr>
          <w:rFonts w:ascii="Times New Roman" w:hAnsi="Times New Roman" w:cs="Times New Roman"/>
          <w:sz w:val="24"/>
        </w:rPr>
      </w:pPr>
      <w:r w:rsidRPr="00DC0769">
        <w:rPr>
          <w:rFonts w:ascii="Times New Roman" w:hAnsi="Times New Roman" w:cs="Times New Roman"/>
          <w:sz w:val="24"/>
        </w:rPr>
        <w:t>Clinical consequences of using an indeterminate range for early infant diagnosis of HIV: a decision model</w:t>
      </w:r>
    </w:p>
    <w:p w14:paraId="40653975" w14:textId="3D2E571F" w:rsidR="00DC0769" w:rsidRPr="00DC0769" w:rsidRDefault="00DC0769" w:rsidP="00DC0769">
      <w:pPr>
        <w:rPr>
          <w:rFonts w:ascii="Times New Roman" w:hAnsi="Times New Roman" w:cs="Times New Roman"/>
          <w:b/>
        </w:rPr>
      </w:pPr>
    </w:p>
    <w:p w14:paraId="70C26FE5" w14:textId="77777777" w:rsidR="00DC0769" w:rsidRPr="00DC0769" w:rsidRDefault="00DC0769" w:rsidP="00DC0769">
      <w:pPr>
        <w:spacing w:after="0" w:line="240" w:lineRule="auto"/>
        <w:rPr>
          <w:rFonts w:ascii="Times New Roman" w:hAnsi="Times New Roman" w:cs="Times New Roman"/>
          <w:sz w:val="24"/>
        </w:rPr>
      </w:pPr>
      <w:r w:rsidRPr="00DC0769">
        <w:rPr>
          <w:rFonts w:ascii="Times New Roman" w:hAnsi="Times New Roman" w:cs="Times New Roman"/>
          <w:b/>
          <w:sz w:val="24"/>
        </w:rPr>
        <w:t>Authors</w:t>
      </w:r>
      <w:r w:rsidRPr="00DC0769">
        <w:rPr>
          <w:rFonts w:ascii="Times New Roman" w:hAnsi="Times New Roman" w:cs="Times New Roman"/>
          <w:sz w:val="24"/>
        </w:rPr>
        <w:t xml:space="preserve">: </w:t>
      </w:r>
    </w:p>
    <w:p w14:paraId="6E4B94BB" w14:textId="77777777" w:rsidR="00DC0769" w:rsidRPr="00DC0769" w:rsidRDefault="00DC0769" w:rsidP="00DC0769">
      <w:pPr>
        <w:spacing w:after="0" w:line="240" w:lineRule="auto"/>
        <w:rPr>
          <w:rFonts w:ascii="Times New Roman" w:hAnsi="Times New Roman" w:cs="Times New Roman"/>
        </w:rPr>
      </w:pPr>
    </w:p>
    <w:p w14:paraId="6495C38A" w14:textId="77777777" w:rsidR="00DC0769" w:rsidRPr="00DC0769" w:rsidRDefault="00DC0769" w:rsidP="00DC0769">
      <w:pPr>
        <w:spacing w:after="0" w:line="240" w:lineRule="auto"/>
        <w:rPr>
          <w:rFonts w:ascii="Times New Roman" w:hAnsi="Times New Roman" w:cs="Times New Roman"/>
        </w:rPr>
      </w:pPr>
      <w:r w:rsidRPr="00DC0769">
        <w:rPr>
          <w:rFonts w:ascii="Times New Roman" w:hAnsi="Times New Roman" w:cs="Times New Roman"/>
        </w:rPr>
        <w:t>Phillip Salvatore*</w:t>
      </w:r>
      <w:r w:rsidRPr="00DC0769">
        <w:rPr>
          <w:rFonts w:ascii="Times New Roman" w:hAnsi="Times New Roman" w:cs="Times New Roman"/>
          <w:vertAlign w:val="superscript"/>
        </w:rPr>
        <w:t>†</w:t>
      </w:r>
      <w:r w:rsidRPr="00DC0769">
        <w:rPr>
          <w:rFonts w:ascii="Times New Roman" w:hAnsi="Times New Roman" w:cs="Times New Roman"/>
        </w:rPr>
        <w:t xml:space="preserve">, PhD, SM </w:t>
      </w:r>
    </w:p>
    <w:p w14:paraId="607B7DD7" w14:textId="77777777" w:rsidR="00DC0769" w:rsidRPr="00DC0769" w:rsidRDefault="00DC0769" w:rsidP="00DC0769">
      <w:pPr>
        <w:spacing w:after="0" w:line="240" w:lineRule="auto"/>
        <w:rPr>
          <w:rFonts w:ascii="Times New Roman" w:hAnsi="Times New Roman" w:cs="Times New Roman"/>
        </w:rPr>
      </w:pPr>
      <w:r w:rsidRPr="00DC0769">
        <w:rPr>
          <w:rFonts w:ascii="Times New Roman" w:hAnsi="Times New Roman" w:cs="Times New Roman"/>
        </w:rPr>
        <w:t>Karl Johnson</w:t>
      </w:r>
      <w:r w:rsidRPr="00DC0769">
        <w:rPr>
          <w:rFonts w:ascii="Times New Roman" w:hAnsi="Times New Roman" w:cs="Times New Roman"/>
          <w:vertAlign w:val="superscript"/>
        </w:rPr>
        <w:t>‡</w:t>
      </w:r>
      <w:r w:rsidRPr="00DC0769">
        <w:rPr>
          <w:rFonts w:ascii="Times New Roman" w:hAnsi="Times New Roman" w:cs="Times New Roman"/>
        </w:rPr>
        <w:t>, BS</w:t>
      </w:r>
    </w:p>
    <w:p w14:paraId="7C9792D8" w14:textId="77777777" w:rsidR="00DC0769" w:rsidRPr="00DC0769" w:rsidRDefault="00DC0769" w:rsidP="00DC0769">
      <w:pPr>
        <w:spacing w:after="0" w:line="240" w:lineRule="auto"/>
        <w:rPr>
          <w:rFonts w:ascii="Times New Roman" w:hAnsi="Times New Roman" w:cs="Times New Roman"/>
        </w:rPr>
      </w:pPr>
      <w:r w:rsidRPr="00DC0769">
        <w:rPr>
          <w:rFonts w:ascii="Times New Roman" w:hAnsi="Times New Roman" w:cs="Times New Roman"/>
        </w:rPr>
        <w:t xml:space="preserve">Lara </w:t>
      </w:r>
      <w:proofErr w:type="spellStart"/>
      <w:r w:rsidRPr="00DC0769">
        <w:rPr>
          <w:rFonts w:ascii="Times New Roman" w:hAnsi="Times New Roman" w:cs="Times New Roman"/>
        </w:rPr>
        <w:t>Vojnov</w:t>
      </w:r>
      <w:proofErr w:type="spellEnd"/>
      <w:r w:rsidRPr="00DC0769">
        <w:rPr>
          <w:rFonts w:ascii="Times New Roman" w:hAnsi="Times New Roman" w:cs="Times New Roman"/>
          <w:color w:val="222222"/>
          <w:shd w:val="clear" w:color="auto" w:fill="FFFFFF"/>
          <w:vertAlign w:val="superscript"/>
        </w:rPr>
        <w:t>§</w:t>
      </w:r>
      <w:r w:rsidRPr="00DC0769">
        <w:rPr>
          <w:rFonts w:ascii="Times New Roman" w:hAnsi="Times New Roman" w:cs="Times New Roman"/>
        </w:rPr>
        <w:t>, PhD</w:t>
      </w:r>
    </w:p>
    <w:p w14:paraId="5DE95E54" w14:textId="77777777" w:rsidR="00DC0769" w:rsidRPr="00DC0769" w:rsidRDefault="00DC0769" w:rsidP="00DC0769">
      <w:pPr>
        <w:spacing w:after="0" w:line="240" w:lineRule="auto"/>
        <w:rPr>
          <w:rFonts w:ascii="Times New Roman" w:hAnsi="Times New Roman" w:cs="Times New Roman"/>
        </w:rPr>
      </w:pPr>
      <w:r w:rsidRPr="00DC0769">
        <w:rPr>
          <w:rFonts w:ascii="Times New Roman" w:hAnsi="Times New Roman" w:cs="Times New Roman"/>
        </w:rPr>
        <w:t>Meg Doherty</w:t>
      </w:r>
      <w:r w:rsidRPr="00DC0769">
        <w:rPr>
          <w:rFonts w:ascii="Times New Roman" w:hAnsi="Times New Roman" w:cs="Times New Roman"/>
          <w:color w:val="222222"/>
          <w:shd w:val="clear" w:color="auto" w:fill="FFFFFF"/>
          <w:vertAlign w:val="superscript"/>
        </w:rPr>
        <w:t>§</w:t>
      </w:r>
      <w:r w:rsidRPr="00DC0769">
        <w:rPr>
          <w:rFonts w:ascii="Times New Roman" w:hAnsi="Times New Roman" w:cs="Times New Roman"/>
        </w:rPr>
        <w:t>, MD, PhD, MPH</w:t>
      </w:r>
    </w:p>
    <w:p w14:paraId="5CD4B214" w14:textId="207AD794" w:rsidR="00DC0769" w:rsidRDefault="00DC0769" w:rsidP="00DC0769">
      <w:pPr>
        <w:spacing w:after="0" w:line="240" w:lineRule="auto"/>
        <w:rPr>
          <w:rFonts w:ascii="Times New Roman" w:hAnsi="Times New Roman" w:cs="Times New Roman"/>
        </w:rPr>
      </w:pPr>
      <w:r w:rsidRPr="00DC0769">
        <w:rPr>
          <w:rFonts w:ascii="Times New Roman" w:hAnsi="Times New Roman" w:cs="Times New Roman"/>
        </w:rPr>
        <w:t>David Dowdy*</w:t>
      </w:r>
      <w:r w:rsidRPr="00DC0769">
        <w:rPr>
          <w:rFonts w:ascii="Times New Roman" w:hAnsi="Times New Roman" w:cs="Times New Roman"/>
          <w:vertAlign w:val="superscript"/>
        </w:rPr>
        <w:t>‖</w:t>
      </w:r>
      <w:r w:rsidRPr="00DC0769">
        <w:rPr>
          <w:rFonts w:ascii="Times New Roman" w:hAnsi="Times New Roman" w:cs="Times New Roman"/>
        </w:rPr>
        <w:t xml:space="preserve">, MD, PhD, </w:t>
      </w:r>
      <w:proofErr w:type="spellStart"/>
      <w:r w:rsidRPr="00DC0769">
        <w:rPr>
          <w:rFonts w:ascii="Times New Roman" w:hAnsi="Times New Roman" w:cs="Times New Roman"/>
        </w:rPr>
        <w:t>ScM</w:t>
      </w:r>
      <w:proofErr w:type="spellEnd"/>
    </w:p>
    <w:p w14:paraId="23AD1738" w14:textId="426079A3" w:rsidR="002D4F9E" w:rsidRDefault="002D4F9E" w:rsidP="00DC0769">
      <w:pPr>
        <w:spacing w:after="0" w:line="240" w:lineRule="auto"/>
        <w:rPr>
          <w:rFonts w:ascii="Times New Roman" w:hAnsi="Times New Roman" w:cs="Times New Roman"/>
        </w:rPr>
      </w:pPr>
    </w:p>
    <w:p w14:paraId="200961CF" w14:textId="77777777" w:rsidR="002D4F9E" w:rsidRPr="00742DFD" w:rsidRDefault="002D4F9E" w:rsidP="002D4F9E">
      <w:pPr>
        <w:spacing w:after="0" w:line="240" w:lineRule="auto"/>
        <w:rPr>
          <w:rFonts w:ascii="Times New Roman" w:hAnsi="Times New Roman" w:cs="Times New Roman"/>
        </w:rPr>
      </w:pPr>
      <w:r w:rsidRPr="00742DFD">
        <w:rPr>
          <w:rFonts w:ascii="Times New Roman" w:hAnsi="Times New Roman" w:cs="Times New Roman"/>
        </w:rPr>
        <w:t>* Department of Epidemiology, Johns Hopkins Bloomberg School of Public Health, Baltimore, Maryland, USA</w:t>
      </w:r>
    </w:p>
    <w:p w14:paraId="22FA0C28" w14:textId="77777777" w:rsidR="002D4F9E" w:rsidRPr="00742DFD" w:rsidRDefault="002D4F9E" w:rsidP="002D4F9E">
      <w:pPr>
        <w:spacing w:after="0" w:line="240" w:lineRule="auto"/>
        <w:rPr>
          <w:rFonts w:ascii="Times New Roman" w:hAnsi="Times New Roman" w:cs="Times New Roman"/>
        </w:rPr>
      </w:pPr>
      <w:r w:rsidRPr="00742DFD">
        <w:rPr>
          <w:rFonts w:ascii="Times New Roman" w:hAnsi="Times New Roman" w:cs="Times New Roman"/>
        </w:rPr>
        <w:t>† Department of Molecular Microbiology &amp; Immunology, Johns Hopkins Bloomberg School of Public Health, Baltimore, Maryland, USA</w:t>
      </w:r>
    </w:p>
    <w:p w14:paraId="6DB118B8" w14:textId="77777777" w:rsidR="002D4F9E" w:rsidRPr="00742DFD" w:rsidRDefault="002D4F9E" w:rsidP="002D4F9E">
      <w:pPr>
        <w:spacing w:after="0" w:line="240" w:lineRule="auto"/>
        <w:rPr>
          <w:rFonts w:ascii="Times New Roman" w:hAnsi="Times New Roman" w:cs="Times New Roman"/>
        </w:rPr>
      </w:pPr>
      <w:r w:rsidRPr="00742DFD">
        <w:rPr>
          <w:rFonts w:ascii="Times New Roman" w:hAnsi="Times New Roman" w:cs="Times New Roman"/>
        </w:rPr>
        <w:t>‡ Krieger School of Arts and Sciences, Johns Hopkins University, Baltimore, Maryland, USA</w:t>
      </w:r>
    </w:p>
    <w:p w14:paraId="3E0E41E8" w14:textId="77777777" w:rsidR="002D4F9E" w:rsidRPr="00742DFD" w:rsidRDefault="002D4F9E" w:rsidP="002D4F9E">
      <w:pPr>
        <w:spacing w:after="0" w:line="240" w:lineRule="auto"/>
        <w:rPr>
          <w:rFonts w:ascii="Times New Roman" w:hAnsi="Times New Roman" w:cs="Times New Roman"/>
          <w:color w:val="222222"/>
          <w:shd w:val="clear" w:color="auto" w:fill="FFFFFF"/>
        </w:rPr>
      </w:pPr>
      <w:r w:rsidRPr="00742DFD">
        <w:rPr>
          <w:rFonts w:ascii="Times New Roman" w:hAnsi="Times New Roman" w:cs="Times New Roman"/>
          <w:color w:val="222222"/>
          <w:shd w:val="clear" w:color="auto" w:fill="FFFFFF"/>
        </w:rPr>
        <w:t xml:space="preserve">§ Department of HIV and Global Hepatitis </w:t>
      </w:r>
      <w:proofErr w:type="spellStart"/>
      <w:r w:rsidRPr="00742DFD">
        <w:rPr>
          <w:rFonts w:ascii="Times New Roman" w:hAnsi="Times New Roman" w:cs="Times New Roman"/>
          <w:color w:val="222222"/>
          <w:shd w:val="clear" w:color="auto" w:fill="FFFFFF"/>
        </w:rPr>
        <w:t>Programme</w:t>
      </w:r>
      <w:proofErr w:type="spellEnd"/>
      <w:r w:rsidRPr="00742DFD">
        <w:rPr>
          <w:rFonts w:ascii="Times New Roman" w:hAnsi="Times New Roman" w:cs="Times New Roman"/>
          <w:color w:val="222222"/>
          <w:shd w:val="clear" w:color="auto" w:fill="FFFFFF"/>
        </w:rPr>
        <w:t>, World Health Organization, Geneva, Switzerland</w:t>
      </w:r>
    </w:p>
    <w:p w14:paraId="44032CE2" w14:textId="77777777" w:rsidR="002D4F9E" w:rsidRPr="00742DFD" w:rsidRDefault="002D4F9E" w:rsidP="002D4F9E">
      <w:pPr>
        <w:spacing w:after="0" w:line="240" w:lineRule="auto"/>
        <w:rPr>
          <w:rFonts w:ascii="Times New Roman" w:hAnsi="Times New Roman" w:cs="Times New Roman"/>
        </w:rPr>
      </w:pPr>
      <w:r w:rsidRPr="00742DFD">
        <w:rPr>
          <w:rFonts w:ascii="Times New Roman" w:hAnsi="Times New Roman" w:cs="Times New Roman"/>
        </w:rPr>
        <w:t>‖ Department of International Health, Johns Hopkins Bloomberg School of Public Health, Baltimore, Maryland, USA</w:t>
      </w:r>
    </w:p>
    <w:p w14:paraId="0A274832" w14:textId="77777777" w:rsidR="002D4F9E" w:rsidRPr="00DC0769" w:rsidRDefault="002D4F9E" w:rsidP="00DC0769">
      <w:pPr>
        <w:spacing w:after="0" w:line="240" w:lineRule="auto"/>
        <w:rPr>
          <w:rFonts w:ascii="Times New Roman" w:hAnsi="Times New Roman" w:cs="Times New Roman"/>
        </w:rPr>
      </w:pPr>
    </w:p>
    <w:p w14:paraId="35D12651" w14:textId="77777777" w:rsidR="00DC0769" w:rsidRPr="00DC0769" w:rsidRDefault="00DC0769" w:rsidP="00DC0769">
      <w:pPr>
        <w:rPr>
          <w:rFonts w:ascii="Times New Roman" w:hAnsi="Times New Roman" w:cs="Times New Roman"/>
          <w:b/>
        </w:rPr>
      </w:pPr>
    </w:p>
    <w:p w14:paraId="1E4CD96D" w14:textId="77777777" w:rsidR="00DC0769" w:rsidRPr="00DC0769" w:rsidRDefault="00DC0769" w:rsidP="00DC0769">
      <w:pPr>
        <w:jc w:val="center"/>
        <w:rPr>
          <w:rFonts w:ascii="Times New Roman" w:hAnsi="Times New Roman" w:cs="Times New Roman"/>
        </w:rPr>
      </w:pPr>
    </w:p>
    <w:p w14:paraId="1D593209" w14:textId="1DECBE4A" w:rsidR="00DC0769" w:rsidRPr="00DC0769" w:rsidRDefault="00DC0769" w:rsidP="00DC0769">
      <w:pPr>
        <w:jc w:val="center"/>
        <w:rPr>
          <w:rFonts w:ascii="Times New Roman" w:eastAsiaTheme="majorEastAsia" w:hAnsi="Times New Roman" w:cs="Times New Roman"/>
          <w:color w:val="2F5496" w:themeColor="accent1" w:themeShade="BF"/>
          <w:sz w:val="32"/>
          <w:szCs w:val="32"/>
        </w:rPr>
      </w:pPr>
      <w:r w:rsidRPr="00DC0769">
        <w:rPr>
          <w:rFonts w:ascii="Times New Roman" w:hAnsi="Times New Roman" w:cs="Times New Roman"/>
        </w:rPr>
        <w:br w:type="page"/>
      </w:r>
    </w:p>
    <w:p w14:paraId="26DE7395" w14:textId="00CEECA5" w:rsidR="00591B8A" w:rsidRPr="00DC0769" w:rsidRDefault="00591B8A" w:rsidP="00DC0769">
      <w:pPr>
        <w:rPr>
          <w:rFonts w:ascii="Times New Roman" w:hAnsi="Times New Roman" w:cs="Times New Roman"/>
          <w:b/>
          <w:sz w:val="24"/>
        </w:rPr>
      </w:pPr>
      <w:r w:rsidRPr="00DC0769">
        <w:rPr>
          <w:rFonts w:ascii="Times New Roman" w:hAnsi="Times New Roman" w:cs="Times New Roman"/>
          <w:b/>
          <w:sz w:val="24"/>
        </w:rPr>
        <w:lastRenderedPageBreak/>
        <w:t>Supplementary Methods</w:t>
      </w:r>
    </w:p>
    <w:p w14:paraId="181B5BCF" w14:textId="77777777" w:rsidR="004507DB" w:rsidRPr="00DC0769" w:rsidRDefault="004507DB" w:rsidP="00591B8A">
      <w:pPr>
        <w:rPr>
          <w:rFonts w:ascii="Times New Roman" w:hAnsi="Times New Roman" w:cs="Times New Roman"/>
          <w:b/>
        </w:rPr>
      </w:pPr>
    </w:p>
    <w:p w14:paraId="66FFD00C" w14:textId="4EA7D821" w:rsidR="00591B8A" w:rsidRPr="00B1394A" w:rsidRDefault="000307EC" w:rsidP="00591B8A">
      <w:pPr>
        <w:rPr>
          <w:rFonts w:ascii="Times New Roman" w:hAnsi="Times New Roman" w:cs="Times New Roman"/>
          <w:b/>
        </w:rPr>
      </w:pPr>
      <w:r w:rsidRPr="00B1394A">
        <w:rPr>
          <w:rFonts w:ascii="Times New Roman" w:hAnsi="Times New Roman" w:cs="Times New Roman"/>
          <w:b/>
        </w:rPr>
        <w:t>The Probability of an Indeterminate Result</w:t>
      </w:r>
    </w:p>
    <w:p w14:paraId="6170DD69" w14:textId="1541BFD2" w:rsidR="000307EC" w:rsidRPr="00DC0769" w:rsidRDefault="000307EC" w:rsidP="00591B8A">
      <w:pPr>
        <w:rPr>
          <w:rFonts w:ascii="Times New Roman" w:hAnsi="Times New Roman" w:cs="Times New Roman"/>
        </w:rPr>
      </w:pPr>
      <w:r w:rsidRPr="00B1394A">
        <w:rPr>
          <w:rFonts w:ascii="Times New Roman" w:hAnsi="Times New Roman" w:cs="Times New Roman"/>
        </w:rPr>
        <w:tab/>
      </w:r>
      <w:r w:rsidR="00EB0DA7" w:rsidRPr="00B1394A">
        <w:rPr>
          <w:rFonts w:ascii="Times New Roman" w:hAnsi="Times New Roman" w:cs="Times New Roman"/>
        </w:rPr>
        <w:t xml:space="preserve">The model described in this study estimates the number of HIV-infected and HIV-uninfected infants that may be correctly (and incorrectly) identified </w:t>
      </w:r>
      <w:proofErr w:type="gramStart"/>
      <w:r w:rsidR="00EB0DA7" w:rsidRPr="00B1394A">
        <w:rPr>
          <w:rFonts w:ascii="Times New Roman" w:hAnsi="Times New Roman" w:cs="Times New Roman"/>
        </w:rPr>
        <w:t>through the use of</w:t>
      </w:r>
      <w:proofErr w:type="gramEnd"/>
      <w:r w:rsidR="00EB0DA7" w:rsidRPr="00B1394A">
        <w:rPr>
          <w:rFonts w:ascii="Times New Roman" w:hAnsi="Times New Roman" w:cs="Times New Roman"/>
        </w:rPr>
        <w:t xml:space="preserve"> an “indeterminate” classification produced by semi-quantitative HIV PCR testing. This analysis requires estimation of the proportion of infants in each group (infected and uninfected) that receive an indeterminate result from the first NAAT test, among all infants that receive non-negative results. Although the accuracy of NAAT testing is reduced at birth </w:t>
      </w:r>
      <w:r w:rsidR="00A80B58" w:rsidRPr="00B1394A">
        <w:rPr>
          <w:rFonts w:ascii="Times New Roman" w:hAnsi="Times New Roman" w:cs="Times New Roman"/>
        </w:rPr>
        <w:t>(</w:t>
      </w:r>
      <w:proofErr w:type="spellStart"/>
      <w:r w:rsidR="00EB0DA7" w:rsidRPr="00B1394A">
        <w:rPr>
          <w:rFonts w:ascii="Times New Roman" w:hAnsi="Times New Roman" w:cs="Times New Roman"/>
        </w:rPr>
        <w:t>Mallampati</w:t>
      </w:r>
      <w:proofErr w:type="spellEnd"/>
      <w:r w:rsidR="00EB0DA7" w:rsidRPr="00B1394A">
        <w:rPr>
          <w:rFonts w:ascii="Times New Roman" w:hAnsi="Times New Roman" w:cs="Times New Roman"/>
        </w:rPr>
        <w:t xml:space="preserve"> </w:t>
      </w:r>
      <w:r w:rsidR="00EB0DA7" w:rsidRPr="00B1394A">
        <w:rPr>
          <w:rFonts w:ascii="Times New Roman" w:hAnsi="Times New Roman" w:cs="Times New Roman"/>
          <w:i/>
        </w:rPr>
        <w:t>et al.</w:t>
      </w:r>
      <w:r w:rsidR="00EB0DA7" w:rsidRPr="00B1394A">
        <w:rPr>
          <w:rFonts w:ascii="Times New Roman" w:hAnsi="Times New Roman" w:cs="Times New Roman"/>
        </w:rPr>
        <w:t>, JAIDS 2017</w:t>
      </w:r>
      <w:r w:rsidR="00A80B58" w:rsidRPr="00B1394A">
        <w:rPr>
          <w:rFonts w:ascii="Times New Roman" w:hAnsi="Times New Roman" w:cs="Times New Roman"/>
        </w:rPr>
        <w:t>)</w:t>
      </w:r>
      <w:r w:rsidR="00EB0DA7" w:rsidRPr="00B1394A">
        <w:rPr>
          <w:rFonts w:ascii="Times New Roman" w:hAnsi="Times New Roman" w:cs="Times New Roman"/>
        </w:rPr>
        <w:t>, we assume for simplicity that initial HIV testing occurs at 6 weeks of age and parameterize assay characteristics based on the available empirical data</w:t>
      </w:r>
      <w:r w:rsidR="00AA6760" w:rsidRPr="00B1394A">
        <w:rPr>
          <w:rFonts w:ascii="Times New Roman" w:hAnsi="Times New Roman" w:cs="Times New Roman"/>
        </w:rPr>
        <w:t>.</w:t>
      </w:r>
      <w:r w:rsidR="00C22203" w:rsidRPr="00B1394A">
        <w:rPr>
          <w:rFonts w:ascii="Times New Roman" w:hAnsi="Times New Roman" w:cs="Times New Roman"/>
        </w:rPr>
        <w:t xml:space="preserve"> First, the proportion </w:t>
      </w:r>
      <w:r w:rsidR="00C22203" w:rsidRPr="00DC0769">
        <w:rPr>
          <w:rFonts w:ascii="Times New Roman" w:hAnsi="Times New Roman" w:cs="Times New Roman"/>
        </w:rPr>
        <w:t>of infants who receive a non-negative result (above the instrument’s limit-of-detection) is estimate</w:t>
      </w:r>
      <w:r w:rsidR="00ED4F47" w:rsidRPr="00DC0769">
        <w:rPr>
          <w:rFonts w:ascii="Times New Roman" w:hAnsi="Times New Roman" w:cs="Times New Roman"/>
        </w:rPr>
        <w:t>d</w:t>
      </w:r>
      <w:r w:rsidR="00C22203" w:rsidRPr="00DC0769">
        <w:rPr>
          <w:rFonts w:ascii="Times New Roman" w:hAnsi="Times New Roman" w:cs="Times New Roman"/>
        </w:rPr>
        <w:t xml:space="preserve"> </w:t>
      </w:r>
      <w:r w:rsidR="00ED4F47" w:rsidRPr="00DC0769">
        <w:rPr>
          <w:rFonts w:ascii="Times New Roman" w:hAnsi="Times New Roman" w:cs="Times New Roman"/>
        </w:rPr>
        <w:t>based on empiric data on</w:t>
      </w:r>
      <w:r w:rsidR="00C22203" w:rsidRPr="00DC0769">
        <w:rPr>
          <w:rFonts w:ascii="Times New Roman" w:hAnsi="Times New Roman" w:cs="Times New Roman"/>
        </w:rPr>
        <w:t xml:space="preserve"> instrument sensitivity (for HIV-infected infants) and specificity (for HIV-uninfected infants). Then, a conditional probability of th</w:t>
      </w:r>
      <w:r w:rsidR="00CF38CC" w:rsidRPr="00DC0769">
        <w:rPr>
          <w:rFonts w:ascii="Times New Roman" w:hAnsi="Times New Roman" w:cs="Times New Roman"/>
        </w:rPr>
        <w:t>at non-negative</w:t>
      </w:r>
      <w:r w:rsidR="00C22203" w:rsidRPr="00DC0769">
        <w:rPr>
          <w:rFonts w:ascii="Times New Roman" w:hAnsi="Times New Roman" w:cs="Times New Roman"/>
        </w:rPr>
        <w:t xml:space="preserve"> result being indeterminate is used to calculate the proportion of </w:t>
      </w:r>
      <w:r w:rsidR="00371957" w:rsidRPr="00DC0769">
        <w:rPr>
          <w:rFonts w:ascii="Times New Roman" w:hAnsi="Times New Roman" w:cs="Times New Roman"/>
        </w:rPr>
        <w:t xml:space="preserve">infected or non-infected </w:t>
      </w:r>
      <w:r w:rsidR="00C22203" w:rsidRPr="00DC0769">
        <w:rPr>
          <w:rFonts w:ascii="Times New Roman" w:hAnsi="Times New Roman" w:cs="Times New Roman"/>
        </w:rPr>
        <w:t>infants receiving a result in the indeterminate range.</w:t>
      </w:r>
      <w:r w:rsidR="00AA6760" w:rsidRPr="00DC0769">
        <w:rPr>
          <w:rFonts w:ascii="Times New Roman" w:hAnsi="Times New Roman" w:cs="Times New Roman"/>
        </w:rPr>
        <w:t xml:space="preserve"> </w:t>
      </w:r>
      <w:r w:rsidR="00FF4FD1" w:rsidRPr="00DC0769">
        <w:rPr>
          <w:rFonts w:ascii="Times New Roman" w:hAnsi="Times New Roman" w:cs="Times New Roman"/>
        </w:rPr>
        <w:t xml:space="preserve">This proportion </w:t>
      </w:r>
      <w:r w:rsidR="00CF38CC" w:rsidRPr="00DC0769">
        <w:rPr>
          <w:rFonts w:ascii="Times New Roman" w:hAnsi="Times New Roman" w:cs="Times New Roman"/>
        </w:rPr>
        <w:t>varies</w:t>
      </w:r>
      <w:r w:rsidR="00FF4FD1" w:rsidRPr="00DC0769">
        <w:rPr>
          <w:rFonts w:ascii="Times New Roman" w:hAnsi="Times New Roman" w:cs="Times New Roman"/>
        </w:rPr>
        <w:t xml:space="preserve"> with different Ct values used as the cutoff to define the indeterminate range. For example, a higher proportion of HIV-infected infants are likely to fall in an indeterminate range defined by a cutoff of 30 (any result with a Ct greater than 30 and less than the limit of detection) than would fall in an indeterminate range defined by a cutoff of 35.</w:t>
      </w:r>
    </w:p>
    <w:p w14:paraId="7D6C15F8" w14:textId="78C3FCF4" w:rsidR="00FF4FD1" w:rsidRPr="00DC0769" w:rsidRDefault="00FF4FD1" w:rsidP="00591B8A">
      <w:pPr>
        <w:rPr>
          <w:rFonts w:ascii="Times New Roman" w:hAnsi="Times New Roman" w:cs="Times New Roman"/>
        </w:rPr>
      </w:pPr>
      <w:r w:rsidRPr="00DC0769">
        <w:rPr>
          <w:rFonts w:ascii="Times New Roman" w:hAnsi="Times New Roman" w:cs="Times New Roman"/>
        </w:rPr>
        <w:tab/>
        <w:t xml:space="preserve">To generate estimates of these proportions, we </w:t>
      </w:r>
      <w:r w:rsidR="00E825C2" w:rsidRPr="00DC0769">
        <w:rPr>
          <w:rFonts w:ascii="Times New Roman" w:hAnsi="Times New Roman" w:cs="Times New Roman"/>
        </w:rPr>
        <w:t>constructed probability distribution</w:t>
      </w:r>
      <w:r w:rsidR="00ED4F47" w:rsidRPr="00DC0769">
        <w:rPr>
          <w:rFonts w:ascii="Times New Roman" w:hAnsi="Times New Roman" w:cs="Times New Roman"/>
        </w:rPr>
        <w:t>s</w:t>
      </w:r>
      <w:r w:rsidR="00E825C2" w:rsidRPr="00DC0769">
        <w:rPr>
          <w:rFonts w:ascii="Times New Roman" w:hAnsi="Times New Roman" w:cs="Times New Roman"/>
        </w:rPr>
        <w:t xml:space="preserve"> for the Ct value of an initial </w:t>
      </w:r>
      <w:r w:rsidR="004125EC" w:rsidRPr="00DC0769">
        <w:rPr>
          <w:rFonts w:ascii="Times New Roman" w:hAnsi="Times New Roman" w:cs="Times New Roman"/>
        </w:rPr>
        <w:t xml:space="preserve">non-negative </w:t>
      </w:r>
      <w:r w:rsidR="00AE222D" w:rsidRPr="00DC0769">
        <w:rPr>
          <w:rFonts w:ascii="Times New Roman" w:hAnsi="Times New Roman" w:cs="Times New Roman"/>
        </w:rPr>
        <w:t xml:space="preserve">NAAT </w:t>
      </w:r>
      <w:r w:rsidR="00E825C2" w:rsidRPr="00DC0769">
        <w:rPr>
          <w:rFonts w:ascii="Times New Roman" w:hAnsi="Times New Roman" w:cs="Times New Roman"/>
        </w:rPr>
        <w:t>test in each (</w:t>
      </w:r>
      <w:r w:rsidR="00761E1D" w:rsidRPr="00DC0769">
        <w:rPr>
          <w:rFonts w:ascii="Times New Roman" w:hAnsi="Times New Roman" w:cs="Times New Roman"/>
        </w:rPr>
        <w:t>HIV-</w:t>
      </w:r>
      <w:r w:rsidR="00E825C2" w:rsidRPr="00DC0769">
        <w:rPr>
          <w:rFonts w:ascii="Times New Roman" w:hAnsi="Times New Roman" w:cs="Times New Roman"/>
        </w:rPr>
        <w:t xml:space="preserve">infected and </w:t>
      </w:r>
      <w:r w:rsidR="00761E1D" w:rsidRPr="00DC0769">
        <w:rPr>
          <w:rFonts w:ascii="Times New Roman" w:hAnsi="Times New Roman" w:cs="Times New Roman"/>
        </w:rPr>
        <w:t>HIV-</w:t>
      </w:r>
      <w:r w:rsidR="00E825C2" w:rsidRPr="00DC0769">
        <w:rPr>
          <w:rFonts w:ascii="Times New Roman" w:hAnsi="Times New Roman" w:cs="Times New Roman"/>
        </w:rPr>
        <w:t xml:space="preserve">uninfected) population of infants. These distributions were derived from a meta-analysis </w:t>
      </w:r>
      <w:r w:rsidR="00EC5BAF" w:rsidRPr="00DC0769">
        <w:rPr>
          <w:rFonts w:ascii="Times New Roman" w:hAnsi="Times New Roman" w:cs="Times New Roman"/>
        </w:rPr>
        <w:t xml:space="preserve">of confirmatory test results for </w:t>
      </w:r>
      <w:r w:rsidR="008165ED" w:rsidRPr="00DC0769">
        <w:rPr>
          <w:rFonts w:ascii="Times New Roman" w:hAnsi="Times New Roman" w:cs="Times New Roman"/>
        </w:rPr>
        <w:t>14,753</w:t>
      </w:r>
      <w:r w:rsidR="00EC5BAF" w:rsidRPr="00DC0769">
        <w:rPr>
          <w:rFonts w:ascii="Times New Roman" w:hAnsi="Times New Roman" w:cs="Times New Roman"/>
        </w:rPr>
        <w:t xml:space="preserve"> infants with initial non-negative </w:t>
      </w:r>
      <w:r w:rsidR="00AE222D" w:rsidRPr="00DC0769">
        <w:rPr>
          <w:rFonts w:ascii="Times New Roman" w:hAnsi="Times New Roman" w:cs="Times New Roman"/>
        </w:rPr>
        <w:t xml:space="preserve">NAAT </w:t>
      </w:r>
      <w:r w:rsidR="00EC5BAF" w:rsidRPr="00DC0769">
        <w:rPr>
          <w:rFonts w:ascii="Times New Roman" w:hAnsi="Times New Roman" w:cs="Times New Roman"/>
        </w:rPr>
        <w:t>results</w:t>
      </w:r>
      <w:r w:rsidR="008165ED" w:rsidRPr="00DC0769">
        <w:rPr>
          <w:rFonts w:ascii="Times New Roman" w:hAnsi="Times New Roman" w:cs="Times New Roman"/>
        </w:rPr>
        <w:t xml:space="preserve"> (of whom 2,077 had confirmatory results available)</w:t>
      </w:r>
      <w:r w:rsidR="00EC5BAF" w:rsidRPr="00DC0769">
        <w:rPr>
          <w:rFonts w:ascii="Times New Roman" w:hAnsi="Times New Roman" w:cs="Times New Roman"/>
        </w:rPr>
        <w:t>, drawn from published and unpublished data collected across Botswana, Namibia, South Africa, and Uganda</w:t>
      </w:r>
      <w:r w:rsidR="008165ED" w:rsidRPr="00DC0769">
        <w:rPr>
          <w:rFonts w:ascii="Times New Roman" w:hAnsi="Times New Roman" w:cs="Times New Roman"/>
        </w:rPr>
        <w:t xml:space="preserve"> (</w:t>
      </w:r>
      <w:r w:rsidR="00C85DB7">
        <w:rPr>
          <w:rFonts w:ascii="Times New Roman" w:hAnsi="Times New Roman" w:cs="Times New Roman"/>
        </w:rPr>
        <w:t xml:space="preserve">see Luo </w:t>
      </w:r>
      <w:r w:rsidR="00C85DB7">
        <w:rPr>
          <w:rFonts w:ascii="Times New Roman" w:hAnsi="Times New Roman" w:cs="Times New Roman"/>
          <w:i/>
        </w:rPr>
        <w:t>et al</w:t>
      </w:r>
      <w:r w:rsidR="00C85DB7">
        <w:rPr>
          <w:rFonts w:ascii="Times New Roman" w:hAnsi="Times New Roman" w:cs="Times New Roman"/>
        </w:rPr>
        <w:t>., “</w:t>
      </w:r>
      <w:r w:rsidR="00C85DB7" w:rsidRPr="00C85DB7">
        <w:rPr>
          <w:rFonts w:ascii="Times New Roman" w:hAnsi="Times New Roman" w:cs="Times New Roman"/>
        </w:rPr>
        <w:t>Use of an indeterminate range in HIV early infant diagnosis: a systematic review and meta-analysis</w:t>
      </w:r>
      <w:r w:rsidR="00C85DB7">
        <w:rPr>
          <w:rFonts w:ascii="Times New Roman" w:hAnsi="Times New Roman" w:cs="Times New Roman"/>
        </w:rPr>
        <w:t>” submitted with this manuscript</w:t>
      </w:r>
      <w:r w:rsidR="008165ED" w:rsidRPr="00DC0769">
        <w:rPr>
          <w:rFonts w:ascii="Times New Roman" w:hAnsi="Times New Roman" w:cs="Times New Roman"/>
        </w:rPr>
        <w:t>)</w:t>
      </w:r>
      <w:r w:rsidR="00EC5BAF" w:rsidRPr="00DC0769">
        <w:rPr>
          <w:rFonts w:ascii="Times New Roman" w:hAnsi="Times New Roman" w:cs="Times New Roman"/>
        </w:rPr>
        <w:t xml:space="preserve">. Data from across these settings were aggregated using a random effects </w:t>
      </w:r>
      <w:r w:rsidR="00ED4F47" w:rsidRPr="00DC0769">
        <w:rPr>
          <w:rFonts w:ascii="Times New Roman" w:hAnsi="Times New Roman" w:cs="Times New Roman"/>
        </w:rPr>
        <w:t xml:space="preserve">regression </w:t>
      </w:r>
      <w:r w:rsidR="00EC5BAF" w:rsidRPr="00DC0769">
        <w:rPr>
          <w:rFonts w:ascii="Times New Roman" w:hAnsi="Times New Roman" w:cs="Times New Roman"/>
        </w:rPr>
        <w:t>model</w:t>
      </w:r>
      <w:r w:rsidR="008D408F" w:rsidRPr="00DC0769">
        <w:rPr>
          <w:rFonts w:ascii="Times New Roman" w:hAnsi="Times New Roman" w:cs="Times New Roman"/>
        </w:rPr>
        <w:t>,</w:t>
      </w:r>
      <w:r w:rsidR="00EC5BAF" w:rsidRPr="00DC0769">
        <w:rPr>
          <w:rFonts w:ascii="Times New Roman" w:hAnsi="Times New Roman" w:cs="Times New Roman"/>
        </w:rPr>
        <w:t xml:space="preserve"> and the </w:t>
      </w:r>
      <w:r w:rsidR="00C22203" w:rsidRPr="00DC0769">
        <w:rPr>
          <w:rFonts w:ascii="Times New Roman" w:hAnsi="Times New Roman" w:cs="Times New Roman"/>
        </w:rPr>
        <w:t xml:space="preserve">proportion of </w:t>
      </w:r>
      <w:r w:rsidR="00371957" w:rsidRPr="00DC0769">
        <w:rPr>
          <w:rFonts w:ascii="Times New Roman" w:hAnsi="Times New Roman" w:cs="Times New Roman"/>
        </w:rPr>
        <w:t xml:space="preserve">infected or uninfected </w:t>
      </w:r>
      <w:r w:rsidR="00C22203" w:rsidRPr="00DC0769">
        <w:rPr>
          <w:rFonts w:ascii="Times New Roman" w:hAnsi="Times New Roman" w:cs="Times New Roman"/>
        </w:rPr>
        <w:t>infants falling above each reported Ct value (30 through 36) was estimated. These empiric</w:t>
      </w:r>
      <w:r w:rsidR="00ED4F47" w:rsidRPr="00DC0769">
        <w:rPr>
          <w:rFonts w:ascii="Times New Roman" w:hAnsi="Times New Roman" w:cs="Times New Roman"/>
        </w:rPr>
        <w:t>ally based</w:t>
      </w:r>
      <w:r w:rsidR="00C22203" w:rsidRPr="00DC0769">
        <w:rPr>
          <w:rFonts w:ascii="Times New Roman" w:hAnsi="Times New Roman" w:cs="Times New Roman"/>
        </w:rPr>
        <w:t xml:space="preserve"> probability distributions are illustrated in Figure </w:t>
      </w:r>
      <w:r w:rsidR="00AD6A70" w:rsidRPr="00DC0769">
        <w:rPr>
          <w:rFonts w:ascii="Times New Roman" w:hAnsi="Times New Roman" w:cs="Times New Roman"/>
        </w:rPr>
        <w:t>S</w:t>
      </w:r>
      <w:r w:rsidR="00C22203" w:rsidRPr="00DC0769">
        <w:rPr>
          <w:rFonts w:ascii="Times New Roman" w:hAnsi="Times New Roman" w:cs="Times New Roman"/>
        </w:rPr>
        <w:t>1.</w:t>
      </w:r>
      <w:r w:rsidR="00FF0BF6" w:rsidRPr="00DC0769">
        <w:rPr>
          <w:rFonts w:ascii="Times New Roman" w:hAnsi="Times New Roman" w:cs="Times New Roman"/>
        </w:rPr>
        <w:t xml:space="preserve"> The proportion </w:t>
      </w:r>
      <w:r w:rsidR="008D408F" w:rsidRPr="00DC0769">
        <w:rPr>
          <w:rFonts w:ascii="Times New Roman" w:hAnsi="Times New Roman" w:cs="Times New Roman"/>
        </w:rPr>
        <w:t xml:space="preserve">of </w:t>
      </w:r>
      <w:r w:rsidR="00FF0BF6" w:rsidRPr="00DC0769">
        <w:rPr>
          <w:rFonts w:ascii="Times New Roman" w:hAnsi="Times New Roman" w:cs="Times New Roman"/>
        </w:rPr>
        <w:t xml:space="preserve">indeterminate </w:t>
      </w:r>
      <w:r w:rsidR="008D408F" w:rsidRPr="00DC0769">
        <w:rPr>
          <w:rFonts w:ascii="Times New Roman" w:hAnsi="Times New Roman" w:cs="Times New Roman"/>
        </w:rPr>
        <w:t xml:space="preserve">results </w:t>
      </w:r>
      <w:r w:rsidR="00FF0BF6" w:rsidRPr="00DC0769">
        <w:rPr>
          <w:rFonts w:ascii="Times New Roman" w:hAnsi="Times New Roman" w:cs="Times New Roman"/>
        </w:rPr>
        <w:t xml:space="preserve">expected at a given Ct value can be interpreted as the cumulative distribution </w:t>
      </w:r>
      <w:r w:rsidR="008D408F" w:rsidRPr="00DC0769">
        <w:rPr>
          <w:rFonts w:ascii="Times New Roman" w:hAnsi="Times New Roman" w:cs="Times New Roman"/>
        </w:rPr>
        <w:t>of results falling between</w:t>
      </w:r>
      <w:r w:rsidR="00FF0BF6" w:rsidRPr="00DC0769">
        <w:rPr>
          <w:rFonts w:ascii="Times New Roman" w:hAnsi="Times New Roman" w:cs="Times New Roman"/>
        </w:rPr>
        <w:t xml:space="preserve"> the limit of detection</w:t>
      </w:r>
      <w:r w:rsidR="008D408F" w:rsidRPr="00DC0769">
        <w:rPr>
          <w:rFonts w:ascii="Times New Roman" w:hAnsi="Times New Roman" w:cs="Times New Roman"/>
        </w:rPr>
        <w:t xml:space="preserve"> and the selected Ct cutoff value</w:t>
      </w:r>
      <w:r w:rsidR="00FF0BF6" w:rsidRPr="00DC0769">
        <w:rPr>
          <w:rFonts w:ascii="Times New Roman" w:hAnsi="Times New Roman" w:cs="Times New Roman"/>
        </w:rPr>
        <w:t>.</w:t>
      </w:r>
      <w:r w:rsidR="00371957" w:rsidRPr="00DC0769">
        <w:rPr>
          <w:rFonts w:ascii="Times New Roman" w:hAnsi="Times New Roman" w:cs="Times New Roman"/>
        </w:rPr>
        <w:t xml:space="preserve"> For example, at a Ct cutoff value of 33, 93.4% (4.4% + 18.1% + 22.2% + 48.7%) of HIV-uninfected and 8.5% (4.5% + 2.1% + 1.4% + 0.5%) of HIV-infected infants would be classified as indeterminate. </w:t>
      </w:r>
    </w:p>
    <w:p w14:paraId="3FFAFFA4" w14:textId="5C45C042" w:rsidR="004507DB" w:rsidRPr="00DC0769" w:rsidRDefault="004507DB" w:rsidP="004507DB">
      <w:pPr>
        <w:ind w:firstLine="720"/>
        <w:rPr>
          <w:rFonts w:ascii="Times New Roman" w:hAnsi="Times New Roman" w:cs="Times New Roman"/>
        </w:rPr>
      </w:pPr>
      <w:r w:rsidRPr="00DC0769">
        <w:rPr>
          <w:rFonts w:ascii="Times New Roman" w:hAnsi="Times New Roman" w:cs="Times New Roman"/>
        </w:rPr>
        <w:t xml:space="preserve">The </w:t>
      </w:r>
      <w:r w:rsidR="00ED4F47" w:rsidRPr="00DC0769">
        <w:rPr>
          <w:rFonts w:ascii="Times New Roman" w:hAnsi="Times New Roman" w:cs="Times New Roman"/>
        </w:rPr>
        <w:t>probability</w:t>
      </w:r>
      <w:r w:rsidRPr="00DC0769">
        <w:rPr>
          <w:rFonts w:ascii="Times New Roman" w:hAnsi="Times New Roman" w:cs="Times New Roman"/>
        </w:rPr>
        <w:t xml:space="preserve"> distributions constructed through the random effects model were used to calculate conditional probabilities of an indeterminate result at each potential Ct cutoff, using a nested resampling strategy. For example, 24.3% of HIV-infected infants (with non-negative NAAT results) were estimated to have a Ct value ≥30 and 18.5% of HIV-infected infants have a Ct value ≥31. Therefore, the conditional probability of a </w:t>
      </w:r>
      <w:r w:rsidR="00ED4F47" w:rsidRPr="00DC0769">
        <w:rPr>
          <w:rFonts w:ascii="Times New Roman" w:hAnsi="Times New Roman" w:cs="Times New Roman"/>
        </w:rPr>
        <w:t xml:space="preserve">Ct </w:t>
      </w:r>
      <w:r w:rsidRPr="00DC0769">
        <w:rPr>
          <w:rFonts w:ascii="Times New Roman" w:hAnsi="Times New Roman" w:cs="Times New Roman"/>
        </w:rPr>
        <w:t xml:space="preserve">result being </w:t>
      </w:r>
      <w:r w:rsidR="00ED4F47" w:rsidRPr="00DC0769">
        <w:rPr>
          <w:rFonts w:ascii="Times New Roman" w:hAnsi="Times New Roman" w:cs="Times New Roman"/>
        </w:rPr>
        <w:t>≥</w:t>
      </w:r>
      <w:r w:rsidRPr="00DC0769">
        <w:rPr>
          <w:rFonts w:ascii="Times New Roman" w:hAnsi="Times New Roman" w:cs="Times New Roman"/>
        </w:rPr>
        <w:t>31</w:t>
      </w:r>
      <w:r w:rsidR="00ED4F47" w:rsidRPr="00DC0769">
        <w:rPr>
          <w:rFonts w:ascii="Times New Roman" w:hAnsi="Times New Roman" w:cs="Times New Roman"/>
        </w:rPr>
        <w:t>, given that the result is ≥30,</w:t>
      </w:r>
      <w:r w:rsidRPr="00DC0769">
        <w:rPr>
          <w:rFonts w:ascii="Times New Roman" w:hAnsi="Times New Roman" w:cs="Times New Roman"/>
        </w:rPr>
        <w:t xml:space="preserve"> is estimated to be </w:t>
      </w:r>
      <w:r w:rsidR="00ED4F47" w:rsidRPr="00DC0769">
        <w:rPr>
          <w:rFonts w:ascii="Times New Roman" w:hAnsi="Times New Roman" w:cs="Times New Roman"/>
        </w:rPr>
        <w:t xml:space="preserve">18.5/24.3 = </w:t>
      </w:r>
      <w:r w:rsidRPr="00DC0769">
        <w:rPr>
          <w:rFonts w:ascii="Times New Roman" w:hAnsi="Times New Roman" w:cs="Times New Roman"/>
        </w:rPr>
        <w:t xml:space="preserve">76.4%. </w:t>
      </w:r>
    </w:p>
    <w:p w14:paraId="1B2DFF4C" w14:textId="37C7CF22" w:rsidR="004507DB" w:rsidRPr="00DC0769" w:rsidRDefault="004507DB" w:rsidP="004507DB">
      <w:pPr>
        <w:ind w:firstLine="720"/>
        <w:rPr>
          <w:rFonts w:ascii="Times New Roman" w:hAnsi="Times New Roman" w:cs="Times New Roman"/>
        </w:rPr>
      </w:pPr>
      <w:r w:rsidRPr="00DC0769">
        <w:rPr>
          <w:rFonts w:ascii="Times New Roman" w:hAnsi="Times New Roman" w:cs="Times New Roman"/>
        </w:rPr>
        <w:t>For each simulation, the proportion of results in an indeterminate range with a cutoff of 30 was sampled from a uniform distribution (defined by ±10% the value estimated from the</w:t>
      </w:r>
      <w:r w:rsidR="00C444B4" w:rsidRPr="00DC0769">
        <w:rPr>
          <w:rFonts w:ascii="Times New Roman" w:hAnsi="Times New Roman" w:cs="Times New Roman"/>
        </w:rPr>
        <w:t xml:space="preserve"> random</w:t>
      </w:r>
      <w:r w:rsidRPr="00DC0769">
        <w:rPr>
          <w:rFonts w:ascii="Times New Roman" w:hAnsi="Times New Roman" w:cs="Times New Roman"/>
        </w:rPr>
        <w:t xml:space="preserve"> effects model). Then, for each subsequent Ct cutoff (from 31 to 36), a conditional probability value was sampled from a uniform distribution (defined by ±10% the conditional probability estimated in the mixed effects model at the same cutoff). For example, </w:t>
      </w:r>
      <w:r w:rsidR="00A349A6" w:rsidRPr="00DC0769">
        <w:rPr>
          <w:rFonts w:ascii="Times New Roman" w:hAnsi="Times New Roman" w:cs="Times New Roman"/>
        </w:rPr>
        <w:t>among</w:t>
      </w:r>
      <w:r w:rsidRPr="00DC0769">
        <w:rPr>
          <w:rFonts w:ascii="Times New Roman" w:hAnsi="Times New Roman" w:cs="Times New Roman"/>
        </w:rPr>
        <w:t xml:space="preserve"> HIV-infected infants, conditional probability values</w:t>
      </w:r>
      <w:r w:rsidR="00A349A6" w:rsidRPr="00DC0769">
        <w:rPr>
          <w:rFonts w:ascii="Times New Roman" w:hAnsi="Times New Roman" w:cs="Times New Roman"/>
        </w:rPr>
        <w:t xml:space="preserve"> of a Ct value ≥31, given that the result is ≥30,</w:t>
      </w:r>
      <w:r w:rsidRPr="00DC0769">
        <w:rPr>
          <w:rFonts w:ascii="Times New Roman" w:hAnsi="Times New Roman" w:cs="Times New Roman"/>
        </w:rPr>
        <w:t xml:space="preserve"> were sampled uniformly across </w:t>
      </w:r>
      <w:r w:rsidR="00A349A6" w:rsidRPr="00DC0769">
        <w:rPr>
          <w:rFonts w:ascii="Times New Roman" w:hAnsi="Times New Roman" w:cs="Times New Roman"/>
        </w:rPr>
        <w:t xml:space="preserve">the range </w:t>
      </w:r>
      <w:r w:rsidRPr="00DC0769">
        <w:rPr>
          <w:rFonts w:ascii="Times New Roman" w:hAnsi="Times New Roman" w:cs="Times New Roman"/>
        </w:rPr>
        <w:t xml:space="preserve">68.7-84.0% (i.e., </w:t>
      </w:r>
      <w:r w:rsidRPr="00DC0769">
        <w:rPr>
          <w:rFonts w:ascii="Times New Roman" w:hAnsi="Times New Roman" w:cs="Times New Roman"/>
        </w:rPr>
        <w:lastRenderedPageBreak/>
        <w:t xml:space="preserve">76.4% +/- 7.6%). In this way, a distribution of Ct values – based on empiric data – was generated for each population in each simulation, and the proportions of indeterminate </w:t>
      </w:r>
      <w:r w:rsidR="00A349A6" w:rsidRPr="00DC0769">
        <w:rPr>
          <w:rFonts w:ascii="Times New Roman" w:hAnsi="Times New Roman" w:cs="Times New Roman"/>
        </w:rPr>
        <w:t xml:space="preserve">results </w:t>
      </w:r>
      <w:r w:rsidRPr="00DC0769">
        <w:rPr>
          <w:rFonts w:ascii="Times New Roman" w:hAnsi="Times New Roman" w:cs="Times New Roman"/>
        </w:rPr>
        <w:t>are calculated as the cumulative distributions from these simulated distributions.</w:t>
      </w:r>
    </w:p>
    <w:p w14:paraId="336F1F85" w14:textId="79D06A51" w:rsidR="0026797B" w:rsidRPr="00DC0769" w:rsidRDefault="0026797B">
      <w:pPr>
        <w:rPr>
          <w:rFonts w:ascii="Times New Roman" w:hAnsi="Times New Roman" w:cs="Times New Roman"/>
        </w:rPr>
      </w:pPr>
    </w:p>
    <w:p w14:paraId="478BE12A" w14:textId="77777777" w:rsidR="004507DB" w:rsidRPr="00DC0769" w:rsidRDefault="004507DB" w:rsidP="004507DB">
      <w:pPr>
        <w:rPr>
          <w:rFonts w:ascii="Times New Roman" w:hAnsi="Times New Roman" w:cs="Times New Roman"/>
        </w:rPr>
      </w:pPr>
      <w:r w:rsidRPr="00DC0769">
        <w:rPr>
          <w:rFonts w:ascii="Times New Roman" w:hAnsi="Times New Roman" w:cs="Times New Roman"/>
          <w:b/>
        </w:rPr>
        <w:t>Disability-Adjusted Life Years (DALYs)</w:t>
      </w:r>
    </w:p>
    <w:p w14:paraId="5C49F367" w14:textId="07622A70" w:rsidR="004507DB" w:rsidRPr="00B1394A" w:rsidRDefault="004507DB" w:rsidP="004507DB">
      <w:pPr>
        <w:rPr>
          <w:rFonts w:ascii="Times New Roman" w:hAnsi="Times New Roman" w:cs="Times New Roman"/>
        </w:rPr>
      </w:pPr>
      <w:r w:rsidRPr="00DC0769">
        <w:rPr>
          <w:rFonts w:ascii="Times New Roman" w:hAnsi="Times New Roman" w:cs="Times New Roman"/>
        </w:rPr>
        <w:tab/>
        <w:t xml:space="preserve">The total DALYs accumulated in each scenario modeled were calculated as the estimated number of years of life lost (YLL) plus the estimated number of years of life lived with disability (YLD). All YLL and YLD were discounted at 3% per year from the time of birth. Mortality was estimated at 2 years of age according to HIV and treatment status; all HIV-infected children—regardless of initial test result—who survived past 2 years of age were assumed to receive an appropriate HIV diagnosis (and ART indication) at their second birthday and experience mortality in accordance with the general experience of HIV-positive individuals in later years (HIV-infected life expectancy sampling range: 25-31 years). Total YLL due to early mortality were calculated by subtracting the age at death (2 years for those who died before HIV diagnosis, otherwise according to the HIV-positive life expectancy above) from the life expectancy of a </w:t>
      </w:r>
      <w:r w:rsidRPr="00B1394A">
        <w:rPr>
          <w:rFonts w:ascii="Times New Roman" w:hAnsi="Times New Roman" w:cs="Times New Roman"/>
        </w:rPr>
        <w:t>healthy, HIV-uninfected individual (sampling range: 57-69 years) in the population.</w:t>
      </w:r>
    </w:p>
    <w:p w14:paraId="1C0BACE2" w14:textId="26DB3558" w:rsidR="004507DB" w:rsidRPr="00DC0769" w:rsidRDefault="00366A01" w:rsidP="004507DB">
      <w:pPr>
        <w:ind w:firstLine="720"/>
        <w:rPr>
          <w:rFonts w:ascii="Times New Roman" w:hAnsi="Times New Roman" w:cs="Times New Roman"/>
        </w:rPr>
      </w:pPr>
      <w:r w:rsidRPr="00B1394A">
        <w:rPr>
          <w:rFonts w:ascii="Times New Roman" w:hAnsi="Times New Roman" w:cs="Times New Roman"/>
        </w:rPr>
        <w:t>Disability weights were assigned to years of life lived with untreated HIV among HIV-infected infants (sampling range: 0.53-0.64) and treated HIV among HIV-infected infants (sampling range: 0.07-0.09). To estimate the disability weight of unnecessary ART among HIV-uninfected infants,</w:t>
      </w:r>
      <w:r w:rsidRPr="00B1394A">
        <w:t xml:space="preserve"> </w:t>
      </w:r>
      <w:r w:rsidRPr="00B1394A">
        <w:rPr>
          <w:rFonts w:ascii="Times New Roman" w:hAnsi="Times New Roman" w:cs="Times New Roman"/>
        </w:rPr>
        <w:t xml:space="preserve">we searched the Global Burden of Disease Study for health states comparable to common side effects of ART, including: aches, weakness, moderate fatigue, diarrhea, worry associated with a chronic disease but minimal interference with daily activities, daily medication, and some difficulty with daily activities. This description was best matched by “Generic uncomplicated disease: worry and daily medication” (weight=0.049). Given the emotional burden and social stigmatization which accompanies a diagnosis of HIV (compared with a generic uncomplicated disease), we took this to represent a lower bound on the disutility associated with a false-positive HIV diagnosis </w:t>
      </w:r>
      <w:proofErr w:type="gramStart"/>
      <w:r w:rsidRPr="00B1394A">
        <w:rPr>
          <w:rFonts w:ascii="Times New Roman" w:hAnsi="Times New Roman" w:cs="Times New Roman"/>
        </w:rPr>
        <w:t>and  sampled</w:t>
      </w:r>
      <w:proofErr w:type="gramEnd"/>
      <w:r w:rsidRPr="00B1394A">
        <w:rPr>
          <w:rFonts w:ascii="Times New Roman" w:hAnsi="Times New Roman" w:cs="Times New Roman"/>
        </w:rPr>
        <w:t xml:space="preserve"> disability weights in the range 0.05-0.06</w:t>
      </w:r>
      <w:r w:rsidR="004507DB" w:rsidRPr="00B1394A">
        <w:rPr>
          <w:rFonts w:ascii="Times New Roman" w:hAnsi="Times New Roman" w:cs="Times New Roman"/>
        </w:rPr>
        <w:t xml:space="preserve">. In each scenario, misdiagnosed HIV-infected infants (false negatives) were assumed to accumulate </w:t>
      </w:r>
      <w:r w:rsidR="004507DB" w:rsidRPr="00DC0769">
        <w:rPr>
          <w:rFonts w:ascii="Times New Roman" w:hAnsi="Times New Roman" w:cs="Times New Roman"/>
        </w:rPr>
        <w:t xml:space="preserve">six disability-weighted months (if confirmatory testing were performed, </w:t>
      </w:r>
      <w:r w:rsidR="00A349A6" w:rsidRPr="00DC0769">
        <w:rPr>
          <w:rFonts w:ascii="Times New Roman" w:hAnsi="Times New Roman" w:cs="Times New Roman"/>
        </w:rPr>
        <w:t xml:space="preserve">subsequently </w:t>
      </w:r>
      <w:r w:rsidR="004507DB" w:rsidRPr="00DC0769">
        <w:rPr>
          <w:rFonts w:ascii="Times New Roman" w:hAnsi="Times New Roman" w:cs="Times New Roman"/>
        </w:rPr>
        <w:t xml:space="preserve">resulting in a positive result) or two disability-weighted years (if missed in confirmatory testing, or if confirmatory testing were not performed) of life without treatment; those who survive beyond two years of age were assumed to accumulate disability-weighted years of life with treated HIV equal to the HIV-infected life expectancy (25-31 years) minus two. False-positive, HIV-uninfected individuals who survive beyond two years of age were assumed to remain on ART for the duration of their natural lives and accumulate an amount of disability-weighted years of life equal to the life expectancy of a healthy, HIV-uninfected individual. For example, an HIV-infected infant who is missed originally but survives past age two and receives treatment </w:t>
      </w:r>
      <w:r w:rsidR="00A349A6" w:rsidRPr="00DC0769">
        <w:rPr>
          <w:rFonts w:ascii="Times New Roman" w:hAnsi="Times New Roman" w:cs="Times New Roman"/>
        </w:rPr>
        <w:t>might</w:t>
      </w:r>
      <w:r w:rsidR="004507DB" w:rsidRPr="00DC0769">
        <w:rPr>
          <w:rFonts w:ascii="Times New Roman" w:hAnsi="Times New Roman" w:cs="Times New Roman"/>
        </w:rPr>
        <w:t xml:space="preserve"> incur the following amount of DALYs: </w:t>
      </w:r>
    </w:p>
    <w:p w14:paraId="06F41440" w14:textId="77777777" w:rsidR="004507DB" w:rsidRPr="00DC0769" w:rsidRDefault="004507DB" w:rsidP="004507DB">
      <w:pPr>
        <w:ind w:firstLine="720"/>
        <w:rPr>
          <w:rFonts w:ascii="Times New Roman" w:hAnsi="Times New Roman" w:cs="Times New Roman"/>
        </w:rPr>
      </w:pPr>
      <m:oMathPara>
        <m:oMath>
          <m:r>
            <w:rPr>
              <w:rFonts w:ascii="Cambria Math" w:hAnsi="Cambria Math" w:cs="Times New Roman"/>
            </w:rPr>
            <m:t>DALYs=YLL+YLD=</m:t>
          </m:r>
          <m:d>
            <m:dPr>
              <m:ctrlPr>
                <w:rPr>
                  <w:rFonts w:ascii="Cambria Math" w:hAnsi="Cambria Math" w:cs="Times New Roman"/>
                  <w:i/>
                </w:rPr>
              </m:ctrlPr>
            </m:dPr>
            <m:e>
              <m:r>
                <w:rPr>
                  <w:rFonts w:ascii="Cambria Math" w:hAnsi="Cambria Math" w:cs="Times New Roman"/>
                </w:rPr>
                <m:t>57-25</m:t>
              </m:r>
            </m:e>
          </m:d>
          <m:r>
            <w:rPr>
              <w:rFonts w:ascii="Cambria Math" w:hAnsi="Cambria Math" w:cs="Times New Roman"/>
            </w:rPr>
            <m:t>+</m:t>
          </m:r>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0.07</m:t>
                  </m:r>
                </m:e>
              </m:d>
              <m:d>
                <m:dPr>
                  <m:ctrlPr>
                    <w:rPr>
                      <w:rFonts w:ascii="Cambria Math" w:hAnsi="Cambria Math" w:cs="Times New Roman"/>
                      <w:i/>
                    </w:rPr>
                  </m:ctrlPr>
                </m:dPr>
                <m:e>
                  <m:r>
                    <w:rPr>
                      <w:rFonts w:ascii="Cambria Math" w:hAnsi="Cambria Math" w:cs="Times New Roman"/>
                    </w:rPr>
                    <m:t>25-2</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0.53</m:t>
                  </m:r>
                </m:e>
              </m:d>
              <m:d>
                <m:dPr>
                  <m:ctrlPr>
                    <w:rPr>
                      <w:rFonts w:ascii="Cambria Math" w:hAnsi="Cambria Math" w:cs="Times New Roman"/>
                      <w:i/>
                    </w:rPr>
                  </m:ctrlPr>
                </m:dPr>
                <m:e>
                  <m:r>
                    <w:rPr>
                      <w:rFonts w:ascii="Cambria Math" w:hAnsi="Cambria Math" w:cs="Times New Roman"/>
                    </w:rPr>
                    <m:t>2</m:t>
                  </m:r>
                </m:e>
              </m:d>
            </m:e>
          </m:d>
          <m:r>
            <w:rPr>
              <w:rFonts w:ascii="Cambria Math" w:hAnsi="Cambria Math" w:cs="Times New Roman"/>
            </w:rPr>
            <m:t xml:space="preserve">=34.67 </m:t>
          </m:r>
        </m:oMath>
      </m:oMathPara>
    </w:p>
    <w:p w14:paraId="5CB98CED" w14:textId="34480143" w:rsidR="004507DB" w:rsidRPr="00DC0769" w:rsidRDefault="00A349A6" w:rsidP="004507DB">
      <w:pPr>
        <w:rPr>
          <w:rFonts w:ascii="Times New Roman" w:hAnsi="Times New Roman" w:cs="Times New Roman"/>
        </w:rPr>
      </w:pPr>
      <w:r w:rsidRPr="00DC0769">
        <w:rPr>
          <w:rFonts w:ascii="Times New Roman" w:hAnsi="Times New Roman" w:cs="Times New Roman"/>
        </w:rPr>
        <w:t xml:space="preserve">where 57 is the minimum life expectancy of the population, 25 is the minimum life expectancy with HIV, 0.07 is the disability weight for treated HIV, (25 – 2) is the number of years of treated HIV, 0.53 is the disability weight for untreated HIV, and 2 is the number of years spent with untreated HIV. </w:t>
      </w:r>
    </w:p>
    <w:p w14:paraId="55604A58" w14:textId="77777777" w:rsidR="004507DB" w:rsidRPr="00DC0769" w:rsidRDefault="004507DB" w:rsidP="004507DB">
      <w:pPr>
        <w:rPr>
          <w:rFonts w:ascii="Times New Roman" w:hAnsi="Times New Roman" w:cs="Times New Roman"/>
        </w:rPr>
      </w:pPr>
      <w:r w:rsidRPr="00DC0769">
        <w:rPr>
          <w:rFonts w:ascii="Times New Roman" w:hAnsi="Times New Roman" w:cs="Times New Roman"/>
        </w:rPr>
        <w:t xml:space="preserve">Similarly, using the same assumptions, an HIV-uninfected infant who is a false-positive (thus unnecessarily receiving treatment) and survives past age 2 was assumed to receive the following amount of DALYs: </w:t>
      </w:r>
    </w:p>
    <w:p w14:paraId="6A110189" w14:textId="77777777" w:rsidR="004507DB" w:rsidRPr="00DC0769" w:rsidRDefault="004507DB" w:rsidP="004507DB">
      <w:pPr>
        <w:rPr>
          <w:rFonts w:ascii="Times New Roman" w:hAnsi="Times New Roman" w:cs="Times New Roman"/>
        </w:rPr>
      </w:pPr>
      <m:oMathPara>
        <m:oMath>
          <m:r>
            <w:rPr>
              <w:rFonts w:ascii="Cambria Math" w:hAnsi="Cambria Math" w:cs="Times New Roman"/>
            </w:rPr>
            <w:lastRenderedPageBreak/>
            <m:t>DALYs=YLL+YLD=</m:t>
          </m:r>
          <m:d>
            <m:dPr>
              <m:ctrlPr>
                <w:rPr>
                  <w:rFonts w:ascii="Cambria Math" w:hAnsi="Cambria Math" w:cs="Times New Roman"/>
                  <w:i/>
                </w:rPr>
              </m:ctrlPr>
            </m:dPr>
            <m:e>
              <m:r>
                <w:rPr>
                  <w:rFonts w:ascii="Cambria Math" w:hAnsi="Cambria Math" w:cs="Times New Roman"/>
                </w:rPr>
                <m:t>57-57</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0.05</m:t>
              </m:r>
            </m:e>
          </m:d>
          <m:d>
            <m:dPr>
              <m:ctrlPr>
                <w:rPr>
                  <w:rFonts w:ascii="Cambria Math" w:hAnsi="Cambria Math" w:cs="Times New Roman"/>
                  <w:i/>
                </w:rPr>
              </m:ctrlPr>
            </m:dPr>
            <m:e>
              <m:r>
                <w:rPr>
                  <w:rFonts w:ascii="Cambria Math" w:hAnsi="Cambria Math" w:cs="Times New Roman"/>
                </w:rPr>
                <m:t>57-0</m:t>
              </m:r>
            </m:e>
          </m:d>
          <m:r>
            <w:rPr>
              <w:rFonts w:ascii="Cambria Math" w:hAnsi="Cambria Math" w:cs="Times New Roman"/>
            </w:rPr>
            <m:t>=</m:t>
          </m:r>
          <m:r>
            <w:rPr>
              <w:rFonts w:ascii="Cambria Math" w:eastAsiaTheme="minorEastAsia" w:hAnsi="Cambria Math" w:cs="Times New Roman"/>
            </w:rPr>
            <m:t>2.85</m:t>
          </m:r>
        </m:oMath>
      </m:oMathPara>
    </w:p>
    <w:p w14:paraId="452364F8" w14:textId="77777777" w:rsidR="00A349A6" w:rsidRPr="00DC0769" w:rsidRDefault="00A349A6" w:rsidP="004507DB">
      <w:pPr>
        <w:rPr>
          <w:rFonts w:ascii="Times New Roman" w:hAnsi="Times New Roman" w:cs="Times New Roman"/>
          <w:b/>
        </w:rPr>
      </w:pPr>
    </w:p>
    <w:p w14:paraId="016A79B3" w14:textId="3A2B281F" w:rsidR="004507DB" w:rsidRPr="00DC0769" w:rsidRDefault="004507DB" w:rsidP="004507DB">
      <w:pPr>
        <w:rPr>
          <w:rFonts w:ascii="Times New Roman" w:hAnsi="Times New Roman" w:cs="Times New Roman"/>
        </w:rPr>
      </w:pPr>
      <w:r w:rsidRPr="00DC0769">
        <w:rPr>
          <w:rFonts w:ascii="Times New Roman" w:hAnsi="Times New Roman" w:cs="Times New Roman"/>
          <w:b/>
        </w:rPr>
        <w:t>Nonparametric</w:t>
      </w:r>
      <w:r w:rsidR="00A349A6" w:rsidRPr="00DC0769">
        <w:rPr>
          <w:rFonts w:ascii="Times New Roman" w:hAnsi="Times New Roman" w:cs="Times New Roman"/>
          <w:b/>
        </w:rPr>
        <w:t xml:space="preserve"> Multivariate</w:t>
      </w:r>
      <w:r w:rsidRPr="00DC0769">
        <w:rPr>
          <w:rFonts w:ascii="Times New Roman" w:hAnsi="Times New Roman" w:cs="Times New Roman"/>
          <w:b/>
        </w:rPr>
        <w:t xml:space="preserve"> Sensitivity Analysis</w:t>
      </w:r>
    </w:p>
    <w:p w14:paraId="6CCB6971" w14:textId="57C7618D" w:rsidR="004507DB" w:rsidRPr="00B1394A" w:rsidRDefault="004507DB" w:rsidP="004507DB">
      <w:pPr>
        <w:rPr>
          <w:rFonts w:ascii="Times New Roman" w:hAnsi="Times New Roman" w:cs="Times New Roman"/>
        </w:rPr>
      </w:pPr>
      <w:r w:rsidRPr="00DC0769">
        <w:rPr>
          <w:rFonts w:ascii="Times New Roman" w:hAnsi="Times New Roman" w:cs="Times New Roman"/>
        </w:rPr>
        <w:tab/>
        <w:t xml:space="preserve">We evaluated the influence of each input parameter value on the primary outcome. In addition to the 10,000 simulations described in the Methods, 100,000 simulations were performed for the purpose of sensitivity analyses with parameter inputs randomly sampled from a range of possible values. We performed a nonparametric, multivariate </w:t>
      </w:r>
      <w:r w:rsidRPr="00B1394A">
        <w:rPr>
          <w:rFonts w:ascii="Times New Roman" w:hAnsi="Times New Roman" w:cs="Times New Roman"/>
        </w:rPr>
        <w:t xml:space="preserve">sensitivity analysis by calculating partial rank correlation coefficients </w:t>
      </w:r>
      <w:r w:rsidR="00C444B4" w:rsidRPr="00B1394A">
        <w:rPr>
          <w:rFonts w:ascii="Times New Roman" w:hAnsi="Times New Roman" w:cs="Times New Roman"/>
        </w:rPr>
        <w:t xml:space="preserve">(PRCCs) </w:t>
      </w:r>
      <w:r w:rsidRPr="00B1394A">
        <w:rPr>
          <w:rFonts w:ascii="Times New Roman" w:hAnsi="Times New Roman" w:cs="Times New Roman"/>
        </w:rPr>
        <w:t xml:space="preserve">between input parameter values and our primary outcome. </w:t>
      </w:r>
      <w:r w:rsidR="000A6B60" w:rsidRPr="00B1394A">
        <w:rPr>
          <w:rFonts w:ascii="Times New Roman" w:hAnsi="Times New Roman" w:cs="Times New Roman"/>
        </w:rPr>
        <w:t xml:space="preserve">Similarly, we evaluated the nonparametric correlations between input parameter values and the incremental cost-effectiveness ratio of the Indeterminate Range algorithm (relative to SoC). Cost and disability weight sampling ranges were varied across ranges defined in Table 1. </w:t>
      </w:r>
      <w:r w:rsidRPr="00B1394A">
        <w:rPr>
          <w:rFonts w:ascii="Times New Roman" w:hAnsi="Times New Roman" w:cs="Times New Roman"/>
        </w:rPr>
        <w:t>For the purposes of this sensitivity analysis, the proportion of initial positive tests falling in the indeterminate range was sampled uniformly across 0-25% for HIV-infected infants and across 45-100% for HIV-uninfected infants. The independent probability of receiving a confirmatory test was sampled uniformly across 0-100%. The prevalence of HIV among tested infants was sampled uniformly from 0-15%.</w:t>
      </w:r>
    </w:p>
    <w:p w14:paraId="4B8BA6D4" w14:textId="166519BD" w:rsidR="004507DB" w:rsidRPr="00B1394A" w:rsidRDefault="004507DB">
      <w:pPr>
        <w:rPr>
          <w:rFonts w:ascii="Times New Roman" w:hAnsi="Times New Roman" w:cs="Times New Roman"/>
        </w:rPr>
      </w:pPr>
    </w:p>
    <w:p w14:paraId="17C618AC" w14:textId="77777777" w:rsidR="000C1AC9" w:rsidRPr="00B1394A" w:rsidRDefault="000C1AC9" w:rsidP="000C1AC9">
      <w:pPr>
        <w:rPr>
          <w:rFonts w:ascii="Times New Roman" w:hAnsi="Times New Roman" w:cs="Times New Roman"/>
          <w:b/>
        </w:rPr>
      </w:pPr>
      <w:r w:rsidRPr="00B1394A">
        <w:rPr>
          <w:rFonts w:ascii="Times New Roman" w:hAnsi="Times New Roman" w:cs="Times New Roman"/>
          <w:b/>
        </w:rPr>
        <w:t>False-Positive Patients Lost to Care</w:t>
      </w:r>
    </w:p>
    <w:p w14:paraId="3D3B6E82" w14:textId="4E4BD035" w:rsidR="00DE51E9" w:rsidRPr="00B1394A" w:rsidRDefault="00DE51E9" w:rsidP="00DE51E9">
      <w:pPr>
        <w:ind w:firstLine="720"/>
        <w:rPr>
          <w:rFonts w:ascii="Times New Roman" w:hAnsi="Times New Roman" w:cs="Times New Roman"/>
        </w:rPr>
      </w:pPr>
      <w:r w:rsidRPr="00B1394A">
        <w:rPr>
          <w:rFonts w:ascii="Times New Roman" w:hAnsi="Times New Roman" w:cs="Times New Roman"/>
        </w:rPr>
        <w:t xml:space="preserve">We investigated the potential impact of relaxing the assumption that an infant who receives a false-positive diagnosis will receive lifelong ART. In this analysis, we introduce a new parameter p to represent the annual probability of permanently leaving ART among infants diagnosed as false-positive, such that, by age t, only </w:t>
      </w:r>
      <m:oMath>
        <m:sSup>
          <m:sSupPr>
            <m:ctrlPr>
              <w:rPr>
                <w:rFonts w:ascii="Cambria Math" w:hAnsi="Cambria Math" w:cs="Times New Roman"/>
              </w:rPr>
            </m:ctrlPr>
          </m:sSupPr>
          <m:e>
            <m:r>
              <m:rPr>
                <m:sty m:val="p"/>
              </m:rPr>
              <w:rPr>
                <w:rFonts w:ascii="Cambria Math" w:hAnsi="Cambria Math" w:cs="Times New Roman"/>
              </w:rPr>
              <m:t>(1-</m:t>
            </m:r>
            <m:r>
              <w:rPr>
                <w:rFonts w:ascii="Cambria Math" w:hAnsi="Cambria Math" w:cs="Times New Roman"/>
              </w:rPr>
              <m:t>p</m:t>
            </m:r>
            <m:r>
              <m:rPr>
                <m:sty m:val="p"/>
              </m:rPr>
              <w:rPr>
                <w:rFonts w:ascii="Cambria Math" w:hAnsi="Cambria Math" w:cs="Times New Roman"/>
              </w:rPr>
              <m:t>)</m:t>
            </m:r>
          </m:e>
          <m:sup>
            <m:r>
              <w:rPr>
                <w:rFonts w:ascii="Cambria Math" w:hAnsi="Cambria Math" w:cs="Times New Roman"/>
              </w:rPr>
              <m:t>t</m:t>
            </m:r>
          </m:sup>
        </m:sSup>
      </m:oMath>
      <w:r w:rsidRPr="00B1394A">
        <w:rPr>
          <w:rFonts w:ascii="Times New Roman" w:hAnsi="Times New Roman" w:cs="Times New Roman"/>
        </w:rPr>
        <w:t xml:space="preserve"> false-positive patients remain on treatment. For each simulation of this modified model, we calculate the total number of person-years of ART contributed by each false-positive patient as </w:t>
      </w:r>
      <m:oMath>
        <m:r>
          <w:rPr>
            <w:rFonts w:ascii="Cambria Math" w:hAnsi="Cambria Math" w:cs="Times New Roman"/>
          </w:rPr>
          <m:t>Y</m:t>
        </m:r>
        <m:r>
          <m:rPr>
            <m:sty m:val="p"/>
          </m:rPr>
          <w:rPr>
            <w:rFonts w:ascii="Cambria Math" w:hAnsi="Cambria Math" w:cs="Times New Roman"/>
          </w:rPr>
          <m:t>=</m:t>
        </m:r>
        <m:nary>
          <m:naryPr>
            <m:limLoc m:val="subSup"/>
            <m:ctrlPr>
              <w:rPr>
                <w:rFonts w:ascii="Cambria Math" w:hAnsi="Cambria Math" w:cs="Times New Roman"/>
              </w:rPr>
            </m:ctrlPr>
          </m:naryPr>
          <m:sub>
            <m:r>
              <m:rPr>
                <m:sty m:val="p"/>
              </m:rPr>
              <w:rPr>
                <w:rFonts w:ascii="Cambria Math" w:hAnsi="Cambria Math" w:cs="Times New Roman"/>
              </w:rPr>
              <m:t>0</m:t>
            </m:r>
          </m:sub>
          <m:sup>
            <m:r>
              <w:rPr>
                <w:rFonts w:ascii="Cambria Math" w:hAnsi="Cambria Math" w:cs="Times New Roman"/>
              </w:rPr>
              <m:t>LE</m:t>
            </m:r>
          </m:sup>
          <m:e>
            <m:sSup>
              <m:sSupPr>
                <m:ctrlPr>
                  <w:rPr>
                    <w:rFonts w:ascii="Cambria Math" w:hAnsi="Cambria Math" w:cs="Times New Roman"/>
                  </w:rPr>
                </m:ctrlPr>
              </m:sSupPr>
              <m:e>
                <m:r>
                  <m:rPr>
                    <m:sty m:val="p"/>
                  </m:rPr>
                  <w:rPr>
                    <w:rFonts w:ascii="Cambria Math" w:hAnsi="Cambria Math" w:cs="Times New Roman"/>
                  </w:rPr>
                  <m:t>(1-</m:t>
                </m:r>
                <m:r>
                  <w:rPr>
                    <w:rFonts w:ascii="Cambria Math" w:hAnsi="Cambria Math" w:cs="Times New Roman"/>
                  </w:rPr>
                  <m:t>p</m:t>
                </m:r>
                <m:r>
                  <m:rPr>
                    <m:sty m:val="p"/>
                  </m:rPr>
                  <w:rPr>
                    <w:rFonts w:ascii="Cambria Math" w:hAnsi="Cambria Math" w:cs="Times New Roman"/>
                  </w:rPr>
                  <m:t>)</m:t>
                </m:r>
              </m:e>
              <m:sup>
                <m:r>
                  <w:rPr>
                    <w:rFonts w:ascii="Cambria Math" w:hAnsi="Cambria Math" w:cs="Times New Roman"/>
                  </w:rPr>
                  <m:t>x</m:t>
                </m:r>
              </m:sup>
            </m:sSup>
            <m:r>
              <w:rPr>
                <w:rFonts w:ascii="Cambria Math" w:hAnsi="Cambria Math" w:cs="Times New Roman"/>
              </w:rPr>
              <m:t>dx</m:t>
            </m:r>
          </m:e>
        </m:nary>
      </m:oMath>
      <w:r w:rsidRPr="00B1394A">
        <w:rPr>
          <w:rFonts w:ascii="Times New Roman" w:hAnsi="Times New Roman" w:cs="Times New Roman"/>
        </w:rPr>
        <w:t xml:space="preserve"> (where LE is the life expectancy of uninfected infants). Lifetime costs of HIV care for these patients are therefore reduced by a factor of Y/LE, and a false-positive patient contributes only Y years (before discounting) of disutility due to unnecessary treatment. For this analysis, we allow p to range uniformly from 0-3% per year (in this range, half of all false-positive patients are modeled to end ART within 22 years). With this modified model, we evaluate the incremental cost-effectiveness of the Indeterminate Range algorithm (relative to the SoC) at all possible Ct cutoffs at a prevalence of 2.5% and with 15% confirmatory testing.</w:t>
      </w:r>
    </w:p>
    <w:p w14:paraId="109E5C19" w14:textId="77777777" w:rsidR="004507DB" w:rsidRPr="00DC0769" w:rsidRDefault="004507DB" w:rsidP="00591B8A">
      <w:pPr>
        <w:rPr>
          <w:rFonts w:ascii="Times New Roman" w:hAnsi="Times New Roman" w:cs="Times New Roman"/>
          <w:b/>
        </w:rPr>
      </w:pPr>
    </w:p>
    <w:p w14:paraId="46F66304" w14:textId="77777777" w:rsidR="004507DB" w:rsidRPr="00DC0769" w:rsidRDefault="004507DB">
      <w:pPr>
        <w:rPr>
          <w:rFonts w:ascii="Times New Roman" w:hAnsi="Times New Roman" w:cs="Times New Roman"/>
          <w:b/>
        </w:rPr>
      </w:pPr>
      <w:r w:rsidRPr="00DC0769">
        <w:rPr>
          <w:rFonts w:ascii="Times New Roman" w:hAnsi="Times New Roman" w:cs="Times New Roman"/>
          <w:b/>
        </w:rPr>
        <w:br w:type="page"/>
      </w:r>
    </w:p>
    <w:p w14:paraId="40707338" w14:textId="251EC4BE" w:rsidR="00390795" w:rsidRPr="00DC0769" w:rsidRDefault="00390795" w:rsidP="00591B8A">
      <w:pPr>
        <w:rPr>
          <w:rFonts w:ascii="Times New Roman" w:hAnsi="Times New Roman" w:cs="Times New Roman"/>
        </w:rPr>
      </w:pPr>
      <w:r w:rsidRPr="00DC0769">
        <w:rPr>
          <w:rFonts w:ascii="Times New Roman" w:hAnsi="Times New Roman" w:cs="Times New Roman"/>
          <w:b/>
        </w:rPr>
        <w:lastRenderedPageBreak/>
        <w:t xml:space="preserve">Figure S1: Empiric </w:t>
      </w:r>
      <w:r w:rsidR="009103F4" w:rsidRPr="00DC0769">
        <w:rPr>
          <w:rFonts w:ascii="Times New Roman" w:hAnsi="Times New Roman" w:cs="Times New Roman"/>
          <w:b/>
        </w:rPr>
        <w:t>Cycle Threshold</w:t>
      </w:r>
      <w:r w:rsidRPr="00DC0769">
        <w:rPr>
          <w:rFonts w:ascii="Times New Roman" w:hAnsi="Times New Roman" w:cs="Times New Roman"/>
          <w:b/>
        </w:rPr>
        <w:t xml:space="preserve"> Distributions from Random Effects Model</w:t>
      </w:r>
      <w:r w:rsidR="009103F4" w:rsidRPr="00DC0769">
        <w:rPr>
          <w:rFonts w:ascii="Times New Roman" w:hAnsi="Times New Roman" w:cs="Times New Roman"/>
        </w:rPr>
        <w:t xml:space="preserve">. The probability distributions of cycle threshold </w:t>
      </w:r>
      <w:r w:rsidR="00C444B4" w:rsidRPr="00DC0769">
        <w:rPr>
          <w:rFonts w:ascii="Times New Roman" w:hAnsi="Times New Roman" w:cs="Times New Roman"/>
        </w:rPr>
        <w:t xml:space="preserve">(Ct) </w:t>
      </w:r>
      <w:r w:rsidR="009103F4" w:rsidRPr="00DC0769">
        <w:rPr>
          <w:rFonts w:ascii="Times New Roman" w:hAnsi="Times New Roman" w:cs="Times New Roman"/>
        </w:rPr>
        <w:t>values among HIV-infected (left panel) and HIV-uninfected infants (right panel) with initial non-negative test results, based on estimates from a random effects model of 2,077 infants tested twice. For example, 4% (0.5% + 1.4% + 2.1%) of HIV-infected infants with an initial non-negative test result had Ct values of 34 or higher, while 89% (48.7% + 22.2% + 18.1%) of HIV-uninfected infants with an initial non-negative test result had Ct values of 34 or higher.</w:t>
      </w:r>
      <w:r w:rsidR="00F61B35" w:rsidRPr="00DC0769">
        <w:rPr>
          <w:rFonts w:ascii="Times New Roman" w:hAnsi="Times New Roman" w:cs="Times New Roman"/>
        </w:rPr>
        <w:t xml:space="preserve"> These distributions were used to model the probability of an infant receiving an indeterminate result at each possible Ct value cutoff</w:t>
      </w:r>
      <w:r w:rsidR="00C444B4" w:rsidRPr="00DC0769">
        <w:rPr>
          <w:rFonts w:ascii="Times New Roman" w:hAnsi="Times New Roman" w:cs="Times New Roman"/>
        </w:rPr>
        <w:t>, conditional on HIV status</w:t>
      </w:r>
      <w:r w:rsidR="00F61B35" w:rsidRPr="00DC0769">
        <w:rPr>
          <w:rFonts w:ascii="Times New Roman" w:hAnsi="Times New Roman" w:cs="Times New Roman"/>
        </w:rPr>
        <w:t>.</w:t>
      </w:r>
    </w:p>
    <w:p w14:paraId="08D1B937" w14:textId="0A884C28" w:rsidR="00C35EED" w:rsidRPr="00DC0769" w:rsidRDefault="00C35EED" w:rsidP="00591B8A">
      <w:pPr>
        <w:rPr>
          <w:rFonts w:ascii="Times New Roman" w:hAnsi="Times New Roman" w:cs="Times New Roman"/>
        </w:rPr>
      </w:pPr>
    </w:p>
    <w:p w14:paraId="4E9ECE1E" w14:textId="63DA0B22" w:rsidR="00390795" w:rsidRPr="00DC0769" w:rsidRDefault="00C35EED" w:rsidP="00C35EED">
      <w:pPr>
        <w:jc w:val="center"/>
        <w:rPr>
          <w:rFonts w:ascii="Times New Roman" w:hAnsi="Times New Roman" w:cs="Times New Roman"/>
        </w:rPr>
      </w:pPr>
      <w:r w:rsidRPr="00DC0769">
        <w:rPr>
          <w:rFonts w:ascii="Times New Roman" w:hAnsi="Times New Roman" w:cs="Times New Roman"/>
          <w:noProof/>
        </w:rPr>
        <w:drawing>
          <wp:inline distT="0" distB="0" distL="0" distR="0" wp14:anchorId="4F369B21" wp14:editId="522B2E73">
            <wp:extent cx="5924550" cy="2962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8030" cy="2969015"/>
                    </a:xfrm>
                    <a:prstGeom prst="rect">
                      <a:avLst/>
                    </a:prstGeom>
                    <a:noFill/>
                    <a:ln>
                      <a:noFill/>
                    </a:ln>
                  </pic:spPr>
                </pic:pic>
              </a:graphicData>
            </a:graphic>
          </wp:inline>
        </w:drawing>
      </w:r>
    </w:p>
    <w:p w14:paraId="046CDF86" w14:textId="77777777" w:rsidR="00390795" w:rsidRPr="00DC0769" w:rsidRDefault="00390795" w:rsidP="00591B8A">
      <w:pPr>
        <w:rPr>
          <w:rFonts w:ascii="Times New Roman" w:hAnsi="Times New Roman" w:cs="Times New Roman"/>
        </w:rPr>
      </w:pPr>
    </w:p>
    <w:p w14:paraId="12D36FB4" w14:textId="487CA791" w:rsidR="004507DB" w:rsidRPr="00DC0769" w:rsidRDefault="00C22203">
      <w:pPr>
        <w:rPr>
          <w:rFonts w:ascii="Times New Roman" w:hAnsi="Times New Roman" w:cs="Times New Roman"/>
          <w:b/>
        </w:rPr>
      </w:pPr>
      <w:r w:rsidRPr="00DC0769">
        <w:rPr>
          <w:rFonts w:ascii="Times New Roman" w:hAnsi="Times New Roman" w:cs="Times New Roman"/>
        </w:rPr>
        <w:tab/>
      </w:r>
    </w:p>
    <w:p w14:paraId="79A078C2" w14:textId="77777777" w:rsidR="004507DB" w:rsidRPr="00DC0769" w:rsidRDefault="004507DB">
      <w:pPr>
        <w:rPr>
          <w:rFonts w:ascii="Times New Roman" w:hAnsi="Times New Roman" w:cs="Times New Roman"/>
          <w:b/>
          <w:sz w:val="28"/>
          <w:u w:val="single"/>
        </w:rPr>
      </w:pPr>
    </w:p>
    <w:p w14:paraId="2B326F6F" w14:textId="263FD378" w:rsidR="00BB21C2" w:rsidRPr="00DC0769" w:rsidRDefault="00BB21C2">
      <w:pPr>
        <w:rPr>
          <w:rFonts w:ascii="Times New Roman" w:hAnsi="Times New Roman" w:cs="Times New Roman"/>
          <w:b/>
          <w:sz w:val="28"/>
          <w:u w:val="single"/>
        </w:rPr>
      </w:pPr>
      <w:r w:rsidRPr="00DC0769">
        <w:rPr>
          <w:rFonts w:ascii="Times New Roman" w:hAnsi="Times New Roman" w:cs="Times New Roman"/>
          <w:b/>
          <w:sz w:val="28"/>
          <w:u w:val="single"/>
        </w:rPr>
        <w:br w:type="page"/>
      </w:r>
    </w:p>
    <w:p w14:paraId="1ADE6CF1" w14:textId="47FC0AAD" w:rsidR="00591B8A" w:rsidRPr="00DC0769" w:rsidRDefault="00591B8A" w:rsidP="00DC0769">
      <w:pPr>
        <w:rPr>
          <w:rFonts w:ascii="Times New Roman" w:hAnsi="Times New Roman" w:cs="Times New Roman"/>
          <w:b/>
          <w:sz w:val="24"/>
        </w:rPr>
      </w:pPr>
      <w:r w:rsidRPr="00DC0769">
        <w:rPr>
          <w:rFonts w:ascii="Times New Roman" w:hAnsi="Times New Roman" w:cs="Times New Roman"/>
          <w:b/>
          <w:sz w:val="24"/>
        </w:rPr>
        <w:lastRenderedPageBreak/>
        <w:t>Supplementary Results</w:t>
      </w:r>
    </w:p>
    <w:p w14:paraId="43841A7C" w14:textId="77777777" w:rsidR="004C6A3E" w:rsidRPr="00DC0769" w:rsidRDefault="004C6A3E" w:rsidP="004C6A3E">
      <w:pPr>
        <w:rPr>
          <w:rFonts w:ascii="Times New Roman" w:hAnsi="Times New Roman" w:cs="Times New Roman"/>
        </w:rPr>
      </w:pPr>
      <w:r w:rsidRPr="00DC0769">
        <w:rPr>
          <w:rFonts w:ascii="Times New Roman" w:hAnsi="Times New Roman" w:cs="Times New Roman"/>
          <w:b/>
        </w:rPr>
        <w:t>Nonparametric Sensitivity Analysis</w:t>
      </w:r>
    </w:p>
    <w:p w14:paraId="3DF8EBE7" w14:textId="262C7B45" w:rsidR="004C6A3E" w:rsidRPr="00B1394A" w:rsidRDefault="004C6A3E" w:rsidP="004C6A3E">
      <w:pPr>
        <w:rPr>
          <w:rFonts w:ascii="Times New Roman" w:hAnsi="Times New Roman" w:cs="Times New Roman"/>
        </w:rPr>
      </w:pPr>
      <w:r w:rsidRPr="00DC0769">
        <w:rPr>
          <w:rFonts w:ascii="Times New Roman" w:hAnsi="Times New Roman" w:cs="Times New Roman"/>
        </w:rPr>
        <w:t xml:space="preserve">The </w:t>
      </w:r>
      <w:r w:rsidRPr="00B1394A">
        <w:rPr>
          <w:rFonts w:ascii="Times New Roman" w:hAnsi="Times New Roman" w:cs="Times New Roman"/>
        </w:rPr>
        <w:t xml:space="preserve">most significant determinants of the primary outcome were the prevalence of HIV among tested infants, the probabilities of receiving an indeterminate result (related to the Ct cutoff chosen), and the specificity of the assay. The most influential determinants of ICERs were </w:t>
      </w:r>
      <w:proofErr w:type="gramStart"/>
      <w:r w:rsidRPr="00B1394A">
        <w:rPr>
          <w:rFonts w:ascii="Times New Roman" w:hAnsi="Times New Roman" w:cs="Times New Roman"/>
        </w:rPr>
        <w:t>similar to</w:t>
      </w:r>
      <w:proofErr w:type="gramEnd"/>
      <w:r w:rsidRPr="00B1394A">
        <w:rPr>
          <w:rFonts w:ascii="Times New Roman" w:hAnsi="Times New Roman" w:cs="Times New Roman"/>
        </w:rPr>
        <w:t xml:space="preserve"> the determinants of our primary outcome, namely the prevalence of HIV among tested infants and the probability of receiving an indeterminate result. Additionally, ICERs were moderately influenced by the lifetime cost of HIV care and the life expectancy of an HIV-infected infant on treatment (Figure </w:t>
      </w:r>
      <w:r w:rsidR="00D76DE5" w:rsidRPr="00B1394A">
        <w:rPr>
          <w:rFonts w:ascii="Times New Roman" w:hAnsi="Times New Roman" w:cs="Times New Roman"/>
        </w:rPr>
        <w:t>S2</w:t>
      </w:r>
      <w:r w:rsidRPr="00B1394A">
        <w:rPr>
          <w:rFonts w:ascii="Times New Roman" w:hAnsi="Times New Roman" w:cs="Times New Roman"/>
        </w:rPr>
        <w:t>B). These parameters influence calculations of costs and DALYs but not the clinical outcomes of infants in either algorithm, and therefore have no correlation with our primary outcome. PRCC values for all parameters are illustrated in Figure S2.</w:t>
      </w:r>
    </w:p>
    <w:p w14:paraId="416F2BCF" w14:textId="77777777" w:rsidR="00A80B58" w:rsidRDefault="00A80B58">
      <w:pPr>
        <w:rPr>
          <w:rFonts w:ascii="Times New Roman" w:hAnsi="Times New Roman" w:cs="Times New Roman"/>
          <w:b/>
        </w:rPr>
      </w:pPr>
      <w:r>
        <w:rPr>
          <w:rFonts w:ascii="Times New Roman" w:hAnsi="Times New Roman" w:cs="Times New Roman"/>
          <w:b/>
        </w:rPr>
        <w:br w:type="page"/>
      </w:r>
    </w:p>
    <w:p w14:paraId="272FACE6" w14:textId="429A300F" w:rsidR="00A80B58" w:rsidRDefault="00A80B58" w:rsidP="00A80B58">
      <w:pPr>
        <w:rPr>
          <w:rFonts w:ascii="Times New Roman" w:hAnsi="Times New Roman" w:cs="Times New Roman"/>
        </w:rPr>
      </w:pPr>
      <w:r w:rsidRPr="00DC0769">
        <w:rPr>
          <w:rFonts w:ascii="Times New Roman" w:hAnsi="Times New Roman" w:cs="Times New Roman"/>
          <w:b/>
        </w:rPr>
        <w:lastRenderedPageBreak/>
        <w:t>Figure S</w:t>
      </w:r>
      <w:r>
        <w:rPr>
          <w:rFonts w:ascii="Times New Roman" w:hAnsi="Times New Roman" w:cs="Times New Roman"/>
          <w:b/>
        </w:rPr>
        <w:t>2</w:t>
      </w:r>
      <w:r w:rsidRPr="00DC0769">
        <w:rPr>
          <w:rFonts w:ascii="Times New Roman" w:hAnsi="Times New Roman" w:cs="Times New Roman"/>
          <w:b/>
        </w:rPr>
        <w:t xml:space="preserve">: Partial Rank Correlation Coefficients Describing the Correlation between Model </w:t>
      </w:r>
      <w:r w:rsidRPr="00B1394A">
        <w:rPr>
          <w:rFonts w:ascii="Times New Roman" w:hAnsi="Times New Roman" w:cs="Times New Roman"/>
          <w:b/>
        </w:rPr>
        <w:t>Parameters on the Ratio of Unnecessary ART Averted to Excess Deaths</w:t>
      </w:r>
      <w:r w:rsidRPr="00B1394A">
        <w:rPr>
          <w:rFonts w:ascii="Times New Roman" w:hAnsi="Times New Roman" w:cs="Times New Roman"/>
        </w:rPr>
        <w:t>. Coefficients represent the nonparametric correlations between each model parameter and the selected outcome, controlling for all other parameters across 100,000 simulations. Panel A represents the correlation between parameter values and the primary outcome (the ratio of ART regimens averted to additional HIV-related deaths), and Panel B represents the correlation between parameter values and the incremental cost-effectiveness ratio. Parameters which only impact costs and disability have been excluded from Panel A. All parameters are shown in Panel B.</w:t>
      </w:r>
      <w:r w:rsidR="003C7F24" w:rsidRPr="00B1394A">
        <w:rPr>
          <w:rFonts w:ascii="Times New Roman" w:hAnsi="Times New Roman" w:cs="Times New Roman"/>
        </w:rPr>
        <w:t xml:space="preserve"> </w:t>
      </w:r>
      <w:r w:rsidRPr="00B1394A">
        <w:rPr>
          <w:rFonts w:ascii="Times New Roman" w:hAnsi="Times New Roman" w:cs="Times New Roman"/>
        </w:rPr>
        <w:t>Values near -1 indicate a strong correlation between increases in parameter value and decreases in the value of the primary outcome; values near +1 indicate a strong correlation between increases in parameter value and increases in the value of the primary outcome. Bracketed values indicate the minimum/maximum values sampled from each parameter on the uniform distributions or the 2.5</w:t>
      </w:r>
      <w:r w:rsidRPr="00B1394A">
        <w:rPr>
          <w:rFonts w:ascii="Times New Roman" w:hAnsi="Times New Roman" w:cs="Times New Roman"/>
          <w:vertAlign w:val="superscript"/>
        </w:rPr>
        <w:t>th</w:t>
      </w:r>
      <w:r w:rsidRPr="00B1394A">
        <w:rPr>
          <w:rFonts w:ascii="Times New Roman" w:hAnsi="Times New Roman" w:cs="Times New Roman"/>
        </w:rPr>
        <w:t>/97.5</w:t>
      </w:r>
      <w:r w:rsidRPr="00B1394A">
        <w:rPr>
          <w:rFonts w:ascii="Times New Roman" w:hAnsi="Times New Roman" w:cs="Times New Roman"/>
          <w:vertAlign w:val="superscript"/>
        </w:rPr>
        <w:t>th</w:t>
      </w:r>
      <w:r w:rsidRPr="00B1394A">
        <w:rPr>
          <w:rFonts w:ascii="Times New Roman" w:hAnsi="Times New Roman" w:cs="Times New Roman"/>
        </w:rPr>
        <w:t xml:space="preserve"> percentile values from parameters </w:t>
      </w:r>
      <w:r w:rsidRPr="00DC0769">
        <w:rPr>
          <w:rFonts w:ascii="Times New Roman" w:hAnsi="Times New Roman" w:cs="Times New Roman"/>
        </w:rPr>
        <w:t>sampled from continuous distributions. (Parameters related to cost and DALY calculations, which do not influence the primary outcome, are excluded.)</w:t>
      </w:r>
    </w:p>
    <w:p w14:paraId="7D08E670" w14:textId="1A9F5EA3" w:rsidR="006961E1" w:rsidRPr="006961E1" w:rsidRDefault="00894068" w:rsidP="00A80B58">
      <w:pPr>
        <w:rPr>
          <w:rFonts w:ascii="Times New Roman" w:hAnsi="Times New Roman" w:cs="Times New Roman"/>
          <w:b/>
        </w:rPr>
      </w:pPr>
      <w:r>
        <w:rPr>
          <w:rFonts w:ascii="Times New Roman" w:hAnsi="Times New Roman" w:cs="Times New Roman"/>
          <w:b/>
        </w:rPr>
        <w:t xml:space="preserve">Panel </w:t>
      </w:r>
      <w:r w:rsidR="009A2291">
        <w:rPr>
          <w:rFonts w:ascii="Times New Roman" w:hAnsi="Times New Roman" w:cs="Times New Roman"/>
          <w:b/>
        </w:rPr>
        <w:t>S2</w:t>
      </w:r>
      <w:r w:rsidR="006961E1">
        <w:rPr>
          <w:rFonts w:ascii="Times New Roman" w:hAnsi="Times New Roman" w:cs="Times New Roman"/>
          <w:b/>
        </w:rPr>
        <w:t>A</w:t>
      </w:r>
    </w:p>
    <w:p w14:paraId="6B08C90C" w14:textId="18A847CE" w:rsidR="009A2291" w:rsidRDefault="006961E1" w:rsidP="00A80B58">
      <w:pPr>
        <w:rPr>
          <w:rFonts w:ascii="Times New Roman" w:hAnsi="Times New Roman" w:cs="Times New Roman"/>
        </w:rPr>
      </w:pPr>
      <w:r>
        <w:rPr>
          <w:noProof/>
        </w:rPr>
        <w:drawing>
          <wp:inline distT="0" distB="0" distL="0" distR="0" wp14:anchorId="0101606B" wp14:editId="2CB487B5">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AD771D8" w14:textId="77777777" w:rsidR="009A2291" w:rsidRDefault="009A2291">
      <w:pPr>
        <w:rPr>
          <w:rFonts w:ascii="Times New Roman" w:hAnsi="Times New Roman" w:cs="Times New Roman"/>
        </w:rPr>
      </w:pPr>
      <w:r>
        <w:rPr>
          <w:rFonts w:ascii="Times New Roman" w:hAnsi="Times New Roman" w:cs="Times New Roman"/>
        </w:rPr>
        <w:br w:type="page"/>
      </w:r>
    </w:p>
    <w:p w14:paraId="66A30FF6" w14:textId="477AA96F" w:rsidR="00A80B58" w:rsidRDefault="00894068" w:rsidP="00A80B58">
      <w:pPr>
        <w:rPr>
          <w:rFonts w:ascii="Times New Roman" w:hAnsi="Times New Roman" w:cs="Times New Roman"/>
        </w:rPr>
      </w:pPr>
      <w:r>
        <w:rPr>
          <w:rFonts w:ascii="Times New Roman" w:hAnsi="Times New Roman" w:cs="Times New Roman"/>
          <w:b/>
        </w:rPr>
        <w:lastRenderedPageBreak/>
        <w:t>Panel</w:t>
      </w:r>
      <w:r w:rsidR="009A2291">
        <w:rPr>
          <w:rFonts w:ascii="Times New Roman" w:hAnsi="Times New Roman" w:cs="Times New Roman"/>
          <w:b/>
        </w:rPr>
        <w:t xml:space="preserve"> S2B</w:t>
      </w:r>
    </w:p>
    <w:p w14:paraId="2D74AF40" w14:textId="676A0DA7" w:rsidR="009A2291" w:rsidRPr="009A2291" w:rsidRDefault="009A2291" w:rsidP="00A80B58">
      <w:pPr>
        <w:rPr>
          <w:rFonts w:ascii="Times New Roman" w:hAnsi="Times New Roman" w:cs="Times New Roman"/>
        </w:rPr>
      </w:pPr>
      <w:r>
        <w:rPr>
          <w:noProof/>
        </w:rPr>
        <w:drawing>
          <wp:inline distT="0" distB="0" distL="0" distR="0" wp14:anchorId="116CC6FC" wp14:editId="39C40B58">
            <wp:extent cx="5943600" cy="495554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955540"/>
                    </a:xfrm>
                    <a:prstGeom prst="rect">
                      <a:avLst/>
                    </a:prstGeom>
                    <a:noFill/>
                    <a:ln>
                      <a:noFill/>
                    </a:ln>
                  </pic:spPr>
                </pic:pic>
              </a:graphicData>
            </a:graphic>
          </wp:inline>
        </w:drawing>
      </w:r>
    </w:p>
    <w:p w14:paraId="4B15B4DD" w14:textId="77777777" w:rsidR="00A80B58" w:rsidRPr="00DC0769" w:rsidRDefault="00A80B58" w:rsidP="00A80B58">
      <w:pPr>
        <w:rPr>
          <w:rFonts w:ascii="Times New Roman" w:hAnsi="Times New Roman" w:cs="Times New Roman"/>
          <w:b/>
        </w:rPr>
      </w:pPr>
    </w:p>
    <w:p w14:paraId="1AC86485" w14:textId="77777777" w:rsidR="00A80B58" w:rsidRPr="00DC0769" w:rsidRDefault="00A80B58" w:rsidP="00A80B58">
      <w:pPr>
        <w:rPr>
          <w:rFonts w:ascii="Times New Roman" w:hAnsi="Times New Roman" w:cs="Times New Roman"/>
          <w:i/>
        </w:rPr>
      </w:pPr>
    </w:p>
    <w:p w14:paraId="1DEC44A3" w14:textId="77777777" w:rsidR="00A80B58" w:rsidRDefault="00A80B58">
      <w:pPr>
        <w:rPr>
          <w:rFonts w:ascii="Times New Roman" w:hAnsi="Times New Roman" w:cs="Times New Roman"/>
          <w:b/>
        </w:rPr>
      </w:pPr>
      <w:r>
        <w:rPr>
          <w:rFonts w:ascii="Times New Roman" w:hAnsi="Times New Roman" w:cs="Times New Roman"/>
          <w:b/>
        </w:rPr>
        <w:br w:type="page"/>
      </w:r>
    </w:p>
    <w:p w14:paraId="2343D899" w14:textId="7675BD4E" w:rsidR="004C6A3E" w:rsidRPr="00DC0769" w:rsidRDefault="004C6A3E" w:rsidP="004C6A3E">
      <w:pPr>
        <w:rPr>
          <w:rFonts w:ascii="Times New Roman" w:hAnsi="Times New Roman" w:cs="Times New Roman"/>
        </w:rPr>
      </w:pPr>
      <w:r w:rsidRPr="00DC0769">
        <w:rPr>
          <w:rFonts w:ascii="Times New Roman" w:hAnsi="Times New Roman" w:cs="Times New Roman"/>
          <w:b/>
        </w:rPr>
        <w:lastRenderedPageBreak/>
        <w:t>HIV Prevalence</w:t>
      </w:r>
    </w:p>
    <w:p w14:paraId="7CD9195B" w14:textId="2AD2D5DC" w:rsidR="004C6A3E" w:rsidRPr="00DC0769" w:rsidRDefault="004C6A3E" w:rsidP="004C6A3E">
      <w:pPr>
        <w:rPr>
          <w:rFonts w:ascii="Times New Roman" w:hAnsi="Times New Roman" w:cs="Times New Roman"/>
        </w:rPr>
      </w:pPr>
      <w:r w:rsidRPr="00DC0769">
        <w:rPr>
          <w:rFonts w:ascii="Times New Roman" w:hAnsi="Times New Roman" w:cs="Times New Roman"/>
        </w:rPr>
        <w:tab/>
      </w:r>
      <w:bookmarkStart w:id="1" w:name="_Hlk6050020"/>
      <w:r w:rsidR="00304E29">
        <w:rPr>
          <w:rFonts w:ascii="Times New Roman" w:hAnsi="Times New Roman" w:cs="Times New Roman"/>
        </w:rPr>
        <w:t xml:space="preserve">In our model, we defined prevalence as the number of HIV-infected infants among all </w:t>
      </w:r>
      <w:proofErr w:type="gramStart"/>
      <w:r w:rsidR="00304E29">
        <w:rPr>
          <w:rFonts w:ascii="Times New Roman" w:hAnsi="Times New Roman" w:cs="Times New Roman"/>
        </w:rPr>
        <w:t>infants</w:t>
      </w:r>
      <w:proofErr w:type="gramEnd"/>
      <w:r w:rsidR="00304E29">
        <w:rPr>
          <w:rFonts w:ascii="Times New Roman" w:hAnsi="Times New Roman" w:cs="Times New Roman"/>
        </w:rPr>
        <w:t xml:space="preserve"> test by 6 weeks of age. This is dependent upon the transmission risks of HIV in utero, during labor and delivery, and in the first weeks of life, but it is also conditional among those seeking care. (For example, infants of mothers receiving PMTCT, and therefore at lower risk of transmission, are more likely to be tested than </w:t>
      </w:r>
      <w:r w:rsidR="00304E29" w:rsidRPr="00B1394A">
        <w:rPr>
          <w:rFonts w:ascii="Times New Roman" w:hAnsi="Times New Roman" w:cs="Times New Roman"/>
        </w:rPr>
        <w:t xml:space="preserve">infants of mothers who do not receive PMTCT. Among </w:t>
      </w:r>
      <w:proofErr w:type="gramStart"/>
      <w:r w:rsidR="00304E29" w:rsidRPr="00B1394A">
        <w:rPr>
          <w:rFonts w:ascii="Times New Roman" w:hAnsi="Times New Roman" w:cs="Times New Roman"/>
        </w:rPr>
        <w:t>a number of</w:t>
      </w:r>
      <w:proofErr w:type="gramEnd"/>
      <w:r w:rsidR="00304E29" w:rsidRPr="00B1394A">
        <w:rPr>
          <w:rFonts w:ascii="Times New Roman" w:hAnsi="Times New Roman" w:cs="Times New Roman"/>
        </w:rPr>
        <w:t xml:space="preserve"> sub-Saharan African settings, the average prevalence by 6 weeks of age is estimated at 4%, but this ranges from 1% to more than 10%</w:t>
      </w:r>
      <w:r w:rsidR="004967C8" w:rsidRPr="00B1394A">
        <w:rPr>
          <w:rFonts w:ascii="Times New Roman" w:hAnsi="Times New Roman" w:cs="Times New Roman"/>
        </w:rPr>
        <w:t xml:space="preserve"> (UNAIDS, “Start Free Stay Free AIDS Free”, 2017)</w:t>
      </w:r>
      <w:r w:rsidR="00304E29" w:rsidRPr="00B1394A">
        <w:rPr>
          <w:rFonts w:ascii="Times New Roman" w:hAnsi="Times New Roman" w:cs="Times New Roman"/>
        </w:rPr>
        <w:t>.</w:t>
      </w:r>
      <w:bookmarkEnd w:id="1"/>
      <w:r w:rsidR="00304E29" w:rsidRPr="00B1394A">
        <w:rPr>
          <w:rFonts w:ascii="Times New Roman" w:hAnsi="Times New Roman" w:cs="Times New Roman"/>
        </w:rPr>
        <w:t xml:space="preserve"> </w:t>
      </w:r>
      <w:r w:rsidRPr="00B1394A">
        <w:rPr>
          <w:rFonts w:ascii="Times New Roman" w:hAnsi="Times New Roman" w:cs="Times New Roman"/>
        </w:rPr>
        <w:t xml:space="preserve">As the prevalence of HIV was determined to be the most significant determinant of the primary outcome, we further investigated the possible range of outcomes at several discrete HIV prevalence values (specifically, 10%, 7.5%, 5%, 2.5%, and 1%), presented in Figure S3. In simulations with a high HIV prevalence, a policy switch to an indeterminate range is least favorable: at a prevalence of 10%, 0.11 unnecessary ART regimens were averted for each additional HIV-related death (95% UR: 0.09-0.15) at a Ct cutoff </w:t>
      </w:r>
      <w:r w:rsidRPr="00DC0769">
        <w:rPr>
          <w:rFonts w:ascii="Times New Roman" w:hAnsi="Times New Roman" w:cs="Times New Roman"/>
        </w:rPr>
        <w:t xml:space="preserve">≥30, increasing to a ratio of 2.15 (95% UR: 1.4-3.3) at a Ct cutoff ≥36. This tradeoff becomes more favorable for the Indeterminate Range algorithm as the prevalence of HIV declines; for example, a Ct cutoff ≥36 scenario would be expected to avert 23.7 (95% UR: 15.5-36.8) unnecessary ART indications for each additional death incurred at 1% prevalence. These data illustrate that maintaining the SoC (presumptively treating all infants with a positive NAAT result, even in the absence of confirmatory testing) becomes increasingly inefficient as the prevalence of HIV declines. This illustrates that switching to an Intermediate Range policy becomes increasingly favorable with the continued global success of programs to prevent mother-to-child transmission of HIV (PMTCT). </w:t>
      </w:r>
    </w:p>
    <w:p w14:paraId="0D8EE69F" w14:textId="77777777" w:rsidR="00A80B58" w:rsidRDefault="00A80B58" w:rsidP="004C6A3E">
      <w:pPr>
        <w:rPr>
          <w:rFonts w:ascii="Times New Roman" w:hAnsi="Times New Roman" w:cs="Times New Roman"/>
          <w:b/>
        </w:rPr>
      </w:pPr>
    </w:p>
    <w:p w14:paraId="26B41783" w14:textId="77777777" w:rsidR="00A80B58" w:rsidRDefault="00A80B58">
      <w:pPr>
        <w:rPr>
          <w:rFonts w:ascii="Times New Roman" w:hAnsi="Times New Roman" w:cs="Times New Roman"/>
        </w:rPr>
      </w:pPr>
      <w:r>
        <w:rPr>
          <w:rFonts w:ascii="Times New Roman" w:hAnsi="Times New Roman" w:cs="Times New Roman"/>
        </w:rPr>
        <w:br w:type="page"/>
      </w:r>
    </w:p>
    <w:p w14:paraId="1DC5985F" w14:textId="77777777" w:rsidR="00A80B58" w:rsidRPr="00DC0769" w:rsidRDefault="00A80B58" w:rsidP="00A80B58">
      <w:pPr>
        <w:rPr>
          <w:rFonts w:ascii="Times New Roman" w:hAnsi="Times New Roman" w:cs="Times New Roman"/>
        </w:rPr>
      </w:pPr>
      <w:r w:rsidRPr="00DC0769">
        <w:rPr>
          <w:rFonts w:ascii="Times New Roman" w:hAnsi="Times New Roman" w:cs="Times New Roman"/>
          <w:b/>
        </w:rPr>
        <w:lastRenderedPageBreak/>
        <w:t>Figure S</w:t>
      </w:r>
      <w:r>
        <w:rPr>
          <w:rFonts w:ascii="Times New Roman" w:hAnsi="Times New Roman" w:cs="Times New Roman"/>
          <w:b/>
        </w:rPr>
        <w:t>3</w:t>
      </w:r>
      <w:r w:rsidRPr="00DC0769">
        <w:rPr>
          <w:rFonts w:ascii="Times New Roman" w:hAnsi="Times New Roman" w:cs="Times New Roman"/>
          <w:b/>
        </w:rPr>
        <w:t>: Effectiveness of an Indeterminate Range, by HIV Prevalence</w:t>
      </w:r>
      <w:r w:rsidRPr="00DC0769">
        <w:rPr>
          <w:rFonts w:ascii="Times New Roman" w:hAnsi="Times New Roman" w:cs="Times New Roman"/>
        </w:rPr>
        <w:t>.</w:t>
      </w:r>
      <w:r w:rsidRPr="00DC0769">
        <w:rPr>
          <w:rFonts w:ascii="Times New Roman" w:hAnsi="Times New Roman" w:cs="Times New Roman"/>
          <w:b/>
        </w:rPr>
        <w:t xml:space="preserve"> </w:t>
      </w:r>
      <w:r w:rsidRPr="00DC0769">
        <w:rPr>
          <w:rFonts w:ascii="Times New Roman" w:hAnsi="Times New Roman" w:cs="Times New Roman"/>
        </w:rPr>
        <w:t xml:space="preserve">Bars represent the median primary outcome (and 95% uncertainty ranges) for simulations at each level of HIV prevalence among tested infants (holding other parameter distributions constant across prevalence levels). Switching from the SoC to an Indeterminate Range policy becomes increasingly favorable as the Ct cutoff increases at each level of prevalence, and as prevalence decreases overall. </w:t>
      </w:r>
    </w:p>
    <w:p w14:paraId="40732417" w14:textId="10D36851" w:rsidR="00A80B58" w:rsidRPr="00DC0769" w:rsidRDefault="009A2291" w:rsidP="00A80B58">
      <w:pPr>
        <w:rPr>
          <w:rFonts w:ascii="Times New Roman" w:hAnsi="Times New Roman" w:cs="Times New Roman"/>
        </w:rPr>
      </w:pPr>
      <w:r>
        <w:rPr>
          <w:noProof/>
        </w:rPr>
        <w:drawing>
          <wp:inline distT="0" distB="0" distL="0" distR="0" wp14:anchorId="5BFC09C4" wp14:editId="7187D1E0">
            <wp:extent cx="5943600" cy="396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61665060" w14:textId="77777777" w:rsidR="00A80B58" w:rsidRDefault="00A80B58">
      <w:pPr>
        <w:rPr>
          <w:rFonts w:ascii="Times New Roman" w:hAnsi="Times New Roman" w:cs="Times New Roman"/>
          <w:b/>
        </w:rPr>
      </w:pPr>
      <w:r>
        <w:rPr>
          <w:rFonts w:ascii="Times New Roman" w:hAnsi="Times New Roman" w:cs="Times New Roman"/>
          <w:b/>
        </w:rPr>
        <w:br w:type="page"/>
      </w:r>
    </w:p>
    <w:p w14:paraId="2D26666A" w14:textId="77777777" w:rsidR="00A80B58" w:rsidRPr="00DC0769" w:rsidRDefault="00A80B58" w:rsidP="00A80B58">
      <w:pPr>
        <w:rPr>
          <w:rFonts w:ascii="Times New Roman" w:hAnsi="Times New Roman" w:cs="Times New Roman"/>
        </w:rPr>
      </w:pPr>
      <w:r w:rsidRPr="00DC0769">
        <w:rPr>
          <w:rFonts w:ascii="Times New Roman" w:hAnsi="Times New Roman" w:cs="Times New Roman"/>
          <w:b/>
        </w:rPr>
        <w:lastRenderedPageBreak/>
        <w:t>The Probability of Confirmatory Testing</w:t>
      </w:r>
    </w:p>
    <w:p w14:paraId="3533CDCB" w14:textId="2C865463" w:rsidR="00A80B58" w:rsidRPr="00DC0769" w:rsidRDefault="00A80B58" w:rsidP="00A80B58">
      <w:pPr>
        <w:rPr>
          <w:rFonts w:ascii="Times New Roman" w:hAnsi="Times New Roman" w:cs="Times New Roman"/>
        </w:rPr>
      </w:pPr>
      <w:r w:rsidRPr="00DC0769">
        <w:rPr>
          <w:rFonts w:ascii="Times New Roman" w:hAnsi="Times New Roman" w:cs="Times New Roman"/>
        </w:rPr>
        <w:tab/>
        <w:t>As determined in our sensitivity analysis, the probability of confirmatory testing was weakly associated with the primary outcome (|PRCC|&lt;0.01). While the primary outcome (the ratio of unnecessary ART averted to excess deaths) was not dependent on this probability, absolute clinical outcomes under all algorithms were substantially influenced by this probability. Figure S</w:t>
      </w:r>
      <w:r>
        <w:rPr>
          <w:rFonts w:ascii="Times New Roman" w:hAnsi="Times New Roman" w:cs="Times New Roman"/>
        </w:rPr>
        <w:t>4</w:t>
      </w:r>
      <w:r w:rsidRPr="00DC0769">
        <w:rPr>
          <w:rFonts w:ascii="Times New Roman" w:hAnsi="Times New Roman" w:cs="Times New Roman"/>
        </w:rPr>
        <w:t xml:space="preserve"> illustrates at a that, as the probability of confirmatory testing increases, the SoC results in fewer infants with unnecessary indications for ART. When the probability of confirmatory testing reaches 90%, fewer than </w:t>
      </w:r>
      <w:r w:rsidR="006475C5">
        <w:rPr>
          <w:rFonts w:ascii="Times New Roman" w:hAnsi="Times New Roman" w:cs="Times New Roman"/>
        </w:rPr>
        <w:t>0.5</w:t>
      </w:r>
      <w:r w:rsidRPr="00DC0769">
        <w:rPr>
          <w:rFonts w:ascii="Times New Roman" w:hAnsi="Times New Roman" w:cs="Times New Roman"/>
        </w:rPr>
        <w:t xml:space="preserve">1 (95% UR: </w:t>
      </w:r>
      <w:r w:rsidR="006475C5">
        <w:rPr>
          <w:rFonts w:ascii="Times New Roman" w:hAnsi="Times New Roman" w:cs="Times New Roman"/>
        </w:rPr>
        <w:t>0.39</w:t>
      </w:r>
      <w:r w:rsidRPr="00DC0769">
        <w:rPr>
          <w:rFonts w:ascii="Times New Roman" w:hAnsi="Times New Roman" w:cs="Times New Roman"/>
        </w:rPr>
        <w:t>-</w:t>
      </w:r>
      <w:r w:rsidR="006475C5">
        <w:rPr>
          <w:rFonts w:ascii="Times New Roman" w:hAnsi="Times New Roman" w:cs="Times New Roman"/>
        </w:rPr>
        <w:t>0.6</w:t>
      </w:r>
      <w:r w:rsidRPr="00DC0769">
        <w:rPr>
          <w:rFonts w:ascii="Times New Roman" w:hAnsi="Times New Roman" w:cs="Times New Roman"/>
        </w:rPr>
        <w:t xml:space="preserve">9) additional infants are expected to receive ART unnecessarily under the SoC than with a Ct cutoff ≥36. </w:t>
      </w:r>
    </w:p>
    <w:p w14:paraId="1F6AC40F" w14:textId="638F5D28" w:rsidR="00A80B58" w:rsidRPr="00DC0769" w:rsidRDefault="00A80B58" w:rsidP="00A80B58">
      <w:pPr>
        <w:ind w:firstLine="720"/>
        <w:rPr>
          <w:rFonts w:ascii="Times New Roman" w:hAnsi="Times New Roman" w:cs="Times New Roman"/>
        </w:rPr>
      </w:pPr>
      <w:r w:rsidRPr="00DC0769">
        <w:rPr>
          <w:rFonts w:ascii="Times New Roman" w:hAnsi="Times New Roman" w:cs="Times New Roman"/>
        </w:rPr>
        <w:t>Figure S</w:t>
      </w:r>
      <w:r>
        <w:rPr>
          <w:rFonts w:ascii="Times New Roman" w:hAnsi="Times New Roman" w:cs="Times New Roman"/>
        </w:rPr>
        <w:t>5</w:t>
      </w:r>
      <w:r w:rsidRPr="00DC0769">
        <w:rPr>
          <w:rFonts w:ascii="Times New Roman" w:hAnsi="Times New Roman" w:cs="Times New Roman"/>
        </w:rPr>
        <w:t xml:space="preserve"> similarly illustrates that, as the probability of confirmatory testing increases, the number of excess deaths that would result from a switch to any Indeterminate Range policy also decreases. When the probability of confirmatory testing reaches 90%, fewer than 0.</w:t>
      </w:r>
      <w:r w:rsidR="006475C5">
        <w:rPr>
          <w:rFonts w:ascii="Times New Roman" w:hAnsi="Times New Roman" w:cs="Times New Roman"/>
        </w:rPr>
        <w:t>05</w:t>
      </w:r>
      <w:r w:rsidRPr="00DC0769">
        <w:rPr>
          <w:rFonts w:ascii="Times New Roman" w:hAnsi="Times New Roman" w:cs="Times New Roman"/>
        </w:rPr>
        <w:t xml:space="preserve"> (95% UR: 0.</w:t>
      </w:r>
      <w:r w:rsidR="006475C5">
        <w:rPr>
          <w:rFonts w:ascii="Times New Roman" w:hAnsi="Times New Roman" w:cs="Times New Roman"/>
        </w:rPr>
        <w:t>0</w:t>
      </w:r>
      <w:r w:rsidRPr="00DC0769">
        <w:rPr>
          <w:rFonts w:ascii="Times New Roman" w:hAnsi="Times New Roman" w:cs="Times New Roman"/>
        </w:rPr>
        <w:t>3-0.</w:t>
      </w:r>
      <w:r w:rsidR="006475C5">
        <w:rPr>
          <w:rFonts w:ascii="Times New Roman" w:hAnsi="Times New Roman" w:cs="Times New Roman"/>
        </w:rPr>
        <w:t>0</w:t>
      </w:r>
      <w:r w:rsidRPr="00DC0769">
        <w:rPr>
          <w:rFonts w:ascii="Times New Roman" w:hAnsi="Times New Roman" w:cs="Times New Roman"/>
        </w:rPr>
        <w:t xml:space="preserve">7) excess HIV-related deaths are expected to occur following adoption of an Indeterminate Range policy defined by a Ct cutoff ≥36. This occurs because the classification of “Indeterminate” is modeled to only be used for making clinical decisions in the absence of a confirmatory result. Therefore, as confirmatory testing increases, SoC and Indeterminate Range algorithms converge to the same result (with optimal clinical outcomes). </w:t>
      </w:r>
    </w:p>
    <w:p w14:paraId="5DF028B9" w14:textId="329CDAB8" w:rsidR="00A80B58" w:rsidRDefault="00A80B58" w:rsidP="00A80B58">
      <w:pPr>
        <w:rPr>
          <w:rFonts w:ascii="Times New Roman" w:hAnsi="Times New Roman" w:cs="Times New Roman"/>
        </w:rPr>
      </w:pPr>
      <w:r w:rsidRPr="00DC0769">
        <w:rPr>
          <w:rFonts w:ascii="Times New Roman" w:hAnsi="Times New Roman" w:cs="Times New Roman"/>
        </w:rPr>
        <w:tab/>
        <w:t>Our primary outcome of interest represents a ratio of these incremental clinical outcomes. Both the SoC and Indeterminate Range algorithms perform better in absolute numbers as the probability of confirmatory testing increases: as this probability increases from 10% to 90%, the SoC scenario experiences a</w:t>
      </w:r>
      <w:r w:rsidR="006475C5">
        <w:rPr>
          <w:rFonts w:ascii="Times New Roman" w:hAnsi="Times New Roman" w:cs="Times New Roman"/>
        </w:rPr>
        <w:t xml:space="preserve"> 95</w:t>
      </w:r>
      <w:r w:rsidRPr="00DC0769">
        <w:rPr>
          <w:rFonts w:ascii="Times New Roman" w:hAnsi="Times New Roman" w:cs="Times New Roman"/>
        </w:rPr>
        <w:t>% reduction in excess unnecessary ART (relative to an Indeterminate Range Ct cutoff ≥36), and the Indeterminate Range scenario (with a Ct cutoff ≥36) experiences a 75% reduction in excess HIV-related deaths (relative to SoC). However, the ratio of these values remains relatively stable. Figure S</w:t>
      </w:r>
      <w:r>
        <w:rPr>
          <w:rFonts w:ascii="Times New Roman" w:hAnsi="Times New Roman" w:cs="Times New Roman"/>
        </w:rPr>
        <w:t>6</w:t>
      </w:r>
      <w:r w:rsidRPr="00DC0769">
        <w:rPr>
          <w:rFonts w:ascii="Times New Roman" w:hAnsi="Times New Roman" w:cs="Times New Roman"/>
        </w:rPr>
        <w:t xml:space="preserve"> illustrates that this ratio varies only slightly as confirmatory testing reaches 50%. At the 90% level, this ratio decreases to a reasonable degree, as the absolute number of infants on excess unnecessary ART in the SoC scenario declines by </w:t>
      </w:r>
      <w:r w:rsidR="006475C5">
        <w:rPr>
          <w:rFonts w:ascii="Times New Roman" w:hAnsi="Times New Roman" w:cs="Times New Roman"/>
        </w:rPr>
        <w:t>95</w:t>
      </w:r>
      <w:r w:rsidRPr="00DC0769">
        <w:rPr>
          <w:rFonts w:ascii="Times New Roman" w:hAnsi="Times New Roman" w:cs="Times New Roman"/>
        </w:rPr>
        <w:t xml:space="preserve">% whereas the absolute number of excess deaths in the indeterminate range scenario declines by a slightly more modest 75%. </w:t>
      </w:r>
    </w:p>
    <w:p w14:paraId="1C3C6D4F" w14:textId="3E691C0F" w:rsidR="00A80B58" w:rsidRDefault="00A80B58" w:rsidP="00A80B58">
      <w:pPr>
        <w:rPr>
          <w:rFonts w:ascii="Times New Roman" w:hAnsi="Times New Roman" w:cs="Times New Roman"/>
          <w:b/>
        </w:rPr>
      </w:pPr>
      <w:r>
        <w:rPr>
          <w:rFonts w:ascii="Times New Roman" w:hAnsi="Times New Roman" w:cs="Times New Roman"/>
          <w:b/>
        </w:rPr>
        <w:br w:type="page"/>
      </w:r>
    </w:p>
    <w:p w14:paraId="553A3934" w14:textId="77777777" w:rsidR="00A80B58" w:rsidRPr="00DC0769" w:rsidRDefault="00A80B58" w:rsidP="00A80B58">
      <w:pPr>
        <w:rPr>
          <w:rFonts w:ascii="Times New Roman" w:hAnsi="Times New Roman" w:cs="Times New Roman"/>
          <w:b/>
        </w:rPr>
      </w:pPr>
    </w:p>
    <w:p w14:paraId="35B16100" w14:textId="31CF13D7" w:rsidR="00A80B58" w:rsidRDefault="00A80B58" w:rsidP="00A80B58">
      <w:pPr>
        <w:rPr>
          <w:rFonts w:ascii="Times New Roman" w:hAnsi="Times New Roman" w:cs="Times New Roman"/>
          <w:noProof/>
        </w:rPr>
      </w:pPr>
      <w:r w:rsidRPr="00DC0769">
        <w:rPr>
          <w:rFonts w:ascii="Times New Roman" w:hAnsi="Times New Roman" w:cs="Times New Roman"/>
          <w:b/>
        </w:rPr>
        <w:t>Figure S</w:t>
      </w:r>
      <w:r>
        <w:rPr>
          <w:rFonts w:ascii="Times New Roman" w:hAnsi="Times New Roman" w:cs="Times New Roman"/>
          <w:b/>
        </w:rPr>
        <w:t>4</w:t>
      </w:r>
      <w:r w:rsidRPr="00DC0769">
        <w:rPr>
          <w:rFonts w:ascii="Times New Roman" w:hAnsi="Times New Roman" w:cs="Times New Roman"/>
          <w:b/>
        </w:rPr>
        <w:t>: Excess Unnecessary ART with Increasing Confirmatory Testin</w:t>
      </w:r>
      <w:r w:rsidRPr="00DC0769">
        <w:rPr>
          <w:rFonts w:ascii="Times New Roman" w:hAnsi="Times New Roman" w:cs="Times New Roman"/>
        </w:rPr>
        <w:t>g. Under the SoC, falsely-positive infants initiate ART unless corrected through confirmatory testing. As confirmatory testing increases, more false-positive results are corrected and fewer infants initiate ART unnecessarily. Bars represent the median (and 95% uncertainty ranges) absolute number of excess ART initiations that occur under the SoC (relative to each possible Indeterminate Range Ct cutoff) for simulations at each level of confirmatory testing among infants with initial non-negative results. All simulations were performed with an HIV prevalence of 1%.</w:t>
      </w:r>
    </w:p>
    <w:p w14:paraId="7038DDBE" w14:textId="14096081" w:rsidR="00070A56" w:rsidRPr="00DC0769" w:rsidRDefault="00070A56" w:rsidP="00A80B58">
      <w:pPr>
        <w:rPr>
          <w:rFonts w:ascii="Times New Roman" w:hAnsi="Times New Roman" w:cs="Times New Roman"/>
        </w:rPr>
      </w:pPr>
      <w:r>
        <w:rPr>
          <w:noProof/>
        </w:rPr>
        <w:drawing>
          <wp:inline distT="0" distB="0" distL="0" distR="0" wp14:anchorId="6AE48B93" wp14:editId="7DB76EA0">
            <wp:extent cx="5943600" cy="396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70E3000F" w14:textId="77777777" w:rsidR="00A80B58" w:rsidRPr="00DC0769" w:rsidRDefault="00A80B58" w:rsidP="00A80B58">
      <w:pPr>
        <w:rPr>
          <w:rFonts w:ascii="Times New Roman" w:hAnsi="Times New Roman" w:cs="Times New Roman"/>
          <w:b/>
          <w:noProof/>
        </w:rPr>
      </w:pPr>
      <w:r w:rsidRPr="00DC0769">
        <w:rPr>
          <w:rFonts w:ascii="Times New Roman" w:hAnsi="Times New Roman" w:cs="Times New Roman"/>
          <w:b/>
          <w:noProof/>
        </w:rPr>
        <w:br w:type="page"/>
      </w:r>
    </w:p>
    <w:p w14:paraId="4F862F17" w14:textId="77777777" w:rsidR="00A80B58" w:rsidRPr="00DC0769" w:rsidRDefault="00A80B58" w:rsidP="00A80B58">
      <w:pPr>
        <w:rPr>
          <w:rFonts w:ascii="Times New Roman" w:hAnsi="Times New Roman" w:cs="Times New Roman"/>
          <w:noProof/>
        </w:rPr>
      </w:pPr>
      <w:r w:rsidRPr="00DC0769">
        <w:rPr>
          <w:rFonts w:ascii="Times New Roman" w:hAnsi="Times New Roman" w:cs="Times New Roman"/>
          <w:b/>
          <w:noProof/>
        </w:rPr>
        <w:lastRenderedPageBreak/>
        <w:t>Figure S</w:t>
      </w:r>
      <w:r>
        <w:rPr>
          <w:rFonts w:ascii="Times New Roman" w:hAnsi="Times New Roman" w:cs="Times New Roman"/>
          <w:b/>
          <w:noProof/>
        </w:rPr>
        <w:t>5</w:t>
      </w:r>
      <w:r w:rsidRPr="00DC0769">
        <w:rPr>
          <w:rFonts w:ascii="Times New Roman" w:hAnsi="Times New Roman" w:cs="Times New Roman"/>
          <w:b/>
          <w:noProof/>
        </w:rPr>
        <w:t>: Excess Deaths with Increasing Confirmatory Testing.</w:t>
      </w:r>
      <w:r w:rsidRPr="00DC0769">
        <w:rPr>
          <w:rFonts w:ascii="Times New Roman" w:hAnsi="Times New Roman" w:cs="Times New Roman"/>
        </w:rPr>
        <w:t xml:space="preserve"> In the Indeterminate Range algorithm, the classification of “indeterminate” is only used for clinical decisions for infants who do not receive a confirmatory test. As confirmatory testing increases, fewer HIV-infected infants are subject to the “indeterminate” classification and thus fewer cases are missed. Bars represent the median (and 95% uncertainty ranges) absolute number of excess HIV-related deaths that occur under each Indeterminate Range Ct cutoff (relative to the SoC) for simulations at each level of confirmatory testing among infants with initial non-negative results. All simulations were performed with an HIV prevalence of 1%.</w:t>
      </w:r>
    </w:p>
    <w:p w14:paraId="69C97812" w14:textId="2C111969" w:rsidR="00A80B58" w:rsidRPr="00DC0769" w:rsidRDefault="00070A56" w:rsidP="00A80B58">
      <w:pPr>
        <w:rPr>
          <w:rFonts w:ascii="Times New Roman" w:hAnsi="Times New Roman" w:cs="Times New Roman"/>
        </w:rPr>
      </w:pPr>
      <w:r>
        <w:rPr>
          <w:noProof/>
        </w:rPr>
        <w:drawing>
          <wp:inline distT="0" distB="0" distL="0" distR="0" wp14:anchorId="62EB3FD5" wp14:editId="4A7A979A">
            <wp:extent cx="5943600" cy="396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711027E6" w14:textId="77777777" w:rsidR="00A80B58" w:rsidRPr="00DC0769" w:rsidRDefault="00A80B58" w:rsidP="00A80B58">
      <w:pPr>
        <w:rPr>
          <w:rFonts w:ascii="Times New Roman" w:hAnsi="Times New Roman" w:cs="Times New Roman"/>
          <w:b/>
        </w:rPr>
      </w:pPr>
    </w:p>
    <w:p w14:paraId="13D788D6" w14:textId="77777777" w:rsidR="00A80B58" w:rsidRPr="00DC0769" w:rsidRDefault="00A80B58" w:rsidP="00A80B58">
      <w:pPr>
        <w:rPr>
          <w:rFonts w:ascii="Times New Roman" w:hAnsi="Times New Roman" w:cs="Times New Roman"/>
          <w:b/>
        </w:rPr>
      </w:pPr>
      <w:r w:rsidRPr="00DC0769">
        <w:rPr>
          <w:rFonts w:ascii="Times New Roman" w:hAnsi="Times New Roman" w:cs="Times New Roman"/>
          <w:b/>
        </w:rPr>
        <w:br w:type="page"/>
      </w:r>
    </w:p>
    <w:p w14:paraId="4EA92AF8" w14:textId="77777777" w:rsidR="00A80B58" w:rsidRPr="00DC0769" w:rsidRDefault="00A80B58" w:rsidP="00A80B58">
      <w:pPr>
        <w:rPr>
          <w:rFonts w:ascii="Times New Roman" w:hAnsi="Times New Roman" w:cs="Times New Roman"/>
        </w:rPr>
      </w:pPr>
      <w:r w:rsidRPr="00DC0769">
        <w:rPr>
          <w:rFonts w:ascii="Times New Roman" w:hAnsi="Times New Roman" w:cs="Times New Roman"/>
          <w:b/>
        </w:rPr>
        <w:lastRenderedPageBreak/>
        <w:t>Figure S</w:t>
      </w:r>
      <w:r>
        <w:rPr>
          <w:rFonts w:ascii="Times New Roman" w:hAnsi="Times New Roman" w:cs="Times New Roman"/>
          <w:b/>
        </w:rPr>
        <w:t>6</w:t>
      </w:r>
      <w:r w:rsidRPr="00DC0769">
        <w:rPr>
          <w:rFonts w:ascii="Times New Roman" w:hAnsi="Times New Roman" w:cs="Times New Roman"/>
          <w:b/>
        </w:rPr>
        <w:t>: Effectiveness of an Indeterminate Range with Increased Confirmatory Testing.</w:t>
      </w:r>
      <w:r w:rsidRPr="00DC0769">
        <w:rPr>
          <w:rFonts w:ascii="Times New Roman" w:hAnsi="Times New Roman" w:cs="Times New Roman"/>
        </w:rPr>
        <w:t xml:space="preserve"> Bars represent the median primary outcomes for simulations at each level of confirmatory testing among infants with initial non-negative results. As ratios with small denominators (small numbers of excess deaths relative to SoC) create large quotients, only median ratio values are displayed. All simulations were performed with an HIV prevalence of 1%.</w:t>
      </w:r>
    </w:p>
    <w:p w14:paraId="4AE252E5" w14:textId="77777777" w:rsidR="00A80B58" w:rsidRPr="00DC0769" w:rsidRDefault="00A80B58" w:rsidP="00A80B58">
      <w:pPr>
        <w:rPr>
          <w:rFonts w:ascii="Times New Roman" w:hAnsi="Times New Roman" w:cs="Times New Roman"/>
          <w:noProof/>
        </w:rPr>
      </w:pPr>
    </w:p>
    <w:p w14:paraId="6792FD1F" w14:textId="36BE2306" w:rsidR="00A80B58" w:rsidRPr="00DC0769" w:rsidRDefault="006475C5" w:rsidP="00A80B58">
      <w:pPr>
        <w:rPr>
          <w:rFonts w:ascii="Times New Roman" w:hAnsi="Times New Roman" w:cs="Times New Roman"/>
        </w:rPr>
      </w:pPr>
      <w:r>
        <w:rPr>
          <w:noProof/>
        </w:rPr>
        <w:drawing>
          <wp:inline distT="0" distB="0" distL="0" distR="0" wp14:anchorId="03A1795B" wp14:editId="6DC5CC94">
            <wp:extent cx="5943600" cy="396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D05779D" w14:textId="77777777" w:rsidR="00A80B58" w:rsidRDefault="00A80B58" w:rsidP="00A80B58">
      <w:pPr>
        <w:rPr>
          <w:rFonts w:ascii="Times New Roman" w:hAnsi="Times New Roman" w:cs="Times New Roman"/>
        </w:rPr>
      </w:pPr>
      <w:r>
        <w:rPr>
          <w:rFonts w:ascii="Times New Roman" w:hAnsi="Times New Roman" w:cs="Times New Roman"/>
        </w:rPr>
        <w:br w:type="page"/>
      </w:r>
    </w:p>
    <w:p w14:paraId="162FC58D" w14:textId="77777777" w:rsidR="00A80B58" w:rsidRDefault="00A80B58" w:rsidP="004C6A3E">
      <w:pPr>
        <w:rPr>
          <w:rFonts w:ascii="Times New Roman" w:hAnsi="Times New Roman" w:cs="Times New Roman"/>
        </w:rPr>
      </w:pPr>
    </w:p>
    <w:p w14:paraId="64E84DE9" w14:textId="4A62B716" w:rsidR="000B091A" w:rsidRPr="00B1394A" w:rsidRDefault="000B091A" w:rsidP="000B091A">
      <w:pPr>
        <w:rPr>
          <w:rFonts w:ascii="Times New Roman" w:hAnsi="Times New Roman" w:cs="Times New Roman"/>
          <w:b/>
        </w:rPr>
      </w:pPr>
      <w:r w:rsidRPr="00B1394A">
        <w:rPr>
          <w:rFonts w:ascii="Times New Roman" w:hAnsi="Times New Roman" w:cs="Times New Roman"/>
          <w:b/>
        </w:rPr>
        <w:t>False-Positive Patient</w:t>
      </w:r>
      <w:r w:rsidR="000C1AC9" w:rsidRPr="00B1394A">
        <w:rPr>
          <w:rFonts w:ascii="Times New Roman" w:hAnsi="Times New Roman" w:cs="Times New Roman"/>
          <w:b/>
        </w:rPr>
        <w:t>s Lost to Care</w:t>
      </w:r>
    </w:p>
    <w:p w14:paraId="3F01C25B" w14:textId="35238A47" w:rsidR="000B091A" w:rsidRPr="00B1394A" w:rsidRDefault="000B091A" w:rsidP="000B091A">
      <w:pPr>
        <w:ind w:firstLine="720"/>
        <w:rPr>
          <w:rFonts w:ascii="Times New Roman" w:hAnsi="Times New Roman" w:cs="Times New Roman"/>
        </w:rPr>
      </w:pPr>
      <w:bookmarkStart w:id="2" w:name="_Hlk6048101"/>
      <w:r w:rsidRPr="00B1394A">
        <w:rPr>
          <w:rFonts w:ascii="Times New Roman" w:hAnsi="Times New Roman" w:cs="Times New Roman"/>
        </w:rPr>
        <w:t>When we relax the assumption that false-positive diagnoses result in lifelong ART, we find that the incremental value of an Indeterminate Range (relative to SoC) decreases somewhat but that trends largely mirror the findings in our primary analysis. Figure S</w:t>
      </w:r>
      <w:r w:rsidR="00D76DE5" w:rsidRPr="00B1394A">
        <w:rPr>
          <w:rFonts w:ascii="Times New Roman" w:hAnsi="Times New Roman" w:cs="Times New Roman"/>
        </w:rPr>
        <w:t>7</w:t>
      </w:r>
      <w:r w:rsidRPr="00B1394A">
        <w:rPr>
          <w:rFonts w:ascii="Times New Roman" w:hAnsi="Times New Roman" w:cs="Times New Roman"/>
        </w:rPr>
        <w:t xml:space="preserve"> presents the ICERs of adopting an Indeterminate Range at a prevalence of 2.5% before and after we relax this assumption. Relaxing this assumption reduces the incremental value of an Indeterminate Range defined by Ct≥33 by 20% (from a median of $152</w:t>
      </w:r>
      <w:r w:rsidR="000C1AC9" w:rsidRPr="00B1394A">
        <w:rPr>
          <w:rFonts w:ascii="Times New Roman" w:hAnsi="Times New Roman" w:cs="Times New Roman"/>
        </w:rPr>
        <w:t>5</w:t>
      </w:r>
      <w:r w:rsidRPr="00B1394A">
        <w:rPr>
          <w:rFonts w:ascii="Times New Roman" w:hAnsi="Times New Roman" w:cs="Times New Roman"/>
        </w:rPr>
        <w:t xml:space="preserve"> to $123</w:t>
      </w:r>
      <w:r w:rsidR="000C1AC9" w:rsidRPr="00B1394A">
        <w:rPr>
          <w:rFonts w:ascii="Times New Roman" w:hAnsi="Times New Roman" w:cs="Times New Roman"/>
        </w:rPr>
        <w:t>3</w:t>
      </w:r>
      <w:r w:rsidRPr="00B1394A">
        <w:rPr>
          <w:rFonts w:ascii="Times New Roman" w:hAnsi="Times New Roman" w:cs="Times New Roman"/>
        </w:rPr>
        <w:t xml:space="preserve"> gained per additional DALY), though this ranges from a 10% reduction at Ct≥30 to a 4</w:t>
      </w:r>
      <w:r w:rsidR="000C1AC9" w:rsidRPr="00B1394A">
        <w:rPr>
          <w:rFonts w:ascii="Times New Roman" w:hAnsi="Times New Roman" w:cs="Times New Roman"/>
        </w:rPr>
        <w:t>5</w:t>
      </w:r>
      <w:r w:rsidRPr="00B1394A">
        <w:rPr>
          <w:rFonts w:ascii="Times New Roman" w:hAnsi="Times New Roman" w:cs="Times New Roman"/>
        </w:rPr>
        <w:t>% reduction at Ct≥36. Simultaneously, at cutoffs where relaxing this assumption had the largest relative impact on reducing the savings of an Indeterminate Range (i.e., Ct≥34, 35, and 36), the incremental cost-effectiveness of adopting an Indeterminate Range did not change so much as to move across likely decision thresholds of willingness to pay (new median values of $200</w:t>
      </w:r>
      <w:r w:rsidR="000C1AC9" w:rsidRPr="00B1394A">
        <w:rPr>
          <w:rFonts w:ascii="Times New Roman" w:hAnsi="Times New Roman" w:cs="Times New Roman"/>
        </w:rPr>
        <w:t>3</w:t>
      </w:r>
      <w:r w:rsidRPr="00B1394A">
        <w:rPr>
          <w:rFonts w:ascii="Times New Roman" w:hAnsi="Times New Roman" w:cs="Times New Roman"/>
        </w:rPr>
        <w:t>, $</w:t>
      </w:r>
      <w:r w:rsidR="000C1AC9" w:rsidRPr="00B1394A">
        <w:rPr>
          <w:rFonts w:ascii="Times New Roman" w:hAnsi="Times New Roman" w:cs="Times New Roman"/>
        </w:rPr>
        <w:t>3213</w:t>
      </w:r>
      <w:r w:rsidRPr="00B1394A">
        <w:rPr>
          <w:rFonts w:ascii="Times New Roman" w:hAnsi="Times New Roman" w:cs="Times New Roman"/>
        </w:rPr>
        <w:t>, and $961</w:t>
      </w:r>
      <w:r w:rsidR="000C1AC9" w:rsidRPr="00B1394A">
        <w:rPr>
          <w:rFonts w:ascii="Times New Roman" w:hAnsi="Times New Roman" w:cs="Times New Roman"/>
        </w:rPr>
        <w:t>2</w:t>
      </w:r>
      <w:r w:rsidRPr="00B1394A">
        <w:rPr>
          <w:rFonts w:ascii="Times New Roman" w:hAnsi="Times New Roman" w:cs="Times New Roman"/>
        </w:rPr>
        <w:t xml:space="preserve"> saved per additional DALY, respectively). At all Ct cutoffs, the median ICER with the relaxed assumption fell within the uncertainty bounds of the ICER in our main analysis.</w:t>
      </w:r>
    </w:p>
    <w:bookmarkEnd w:id="2"/>
    <w:p w14:paraId="461FC659" w14:textId="77777777" w:rsidR="000C1AC9" w:rsidRPr="00B1394A" w:rsidRDefault="000C1AC9" w:rsidP="000B091A">
      <w:pPr>
        <w:rPr>
          <w:rFonts w:ascii="Times New Roman" w:hAnsi="Times New Roman" w:cs="Times New Roman"/>
          <w:b/>
        </w:rPr>
      </w:pPr>
    </w:p>
    <w:p w14:paraId="4189E750" w14:textId="5587644D" w:rsidR="000B091A" w:rsidRPr="00B1394A" w:rsidRDefault="000B091A" w:rsidP="000B091A">
      <w:pPr>
        <w:rPr>
          <w:rFonts w:ascii="Times New Roman" w:hAnsi="Times New Roman" w:cs="Times New Roman"/>
          <w:b/>
        </w:rPr>
      </w:pPr>
      <w:r w:rsidRPr="00B1394A">
        <w:rPr>
          <w:rFonts w:ascii="Times New Roman" w:hAnsi="Times New Roman" w:cs="Times New Roman"/>
          <w:b/>
        </w:rPr>
        <w:t>Lifetime Costs of ART</w:t>
      </w:r>
    </w:p>
    <w:p w14:paraId="627BC220" w14:textId="05A83ADA" w:rsidR="000B091A" w:rsidRDefault="000B091A" w:rsidP="000C1AC9">
      <w:pPr>
        <w:ind w:firstLine="720"/>
        <w:rPr>
          <w:rFonts w:ascii="Times New Roman" w:hAnsi="Times New Roman" w:cs="Times New Roman"/>
        </w:rPr>
      </w:pPr>
      <w:r w:rsidRPr="00B1394A">
        <w:rPr>
          <w:rFonts w:ascii="Times New Roman" w:hAnsi="Times New Roman" w:cs="Times New Roman"/>
        </w:rPr>
        <w:t xml:space="preserve">Because lifetime costs of HIV care are difficult to estimate and may vary substantially across settings, we used for our primary analysis values previously used in the cost-effectiveness literature. However, as treatment and care costs are heterogeneous from </w:t>
      </w:r>
      <w:r>
        <w:rPr>
          <w:rFonts w:ascii="Times New Roman" w:hAnsi="Times New Roman" w:cs="Times New Roman"/>
        </w:rPr>
        <w:t>country to country and over time, we also evaluated a wide range of possible costs of lifetime HIV care. Table S1 presents the cost and ICER estimates of adopting an indeterminate range defined by Ct≥33 at a prevalence of 2.5% and with 15% confirmatory testing</w:t>
      </w:r>
      <w:r w:rsidRPr="001B176C">
        <w:rPr>
          <w:rFonts w:ascii="Times New Roman" w:hAnsi="Times New Roman" w:cs="Times New Roman"/>
        </w:rPr>
        <w:t xml:space="preserve"> </w:t>
      </w:r>
      <w:r>
        <w:rPr>
          <w:rFonts w:ascii="Times New Roman" w:hAnsi="Times New Roman" w:cs="Times New Roman"/>
        </w:rPr>
        <w:t>under different assumptions about this lifetime cost. All other parameters were varied according to ranges defined in Table 1.These results demonstrate that the incremental savings of an Indeterminate Range and, consequently, ICER values track predictably with reductions in lifetime costs of care: if per-patient costs are reduced by 25% to $7500, the projected ICER value is reduced 23%; if costs are reduced 75% to $2500, the projected ICER is reduced 68%</w:t>
      </w:r>
    </w:p>
    <w:p w14:paraId="27FB246E" w14:textId="77777777" w:rsidR="004507DB" w:rsidRPr="00DC0769" w:rsidRDefault="004507DB">
      <w:pPr>
        <w:rPr>
          <w:rFonts w:ascii="Times New Roman" w:hAnsi="Times New Roman" w:cs="Times New Roman"/>
          <w:b/>
        </w:rPr>
      </w:pPr>
      <w:r w:rsidRPr="00DC0769">
        <w:rPr>
          <w:rFonts w:ascii="Times New Roman" w:hAnsi="Times New Roman" w:cs="Times New Roman"/>
          <w:b/>
        </w:rPr>
        <w:br w:type="page"/>
      </w:r>
    </w:p>
    <w:p w14:paraId="461B6E36" w14:textId="2348E57D" w:rsidR="00591B8A" w:rsidRDefault="00E64CCB" w:rsidP="002455E2">
      <w:pPr>
        <w:rPr>
          <w:rFonts w:ascii="Times New Roman" w:hAnsi="Times New Roman" w:cs="Times New Roman"/>
        </w:rPr>
      </w:pPr>
      <w:r w:rsidRPr="00894068">
        <w:rPr>
          <w:rFonts w:ascii="Times New Roman" w:hAnsi="Times New Roman" w:cs="Times New Roman"/>
          <w:b/>
        </w:rPr>
        <w:lastRenderedPageBreak/>
        <w:t>Figure S</w:t>
      </w:r>
      <w:r w:rsidR="002455E2" w:rsidRPr="00894068">
        <w:rPr>
          <w:rFonts w:ascii="Times New Roman" w:hAnsi="Times New Roman" w:cs="Times New Roman"/>
          <w:b/>
        </w:rPr>
        <w:t>7</w:t>
      </w:r>
      <w:r w:rsidRPr="00DC0769">
        <w:rPr>
          <w:rFonts w:ascii="Times New Roman" w:hAnsi="Times New Roman" w:cs="Times New Roman"/>
          <w:b/>
        </w:rPr>
        <w:t xml:space="preserve">: Incremental Cost Effectiveness </w:t>
      </w:r>
      <w:r>
        <w:rPr>
          <w:rFonts w:ascii="Times New Roman" w:hAnsi="Times New Roman" w:cs="Times New Roman"/>
          <w:b/>
        </w:rPr>
        <w:t xml:space="preserve">with False-Positive </w:t>
      </w:r>
      <w:r w:rsidR="000C1AC9">
        <w:rPr>
          <w:rFonts w:ascii="Times New Roman" w:hAnsi="Times New Roman" w:cs="Times New Roman"/>
          <w:b/>
        </w:rPr>
        <w:t>Loss to Care</w:t>
      </w:r>
      <w:r w:rsidRPr="00DC0769">
        <w:rPr>
          <w:rFonts w:ascii="Times New Roman" w:hAnsi="Times New Roman" w:cs="Times New Roman"/>
          <w:b/>
        </w:rPr>
        <w:t xml:space="preserve">. </w:t>
      </w:r>
      <w:r w:rsidRPr="00DC0769">
        <w:rPr>
          <w:rFonts w:ascii="Times New Roman" w:hAnsi="Times New Roman" w:cs="Times New Roman"/>
        </w:rPr>
        <w:t xml:space="preserve">The ratio of incremental costs to incremental DALYs (with both values being measured to SoC). </w:t>
      </w:r>
      <w:r>
        <w:rPr>
          <w:rFonts w:ascii="Times New Roman" w:hAnsi="Times New Roman" w:cs="Times New Roman"/>
        </w:rPr>
        <w:t xml:space="preserve">Compared are ICER values at 2.5% Prevalence before and after allowing for misdiagnosed uninfected patients to drop out of HIV care over time. </w:t>
      </w:r>
      <w:r w:rsidRPr="00DC0769">
        <w:rPr>
          <w:rFonts w:ascii="Times New Roman" w:hAnsi="Times New Roman" w:cs="Times New Roman"/>
        </w:rPr>
        <w:t>Lower limits for 2.5% Prevalence at Ct 3</w:t>
      </w:r>
      <w:r>
        <w:rPr>
          <w:rFonts w:ascii="Times New Roman" w:hAnsi="Times New Roman" w:cs="Times New Roman"/>
        </w:rPr>
        <w:t>6 are not displayed:</w:t>
      </w:r>
      <w:r w:rsidRPr="00DC0769">
        <w:rPr>
          <w:rFonts w:ascii="Times New Roman" w:hAnsi="Times New Roman" w:cs="Times New Roman"/>
        </w:rPr>
        <w:t xml:space="preserve"> Indeterminate Range simulations dominated at these values (they were less costly and resulted in fewer DALYs than SoC).</w:t>
      </w:r>
      <w:bookmarkStart w:id="3" w:name="_Hlk6047548"/>
      <w:r w:rsidR="002A4DC0">
        <w:rPr>
          <w:rFonts w:ascii="Times New Roman" w:hAnsi="Times New Roman" w:cs="Times New Roman"/>
        </w:rPr>
        <w:t xml:space="preserve"> Data labels represent </w:t>
      </w:r>
      <w:r w:rsidR="000C1AC9">
        <w:rPr>
          <w:rFonts w:ascii="Times New Roman" w:hAnsi="Times New Roman" w:cs="Times New Roman"/>
        </w:rPr>
        <w:t>median ICER values.</w:t>
      </w:r>
      <w:bookmarkEnd w:id="3"/>
    </w:p>
    <w:p w14:paraId="5094270A" w14:textId="067AD0FF" w:rsidR="000C1AC9" w:rsidRDefault="000C1AC9">
      <w:pPr>
        <w:rPr>
          <w:rFonts w:ascii="Times New Roman" w:hAnsi="Times New Roman" w:cs="Times New Roman"/>
        </w:rPr>
      </w:pPr>
      <w:r>
        <w:rPr>
          <w:noProof/>
        </w:rPr>
        <w:drawing>
          <wp:inline distT="0" distB="0" distL="0" distR="0" wp14:anchorId="4A4E6618" wp14:editId="6FDD167C">
            <wp:extent cx="5943600" cy="396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30B078C4" w14:textId="77777777" w:rsidR="000C1AC9" w:rsidRDefault="000C1AC9">
      <w:pPr>
        <w:rPr>
          <w:rFonts w:ascii="Times New Roman" w:hAnsi="Times New Roman" w:cs="Times New Roman"/>
        </w:rPr>
      </w:pPr>
      <w:r>
        <w:rPr>
          <w:rFonts w:ascii="Times New Roman" w:hAnsi="Times New Roman" w:cs="Times New Roman"/>
        </w:rPr>
        <w:br w:type="page"/>
      </w:r>
    </w:p>
    <w:p w14:paraId="54039370" w14:textId="77777777" w:rsidR="00A711D4" w:rsidRPr="00061B45" w:rsidRDefault="00A711D4" w:rsidP="00A711D4">
      <w:pPr>
        <w:rPr>
          <w:rFonts w:ascii="Times New Roman" w:hAnsi="Times New Roman" w:cs="Times New Roman"/>
          <w:b/>
        </w:rPr>
      </w:pPr>
      <w:r>
        <w:rPr>
          <w:rFonts w:ascii="Times New Roman" w:hAnsi="Times New Roman" w:cs="Times New Roman"/>
          <w:b/>
        </w:rPr>
        <w:lastRenderedPageBreak/>
        <w:t>Table S1: Indeterminate Range Cost-Effectiveness with Lower Lifetime Costs of HIV Care</w:t>
      </w:r>
    </w:p>
    <w:tbl>
      <w:tblPr>
        <w:tblStyle w:val="PlainTable4"/>
        <w:tblW w:w="7950" w:type="dxa"/>
        <w:jc w:val="center"/>
        <w:tblLook w:val="04A0" w:firstRow="1" w:lastRow="0" w:firstColumn="1" w:lastColumn="0" w:noHBand="0" w:noVBand="1"/>
      </w:tblPr>
      <w:tblGrid>
        <w:gridCol w:w="1208"/>
        <w:gridCol w:w="1408"/>
        <w:gridCol w:w="1794"/>
        <w:gridCol w:w="1980"/>
        <w:gridCol w:w="1560"/>
      </w:tblGrid>
      <w:tr w:rsidR="00A711D4" w:rsidRPr="00DB3206" w14:paraId="7C097DA6" w14:textId="77777777" w:rsidTr="0048198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8" w:type="dxa"/>
            <w:tcBorders>
              <w:bottom w:val="single" w:sz="4" w:space="0" w:color="auto"/>
              <w:right w:val="single" w:sz="4" w:space="0" w:color="auto"/>
            </w:tcBorders>
            <w:noWrap/>
            <w:hideMark/>
          </w:tcPr>
          <w:p w14:paraId="283C0555" w14:textId="77777777" w:rsidR="00A711D4" w:rsidRPr="00DB3206" w:rsidRDefault="00A711D4" w:rsidP="0048198B">
            <w:pPr>
              <w:jc w:val="center"/>
              <w:rPr>
                <w:rFonts w:ascii="Times New Roman" w:eastAsia="Times New Roman" w:hAnsi="Times New Roman" w:cs="Times New Roman"/>
                <w:color w:val="000000"/>
              </w:rPr>
            </w:pPr>
            <w:r w:rsidRPr="00DB3206">
              <w:rPr>
                <w:rFonts w:ascii="Times New Roman" w:eastAsia="Times New Roman" w:hAnsi="Times New Roman" w:cs="Times New Roman"/>
                <w:color w:val="000000"/>
              </w:rPr>
              <w:t xml:space="preserve">Lifetime Costs of </w:t>
            </w:r>
            <w:r>
              <w:rPr>
                <w:rFonts w:ascii="Times New Roman" w:eastAsia="Times New Roman" w:hAnsi="Times New Roman" w:cs="Times New Roman"/>
                <w:color w:val="000000"/>
              </w:rPr>
              <w:t>HIV Care*</w:t>
            </w:r>
          </w:p>
        </w:tc>
        <w:tc>
          <w:tcPr>
            <w:tcW w:w="1408" w:type="dxa"/>
            <w:tcBorders>
              <w:left w:val="single" w:sz="4" w:space="0" w:color="auto"/>
              <w:bottom w:val="single" w:sz="4" w:space="0" w:color="auto"/>
            </w:tcBorders>
            <w:noWrap/>
            <w:hideMark/>
          </w:tcPr>
          <w:p w14:paraId="21A558F6" w14:textId="77777777" w:rsidR="00A711D4" w:rsidRPr="00DB3206" w:rsidRDefault="00A711D4" w:rsidP="004819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B3206">
              <w:rPr>
                <w:rFonts w:ascii="Times New Roman" w:eastAsia="Times New Roman" w:hAnsi="Times New Roman" w:cs="Times New Roman"/>
                <w:color w:val="000000"/>
              </w:rPr>
              <w:t>Total Costs</w:t>
            </w:r>
            <w:r w:rsidRPr="00DC0769">
              <w:rPr>
                <w:rFonts w:ascii="Times New Roman" w:hAnsi="Times New Roman" w:cs="Times New Roman"/>
                <w:b w:val="0"/>
              </w:rPr>
              <w:t>†</w:t>
            </w:r>
            <w:r w:rsidRPr="00DB3206">
              <w:rPr>
                <w:rFonts w:ascii="Times New Roman" w:eastAsia="Times New Roman" w:hAnsi="Times New Roman" w:cs="Times New Roman"/>
                <w:color w:val="000000"/>
              </w:rPr>
              <w:t xml:space="preserve"> of SoC</w:t>
            </w:r>
          </w:p>
        </w:tc>
        <w:tc>
          <w:tcPr>
            <w:tcW w:w="1794" w:type="dxa"/>
            <w:tcBorders>
              <w:bottom w:val="single" w:sz="4" w:space="0" w:color="auto"/>
            </w:tcBorders>
            <w:noWrap/>
            <w:hideMark/>
          </w:tcPr>
          <w:p w14:paraId="5F5288FE" w14:textId="77777777" w:rsidR="00A711D4" w:rsidRPr="00DB3206" w:rsidRDefault="00A711D4" w:rsidP="004819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B3206">
              <w:rPr>
                <w:rFonts w:ascii="Times New Roman" w:eastAsia="Times New Roman" w:hAnsi="Times New Roman" w:cs="Times New Roman"/>
                <w:color w:val="000000"/>
              </w:rPr>
              <w:t>Total Costs</w:t>
            </w:r>
            <w:r w:rsidRPr="00DC0769">
              <w:rPr>
                <w:rFonts w:ascii="Times New Roman" w:hAnsi="Times New Roman" w:cs="Times New Roman"/>
                <w:b w:val="0"/>
              </w:rPr>
              <w:t>†</w:t>
            </w:r>
            <w:r w:rsidRPr="00DB3206">
              <w:rPr>
                <w:rFonts w:ascii="Times New Roman" w:eastAsia="Times New Roman" w:hAnsi="Times New Roman" w:cs="Times New Roman"/>
                <w:color w:val="000000"/>
              </w:rPr>
              <w:t xml:space="preserve"> of Indeterminate Range</w:t>
            </w:r>
          </w:p>
        </w:tc>
        <w:tc>
          <w:tcPr>
            <w:tcW w:w="1980" w:type="dxa"/>
            <w:tcBorders>
              <w:bottom w:val="single" w:sz="4" w:space="0" w:color="auto"/>
            </w:tcBorders>
            <w:noWrap/>
            <w:hideMark/>
          </w:tcPr>
          <w:p w14:paraId="7C5E57E1" w14:textId="77777777" w:rsidR="00A711D4" w:rsidRPr="00DB3206" w:rsidRDefault="00A711D4" w:rsidP="004819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C0769">
              <w:rPr>
                <w:rFonts w:ascii="Times New Roman" w:hAnsi="Times New Roman" w:cs="Times New Roman"/>
              </w:rPr>
              <w:t>Incremental Cost</w:t>
            </w:r>
            <w:r w:rsidRPr="00DC0769">
              <w:rPr>
                <w:rFonts w:ascii="Times New Roman" w:hAnsi="Times New Roman" w:cs="Times New Roman"/>
                <w:b w:val="0"/>
              </w:rPr>
              <w:t>†</w:t>
            </w:r>
            <w:r w:rsidRPr="00DC0769">
              <w:rPr>
                <w:rFonts w:ascii="Times New Roman" w:hAnsi="Times New Roman" w:cs="Times New Roman"/>
              </w:rPr>
              <w:t xml:space="preserve"> of Indeterminate Range</w:t>
            </w:r>
          </w:p>
        </w:tc>
        <w:tc>
          <w:tcPr>
            <w:tcW w:w="1560" w:type="dxa"/>
            <w:tcBorders>
              <w:bottom w:val="single" w:sz="4" w:space="0" w:color="auto"/>
            </w:tcBorders>
            <w:noWrap/>
            <w:hideMark/>
          </w:tcPr>
          <w:p w14:paraId="4A5E4A40" w14:textId="77777777" w:rsidR="00A711D4" w:rsidRPr="00DC0769" w:rsidRDefault="00A711D4" w:rsidP="004819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DC0769">
              <w:rPr>
                <w:rFonts w:ascii="Times New Roman" w:hAnsi="Times New Roman" w:cs="Times New Roman"/>
              </w:rPr>
              <w:t>ICER</w:t>
            </w:r>
            <w:r w:rsidRPr="00FC3F83">
              <w:rPr>
                <w:rFonts w:ascii="Times New Roman" w:hAnsi="Times New Roman" w:cs="Times New Roman"/>
                <w:b w:val="0"/>
              </w:rPr>
              <w:t>‡</w:t>
            </w:r>
          </w:p>
          <w:p w14:paraId="1E53484D" w14:textId="77777777" w:rsidR="00A711D4" w:rsidRPr="00DB3206" w:rsidRDefault="00A711D4" w:rsidP="004819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C0769">
              <w:rPr>
                <w:rFonts w:ascii="Times New Roman" w:hAnsi="Times New Roman" w:cs="Times New Roman"/>
                <w:b w:val="0"/>
              </w:rPr>
              <w:t>(incremental cost per incremental DALY)</w:t>
            </w:r>
          </w:p>
        </w:tc>
      </w:tr>
      <w:tr w:rsidR="00A711D4" w:rsidRPr="00DB3206" w14:paraId="15B9A9BD" w14:textId="77777777" w:rsidTr="004819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8" w:type="dxa"/>
            <w:tcBorders>
              <w:top w:val="single" w:sz="4" w:space="0" w:color="auto"/>
              <w:right w:val="single" w:sz="4" w:space="0" w:color="auto"/>
            </w:tcBorders>
            <w:noWrap/>
            <w:vAlign w:val="center"/>
            <w:hideMark/>
          </w:tcPr>
          <w:p w14:paraId="132634AE" w14:textId="77777777" w:rsidR="00A711D4" w:rsidRPr="00DB3206" w:rsidRDefault="00A711D4" w:rsidP="004819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B3206">
              <w:rPr>
                <w:rFonts w:ascii="Times New Roman" w:eastAsia="Times New Roman" w:hAnsi="Times New Roman" w:cs="Times New Roman"/>
                <w:color w:val="000000"/>
              </w:rPr>
              <w:t>10000</w:t>
            </w:r>
          </w:p>
        </w:tc>
        <w:tc>
          <w:tcPr>
            <w:tcW w:w="1408" w:type="dxa"/>
            <w:tcBorders>
              <w:top w:val="single" w:sz="4" w:space="0" w:color="auto"/>
              <w:left w:val="single" w:sz="4" w:space="0" w:color="auto"/>
            </w:tcBorders>
            <w:noWrap/>
            <w:vAlign w:val="center"/>
            <w:hideMark/>
          </w:tcPr>
          <w:p w14:paraId="3BBFB5ED" w14:textId="77777777" w:rsidR="00A711D4" w:rsidRPr="00BF6418" w:rsidRDefault="00A711D4" w:rsidP="004819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2810</w:t>
            </w:r>
            <w:r w:rsidRPr="00BF6418">
              <w:rPr>
                <w:rFonts w:ascii="Times New Roman" w:hAnsi="Times New Roman" w:cs="Times New Roman"/>
                <w:color w:val="000000"/>
              </w:rPr>
              <w:br/>
              <w:t>(2760, 2860)</w:t>
            </w:r>
          </w:p>
        </w:tc>
        <w:tc>
          <w:tcPr>
            <w:tcW w:w="1794" w:type="dxa"/>
            <w:tcBorders>
              <w:top w:val="single" w:sz="4" w:space="0" w:color="auto"/>
            </w:tcBorders>
            <w:noWrap/>
            <w:vAlign w:val="center"/>
            <w:hideMark/>
          </w:tcPr>
          <w:p w14:paraId="44B32036" w14:textId="77777777" w:rsidR="00A711D4" w:rsidRPr="00BF6418" w:rsidRDefault="00A711D4" w:rsidP="004819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2610</w:t>
            </w:r>
            <w:r w:rsidRPr="00BF6418">
              <w:rPr>
                <w:rFonts w:ascii="Times New Roman" w:hAnsi="Times New Roman" w:cs="Times New Roman"/>
                <w:color w:val="000000"/>
              </w:rPr>
              <w:br/>
              <w:t>(2560, 2650)</w:t>
            </w:r>
          </w:p>
        </w:tc>
        <w:tc>
          <w:tcPr>
            <w:tcW w:w="1980" w:type="dxa"/>
            <w:tcBorders>
              <w:top w:val="single" w:sz="4" w:space="0" w:color="auto"/>
            </w:tcBorders>
            <w:noWrap/>
            <w:vAlign w:val="center"/>
            <w:hideMark/>
          </w:tcPr>
          <w:p w14:paraId="26E78CAA" w14:textId="77777777" w:rsidR="00A711D4" w:rsidRPr="00BF6418" w:rsidRDefault="00A711D4" w:rsidP="004819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-204</w:t>
            </w:r>
            <w:r w:rsidRPr="00BF6418">
              <w:rPr>
                <w:rFonts w:ascii="Times New Roman" w:hAnsi="Times New Roman" w:cs="Times New Roman"/>
                <w:color w:val="000000"/>
              </w:rPr>
              <w:br/>
              <w:t>(-247, -172)</w:t>
            </w:r>
          </w:p>
        </w:tc>
        <w:tc>
          <w:tcPr>
            <w:tcW w:w="1560" w:type="dxa"/>
            <w:tcBorders>
              <w:top w:val="single" w:sz="4" w:space="0" w:color="auto"/>
            </w:tcBorders>
            <w:noWrap/>
            <w:vAlign w:val="center"/>
            <w:hideMark/>
          </w:tcPr>
          <w:p w14:paraId="1C0C0F75" w14:textId="77777777" w:rsidR="00A711D4" w:rsidRPr="00BF6418" w:rsidRDefault="00A711D4" w:rsidP="004819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-1540</w:t>
            </w:r>
            <w:r w:rsidRPr="00BF6418">
              <w:rPr>
                <w:rFonts w:ascii="Times New Roman" w:hAnsi="Times New Roman" w:cs="Times New Roman"/>
                <w:color w:val="000000"/>
              </w:rPr>
              <w:br/>
              <w:t>(-2080, -1230)</w:t>
            </w:r>
          </w:p>
        </w:tc>
      </w:tr>
      <w:tr w:rsidR="00A711D4" w:rsidRPr="00DB3206" w14:paraId="6DDB83F1" w14:textId="77777777" w:rsidTr="0048198B">
        <w:trPr>
          <w:trHeight w:val="300"/>
          <w:jc w:val="center"/>
        </w:trPr>
        <w:tc>
          <w:tcPr>
            <w:cnfStyle w:val="001000000000" w:firstRow="0" w:lastRow="0" w:firstColumn="1" w:lastColumn="0" w:oddVBand="0" w:evenVBand="0" w:oddHBand="0" w:evenHBand="0" w:firstRowFirstColumn="0" w:firstRowLastColumn="0" w:lastRowFirstColumn="0" w:lastRowLastColumn="0"/>
            <w:tcW w:w="1208" w:type="dxa"/>
            <w:tcBorders>
              <w:right w:val="single" w:sz="4" w:space="0" w:color="auto"/>
            </w:tcBorders>
            <w:noWrap/>
            <w:vAlign w:val="center"/>
            <w:hideMark/>
          </w:tcPr>
          <w:p w14:paraId="0EB16DE9" w14:textId="77777777" w:rsidR="00A711D4" w:rsidRPr="00DB3206" w:rsidRDefault="00A711D4" w:rsidP="004819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B3206">
              <w:rPr>
                <w:rFonts w:ascii="Times New Roman" w:eastAsia="Times New Roman" w:hAnsi="Times New Roman" w:cs="Times New Roman"/>
                <w:color w:val="000000"/>
              </w:rPr>
              <w:t>7500</w:t>
            </w:r>
          </w:p>
        </w:tc>
        <w:tc>
          <w:tcPr>
            <w:tcW w:w="1408" w:type="dxa"/>
            <w:tcBorders>
              <w:left w:val="single" w:sz="4" w:space="0" w:color="auto"/>
            </w:tcBorders>
            <w:noWrap/>
            <w:vAlign w:val="center"/>
            <w:hideMark/>
          </w:tcPr>
          <w:p w14:paraId="47D24A9A" w14:textId="77777777" w:rsidR="00A711D4" w:rsidRPr="00BF6418" w:rsidRDefault="00A711D4" w:rsidP="004819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2210</w:t>
            </w:r>
            <w:r w:rsidRPr="00BF6418">
              <w:rPr>
                <w:rFonts w:ascii="Times New Roman" w:hAnsi="Times New Roman" w:cs="Times New Roman"/>
                <w:color w:val="000000"/>
              </w:rPr>
              <w:br/>
              <w:t>(2170, 2250)</w:t>
            </w:r>
          </w:p>
        </w:tc>
        <w:tc>
          <w:tcPr>
            <w:tcW w:w="1794" w:type="dxa"/>
            <w:noWrap/>
            <w:vAlign w:val="center"/>
            <w:hideMark/>
          </w:tcPr>
          <w:p w14:paraId="6984D04E" w14:textId="77777777" w:rsidR="00A711D4" w:rsidRPr="00BF6418" w:rsidRDefault="00A711D4" w:rsidP="004819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2050</w:t>
            </w:r>
            <w:r w:rsidRPr="00BF6418">
              <w:rPr>
                <w:rFonts w:ascii="Times New Roman" w:hAnsi="Times New Roman" w:cs="Times New Roman"/>
                <w:color w:val="000000"/>
              </w:rPr>
              <w:br/>
              <w:t>(2010, 2090)</w:t>
            </w:r>
          </w:p>
        </w:tc>
        <w:tc>
          <w:tcPr>
            <w:tcW w:w="1980" w:type="dxa"/>
            <w:noWrap/>
            <w:vAlign w:val="center"/>
            <w:hideMark/>
          </w:tcPr>
          <w:p w14:paraId="273842CA" w14:textId="77777777" w:rsidR="00A711D4" w:rsidRPr="00BF6418" w:rsidRDefault="00A711D4" w:rsidP="004819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-158</w:t>
            </w:r>
            <w:r w:rsidRPr="00BF6418">
              <w:rPr>
                <w:rFonts w:ascii="Times New Roman" w:hAnsi="Times New Roman" w:cs="Times New Roman"/>
                <w:color w:val="000000"/>
              </w:rPr>
              <w:br/>
              <w:t>(-191, -133)</w:t>
            </w:r>
          </w:p>
        </w:tc>
        <w:tc>
          <w:tcPr>
            <w:tcW w:w="1560" w:type="dxa"/>
            <w:noWrap/>
            <w:vAlign w:val="center"/>
            <w:hideMark/>
          </w:tcPr>
          <w:p w14:paraId="3466FBED" w14:textId="77777777" w:rsidR="00A711D4" w:rsidRPr="00BF6418" w:rsidRDefault="00A711D4" w:rsidP="004819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-1190</w:t>
            </w:r>
            <w:r w:rsidRPr="00BF6418">
              <w:rPr>
                <w:rFonts w:ascii="Times New Roman" w:hAnsi="Times New Roman" w:cs="Times New Roman"/>
                <w:color w:val="000000"/>
              </w:rPr>
              <w:br/>
              <w:t>(-1610, -950)</w:t>
            </w:r>
          </w:p>
        </w:tc>
      </w:tr>
      <w:tr w:rsidR="00A711D4" w:rsidRPr="00DB3206" w14:paraId="1CFE67E3" w14:textId="77777777" w:rsidTr="004819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8" w:type="dxa"/>
            <w:tcBorders>
              <w:right w:val="single" w:sz="4" w:space="0" w:color="auto"/>
            </w:tcBorders>
            <w:noWrap/>
            <w:vAlign w:val="center"/>
            <w:hideMark/>
          </w:tcPr>
          <w:p w14:paraId="1961B462" w14:textId="77777777" w:rsidR="00A711D4" w:rsidRPr="00DB3206" w:rsidRDefault="00A711D4" w:rsidP="004819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B3206">
              <w:rPr>
                <w:rFonts w:ascii="Times New Roman" w:eastAsia="Times New Roman" w:hAnsi="Times New Roman" w:cs="Times New Roman"/>
                <w:color w:val="000000"/>
              </w:rPr>
              <w:t>5000</w:t>
            </w:r>
          </w:p>
        </w:tc>
        <w:tc>
          <w:tcPr>
            <w:tcW w:w="1408" w:type="dxa"/>
            <w:tcBorders>
              <w:left w:val="single" w:sz="4" w:space="0" w:color="auto"/>
            </w:tcBorders>
            <w:noWrap/>
            <w:vAlign w:val="center"/>
            <w:hideMark/>
          </w:tcPr>
          <w:p w14:paraId="5451C295" w14:textId="77777777" w:rsidR="00A711D4" w:rsidRPr="00BF6418" w:rsidRDefault="00A711D4" w:rsidP="004819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1600</w:t>
            </w:r>
            <w:r w:rsidRPr="00BF6418">
              <w:rPr>
                <w:rFonts w:ascii="Times New Roman" w:hAnsi="Times New Roman" w:cs="Times New Roman"/>
                <w:color w:val="000000"/>
              </w:rPr>
              <w:br/>
              <w:t>(1570, 1640)</w:t>
            </w:r>
          </w:p>
        </w:tc>
        <w:tc>
          <w:tcPr>
            <w:tcW w:w="1794" w:type="dxa"/>
            <w:noWrap/>
            <w:vAlign w:val="center"/>
            <w:hideMark/>
          </w:tcPr>
          <w:p w14:paraId="5FA2A3B2" w14:textId="77777777" w:rsidR="00A711D4" w:rsidRPr="00BF6418" w:rsidRDefault="00A711D4" w:rsidP="004819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1490</w:t>
            </w:r>
            <w:r w:rsidRPr="00BF6418">
              <w:rPr>
                <w:rFonts w:ascii="Times New Roman" w:hAnsi="Times New Roman" w:cs="Times New Roman"/>
                <w:color w:val="000000"/>
              </w:rPr>
              <w:br/>
              <w:t>(1460, 1530)</w:t>
            </w:r>
          </w:p>
        </w:tc>
        <w:tc>
          <w:tcPr>
            <w:tcW w:w="1980" w:type="dxa"/>
            <w:noWrap/>
            <w:vAlign w:val="center"/>
            <w:hideMark/>
          </w:tcPr>
          <w:p w14:paraId="7D6ECE22" w14:textId="77777777" w:rsidR="00A711D4" w:rsidRPr="00BF6418" w:rsidRDefault="00A711D4" w:rsidP="004819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-112</w:t>
            </w:r>
            <w:r w:rsidRPr="00BF6418">
              <w:rPr>
                <w:rFonts w:ascii="Times New Roman" w:hAnsi="Times New Roman" w:cs="Times New Roman"/>
                <w:color w:val="000000"/>
              </w:rPr>
              <w:br/>
              <w:t>(-135, -94)</w:t>
            </w:r>
          </w:p>
        </w:tc>
        <w:tc>
          <w:tcPr>
            <w:tcW w:w="1560" w:type="dxa"/>
            <w:noWrap/>
            <w:vAlign w:val="center"/>
            <w:hideMark/>
          </w:tcPr>
          <w:p w14:paraId="1EE6F2D4" w14:textId="77777777" w:rsidR="00A711D4" w:rsidRPr="00BF6418" w:rsidRDefault="00A711D4" w:rsidP="004819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-840</w:t>
            </w:r>
            <w:r w:rsidRPr="00BF6418">
              <w:rPr>
                <w:rFonts w:ascii="Times New Roman" w:hAnsi="Times New Roman" w:cs="Times New Roman"/>
                <w:color w:val="000000"/>
              </w:rPr>
              <w:br/>
              <w:t>(-1130, -680)</w:t>
            </w:r>
          </w:p>
        </w:tc>
      </w:tr>
      <w:tr w:rsidR="00A711D4" w:rsidRPr="00DB3206" w14:paraId="61FD11AB" w14:textId="77777777" w:rsidTr="0048198B">
        <w:trPr>
          <w:trHeight w:val="300"/>
          <w:jc w:val="center"/>
        </w:trPr>
        <w:tc>
          <w:tcPr>
            <w:cnfStyle w:val="001000000000" w:firstRow="0" w:lastRow="0" w:firstColumn="1" w:lastColumn="0" w:oddVBand="0" w:evenVBand="0" w:oddHBand="0" w:evenHBand="0" w:firstRowFirstColumn="0" w:firstRowLastColumn="0" w:lastRowFirstColumn="0" w:lastRowLastColumn="0"/>
            <w:tcW w:w="1208" w:type="dxa"/>
            <w:tcBorders>
              <w:right w:val="single" w:sz="4" w:space="0" w:color="auto"/>
            </w:tcBorders>
            <w:noWrap/>
            <w:vAlign w:val="center"/>
            <w:hideMark/>
          </w:tcPr>
          <w:p w14:paraId="66E44422" w14:textId="77777777" w:rsidR="00A711D4" w:rsidRPr="00DB3206" w:rsidRDefault="00A711D4" w:rsidP="004819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B3206">
              <w:rPr>
                <w:rFonts w:ascii="Times New Roman" w:eastAsia="Times New Roman" w:hAnsi="Times New Roman" w:cs="Times New Roman"/>
                <w:color w:val="000000"/>
              </w:rPr>
              <w:t>2500</w:t>
            </w:r>
          </w:p>
        </w:tc>
        <w:tc>
          <w:tcPr>
            <w:tcW w:w="1408" w:type="dxa"/>
            <w:tcBorders>
              <w:left w:val="single" w:sz="4" w:space="0" w:color="auto"/>
            </w:tcBorders>
            <w:noWrap/>
            <w:vAlign w:val="center"/>
            <w:hideMark/>
          </w:tcPr>
          <w:p w14:paraId="5E16AFEE" w14:textId="77777777" w:rsidR="00A711D4" w:rsidRPr="00BF6418" w:rsidRDefault="00A711D4" w:rsidP="004819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1000</w:t>
            </w:r>
            <w:r w:rsidRPr="00BF6418">
              <w:rPr>
                <w:rFonts w:ascii="Times New Roman" w:hAnsi="Times New Roman" w:cs="Times New Roman"/>
                <w:color w:val="000000"/>
              </w:rPr>
              <w:br/>
              <w:t>(970, 1030)</w:t>
            </w:r>
          </w:p>
        </w:tc>
        <w:tc>
          <w:tcPr>
            <w:tcW w:w="1794" w:type="dxa"/>
            <w:noWrap/>
            <w:vAlign w:val="center"/>
            <w:hideMark/>
          </w:tcPr>
          <w:p w14:paraId="276826A9" w14:textId="77777777" w:rsidR="00A711D4" w:rsidRPr="00BF6418" w:rsidRDefault="00A711D4" w:rsidP="004819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940</w:t>
            </w:r>
            <w:r w:rsidRPr="00BF6418">
              <w:rPr>
                <w:rFonts w:ascii="Times New Roman" w:hAnsi="Times New Roman" w:cs="Times New Roman"/>
                <w:color w:val="000000"/>
              </w:rPr>
              <w:br/>
              <w:t>(910, 970)</w:t>
            </w:r>
          </w:p>
        </w:tc>
        <w:tc>
          <w:tcPr>
            <w:tcW w:w="1980" w:type="dxa"/>
            <w:noWrap/>
            <w:vAlign w:val="center"/>
            <w:hideMark/>
          </w:tcPr>
          <w:p w14:paraId="619FFC22" w14:textId="77777777" w:rsidR="00A711D4" w:rsidRPr="00BF6418" w:rsidRDefault="00A711D4" w:rsidP="004819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-65</w:t>
            </w:r>
            <w:r w:rsidRPr="00BF6418">
              <w:rPr>
                <w:rFonts w:ascii="Times New Roman" w:hAnsi="Times New Roman" w:cs="Times New Roman"/>
                <w:color w:val="000000"/>
              </w:rPr>
              <w:br/>
              <w:t>(-79, -55)</w:t>
            </w:r>
          </w:p>
        </w:tc>
        <w:tc>
          <w:tcPr>
            <w:tcW w:w="1560" w:type="dxa"/>
            <w:noWrap/>
            <w:vAlign w:val="center"/>
            <w:hideMark/>
          </w:tcPr>
          <w:p w14:paraId="51987CEB" w14:textId="77777777" w:rsidR="00A711D4" w:rsidRPr="00BF6418" w:rsidRDefault="00A711D4" w:rsidP="004819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-490</w:t>
            </w:r>
            <w:r w:rsidRPr="00BF6418">
              <w:rPr>
                <w:rFonts w:ascii="Times New Roman" w:hAnsi="Times New Roman" w:cs="Times New Roman"/>
                <w:color w:val="000000"/>
              </w:rPr>
              <w:br/>
              <w:t>(-660, -400)</w:t>
            </w:r>
          </w:p>
        </w:tc>
      </w:tr>
      <w:tr w:rsidR="00A711D4" w:rsidRPr="00DB3206" w14:paraId="0FD92ABC" w14:textId="77777777" w:rsidTr="004819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8" w:type="dxa"/>
            <w:tcBorders>
              <w:right w:val="single" w:sz="4" w:space="0" w:color="auto"/>
            </w:tcBorders>
            <w:noWrap/>
            <w:vAlign w:val="center"/>
            <w:hideMark/>
          </w:tcPr>
          <w:p w14:paraId="449BC635" w14:textId="77777777" w:rsidR="00A711D4" w:rsidRPr="00DB3206" w:rsidRDefault="00A711D4" w:rsidP="004819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B3206">
              <w:rPr>
                <w:rFonts w:ascii="Times New Roman" w:eastAsia="Times New Roman" w:hAnsi="Times New Roman" w:cs="Times New Roman"/>
                <w:color w:val="000000"/>
              </w:rPr>
              <w:t>1000</w:t>
            </w:r>
          </w:p>
        </w:tc>
        <w:tc>
          <w:tcPr>
            <w:tcW w:w="1408" w:type="dxa"/>
            <w:tcBorders>
              <w:left w:val="single" w:sz="4" w:space="0" w:color="auto"/>
            </w:tcBorders>
            <w:noWrap/>
            <w:vAlign w:val="center"/>
            <w:hideMark/>
          </w:tcPr>
          <w:p w14:paraId="270FA71D" w14:textId="77777777" w:rsidR="00A711D4" w:rsidRPr="00BF6418" w:rsidRDefault="00A711D4" w:rsidP="004819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640</w:t>
            </w:r>
            <w:r w:rsidRPr="00BF6418">
              <w:rPr>
                <w:rFonts w:ascii="Times New Roman" w:hAnsi="Times New Roman" w:cs="Times New Roman"/>
                <w:color w:val="000000"/>
              </w:rPr>
              <w:br/>
              <w:t>(610, 670)</w:t>
            </w:r>
          </w:p>
        </w:tc>
        <w:tc>
          <w:tcPr>
            <w:tcW w:w="1794" w:type="dxa"/>
            <w:noWrap/>
            <w:vAlign w:val="center"/>
            <w:hideMark/>
          </w:tcPr>
          <w:p w14:paraId="1E8ABE6E" w14:textId="77777777" w:rsidR="00A711D4" w:rsidRPr="00BF6418" w:rsidRDefault="00A711D4" w:rsidP="004819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600</w:t>
            </w:r>
            <w:r w:rsidRPr="00BF6418">
              <w:rPr>
                <w:rFonts w:ascii="Times New Roman" w:hAnsi="Times New Roman" w:cs="Times New Roman"/>
                <w:color w:val="000000"/>
              </w:rPr>
              <w:br/>
              <w:t>(570, 630)</w:t>
            </w:r>
          </w:p>
        </w:tc>
        <w:tc>
          <w:tcPr>
            <w:tcW w:w="1980" w:type="dxa"/>
            <w:noWrap/>
            <w:vAlign w:val="center"/>
            <w:hideMark/>
          </w:tcPr>
          <w:p w14:paraId="4BB852F5" w14:textId="77777777" w:rsidR="00A711D4" w:rsidRPr="00BF6418" w:rsidRDefault="00A711D4" w:rsidP="004819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-38</w:t>
            </w:r>
            <w:r w:rsidRPr="00BF6418">
              <w:rPr>
                <w:rFonts w:ascii="Times New Roman" w:hAnsi="Times New Roman" w:cs="Times New Roman"/>
                <w:color w:val="000000"/>
              </w:rPr>
              <w:br/>
              <w:t>(-45, -32)</w:t>
            </w:r>
          </w:p>
        </w:tc>
        <w:tc>
          <w:tcPr>
            <w:tcW w:w="1560" w:type="dxa"/>
            <w:noWrap/>
            <w:vAlign w:val="center"/>
            <w:hideMark/>
          </w:tcPr>
          <w:p w14:paraId="79536867" w14:textId="77777777" w:rsidR="00A711D4" w:rsidRPr="00BF6418" w:rsidRDefault="00A711D4" w:rsidP="004819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w:t>
            </w:r>
            <w:r w:rsidRPr="00BF6418">
              <w:rPr>
                <w:rFonts w:ascii="Times New Roman" w:hAnsi="Times New Roman" w:cs="Times New Roman"/>
                <w:color w:val="000000"/>
              </w:rPr>
              <w:t>-280</w:t>
            </w:r>
            <w:r w:rsidRPr="00BF6418">
              <w:rPr>
                <w:rFonts w:ascii="Times New Roman" w:hAnsi="Times New Roman" w:cs="Times New Roman"/>
                <w:color w:val="000000"/>
              </w:rPr>
              <w:br/>
              <w:t>(-380, -230)</w:t>
            </w:r>
          </w:p>
        </w:tc>
      </w:tr>
    </w:tbl>
    <w:p w14:paraId="194936C1" w14:textId="77777777" w:rsidR="00A711D4" w:rsidRPr="00DB3206" w:rsidRDefault="00A711D4" w:rsidP="00A711D4">
      <w:pPr>
        <w:spacing w:after="0"/>
        <w:rPr>
          <w:rFonts w:ascii="Times New Roman" w:hAnsi="Times New Roman" w:cs="Times New Roman"/>
          <w:sz w:val="18"/>
          <w:szCs w:val="18"/>
        </w:rPr>
      </w:pPr>
      <w:r w:rsidRPr="00DB3206">
        <w:rPr>
          <w:rFonts w:ascii="Times New Roman" w:hAnsi="Times New Roman" w:cs="Times New Roman"/>
          <w:sz w:val="18"/>
          <w:szCs w:val="18"/>
        </w:rPr>
        <w:t>SoC, Standard of Care; ICER, Incremental Cost-Effectiveness Ratio</w:t>
      </w:r>
    </w:p>
    <w:p w14:paraId="28C65664" w14:textId="77777777" w:rsidR="00A711D4" w:rsidRPr="000416A3" w:rsidRDefault="00A711D4" w:rsidP="00A711D4">
      <w:pPr>
        <w:spacing w:after="0"/>
        <w:rPr>
          <w:rFonts w:ascii="Times New Roman" w:hAnsi="Times New Roman" w:cs="Times New Roman"/>
          <w:sz w:val="18"/>
          <w:szCs w:val="18"/>
        </w:rPr>
      </w:pPr>
      <w:r w:rsidRPr="000416A3">
        <w:rPr>
          <w:rFonts w:ascii="Times New Roman" w:hAnsi="Times New Roman" w:cs="Times New Roman"/>
          <w:sz w:val="18"/>
          <w:szCs w:val="18"/>
        </w:rPr>
        <w:t>*The lifetime costs of HIV care were fixed at specific values, while all other model parameters were varied according to the ranges defined in Table 1. Values represent simulations of an indeterminate range defined by Ct≥33 at a prevalence of 2.5% and with 15% confirmatory testing</w:t>
      </w:r>
      <w:r>
        <w:rPr>
          <w:rFonts w:ascii="Times New Roman" w:hAnsi="Times New Roman" w:cs="Times New Roman"/>
          <w:sz w:val="18"/>
          <w:szCs w:val="18"/>
        </w:rPr>
        <w:t>. Lifetime costs of HIV care are presented in 2017 USD.</w:t>
      </w:r>
    </w:p>
    <w:p w14:paraId="2977DAF0" w14:textId="5BED10B8" w:rsidR="00BF6418" w:rsidRDefault="00BF6418" w:rsidP="00BF6418">
      <w:pPr>
        <w:spacing w:after="0"/>
        <w:rPr>
          <w:rFonts w:ascii="Times New Roman" w:hAnsi="Times New Roman" w:cs="Times New Roman"/>
          <w:sz w:val="18"/>
          <w:szCs w:val="18"/>
        </w:rPr>
      </w:pPr>
    </w:p>
    <w:p w14:paraId="30A74D3E" w14:textId="77777777" w:rsidR="00A711D4" w:rsidRPr="00DB3206" w:rsidRDefault="00A711D4" w:rsidP="00BF6418">
      <w:pPr>
        <w:spacing w:after="0"/>
        <w:rPr>
          <w:rFonts w:ascii="Times New Roman" w:hAnsi="Times New Roman" w:cs="Times New Roman"/>
          <w:sz w:val="18"/>
          <w:szCs w:val="18"/>
        </w:rPr>
      </w:pPr>
    </w:p>
    <w:p w14:paraId="461E8461" w14:textId="77777777" w:rsidR="00A80B58" w:rsidRDefault="00A80B58">
      <w:pPr>
        <w:rPr>
          <w:rFonts w:ascii="Times New Roman" w:hAnsi="Times New Roman" w:cs="Times New Roman"/>
        </w:rPr>
      </w:pPr>
      <w:r>
        <w:rPr>
          <w:rFonts w:ascii="Times New Roman" w:hAnsi="Times New Roman" w:cs="Times New Roman"/>
        </w:rPr>
        <w:br w:type="page"/>
      </w:r>
    </w:p>
    <w:p w14:paraId="1BC957C1" w14:textId="77777777" w:rsidR="00A80B58" w:rsidRDefault="00A80B58" w:rsidP="00A80B58">
      <w:pPr>
        <w:rPr>
          <w:rFonts w:ascii="Times New Roman" w:hAnsi="Times New Roman" w:cs="Times New Roman"/>
          <w:b/>
        </w:rPr>
      </w:pPr>
      <w:r>
        <w:rPr>
          <w:rFonts w:ascii="Times New Roman" w:hAnsi="Times New Roman" w:cs="Times New Roman"/>
          <w:b/>
        </w:rPr>
        <w:lastRenderedPageBreak/>
        <w:t>Ideal Performance of the Standard of Care</w:t>
      </w:r>
    </w:p>
    <w:p w14:paraId="16384AC7" w14:textId="77777777" w:rsidR="00A80B58" w:rsidRDefault="00A80B58" w:rsidP="00A80B58">
      <w:pPr>
        <w:rPr>
          <w:rFonts w:ascii="Times New Roman" w:hAnsi="Times New Roman" w:cs="Times New Roman"/>
        </w:rPr>
      </w:pPr>
      <w:r>
        <w:rPr>
          <w:rFonts w:ascii="Times New Roman" w:hAnsi="Times New Roman" w:cs="Times New Roman"/>
        </w:rPr>
        <w:tab/>
        <w:t>An important reason for evaluating the potential performance of an Indeterminate Range policy is the reality that, in some settings, recommended confirmatory testing of infants with an initial non-negative EID result is not performed or performed only after long delays. To contextualize the results in our primary analysis, we present the results of an “ideal” SoC scenario in which all infants with an initial non-negative result receive confirmatory testing. At a prevalence of 2.5%, such a scenario would result in 0.019 infants unnecessarily receiving ART (Supplementary Table S2), compared with 11.6 infants in our reference scenario (in which only 15% of infants receive confirmatory testing, Table 2).</w:t>
      </w:r>
    </w:p>
    <w:p w14:paraId="2D32F317" w14:textId="77777777" w:rsidR="001F31A7" w:rsidRDefault="001F31A7" w:rsidP="00A80B58">
      <w:pPr>
        <w:rPr>
          <w:rFonts w:ascii="Times New Roman" w:hAnsi="Times New Roman" w:cs="Times New Roman"/>
          <w:b/>
        </w:rPr>
      </w:pPr>
    </w:p>
    <w:p w14:paraId="08996899" w14:textId="0D8B1F0D" w:rsidR="00A80B58" w:rsidRPr="00DC0769" w:rsidRDefault="00A80B58" w:rsidP="00A80B58">
      <w:pPr>
        <w:rPr>
          <w:rFonts w:ascii="Times New Roman" w:hAnsi="Times New Roman" w:cs="Times New Roman"/>
          <w:b/>
        </w:rPr>
      </w:pPr>
      <w:r>
        <w:rPr>
          <w:rFonts w:ascii="Times New Roman" w:hAnsi="Times New Roman" w:cs="Times New Roman"/>
          <w:b/>
        </w:rPr>
        <w:t>Cost-Effectiveness</w:t>
      </w:r>
      <w:r w:rsidRPr="00DC0769">
        <w:rPr>
          <w:rFonts w:ascii="Times New Roman" w:hAnsi="Times New Roman" w:cs="Times New Roman"/>
          <w:b/>
        </w:rPr>
        <w:t xml:space="preserve"> Outcomes</w:t>
      </w:r>
    </w:p>
    <w:p w14:paraId="004E60D2" w14:textId="2A2A2D39" w:rsidR="00A80B58" w:rsidRPr="00DC0769" w:rsidRDefault="00A80B58" w:rsidP="00A80B58">
      <w:pPr>
        <w:ind w:firstLine="720"/>
        <w:rPr>
          <w:rFonts w:ascii="Times New Roman" w:hAnsi="Times New Roman" w:cs="Times New Roman"/>
        </w:rPr>
      </w:pPr>
      <w:r w:rsidRPr="00DC0769">
        <w:rPr>
          <w:rFonts w:ascii="Times New Roman" w:hAnsi="Times New Roman" w:cs="Times New Roman"/>
        </w:rPr>
        <w:t xml:space="preserve">Estimates of the total costs and DALYs under each algorithm in the primary analysis (2.5% HIV prevalence, 15% probability of confirmatory testing) </w:t>
      </w:r>
      <w:r>
        <w:rPr>
          <w:rFonts w:ascii="Times New Roman" w:hAnsi="Times New Roman" w:cs="Times New Roman"/>
        </w:rPr>
        <w:t xml:space="preserve">and priority confirmatory testing analysis </w:t>
      </w:r>
      <w:r w:rsidRPr="00DC0769">
        <w:rPr>
          <w:rFonts w:ascii="Times New Roman" w:hAnsi="Times New Roman" w:cs="Times New Roman"/>
        </w:rPr>
        <w:t xml:space="preserve">are presented in Table </w:t>
      </w:r>
      <w:r>
        <w:rPr>
          <w:rFonts w:ascii="Times New Roman" w:hAnsi="Times New Roman" w:cs="Times New Roman"/>
        </w:rPr>
        <w:t>3</w:t>
      </w:r>
      <w:r w:rsidRPr="00DC0769">
        <w:rPr>
          <w:rFonts w:ascii="Times New Roman" w:hAnsi="Times New Roman" w:cs="Times New Roman"/>
        </w:rPr>
        <w:t xml:space="preserve">. Incremental total costs were calculated for each potential Ct cutoff (used to define the indeterminate range), relative to the cost of the standard-of-care (SoC) algorithm. Incremental DALYs for each potential cutoff were calculated relative to the total DALYs accrued under the </w:t>
      </w:r>
      <w:proofErr w:type="spellStart"/>
      <w:r w:rsidRPr="00DC0769">
        <w:rPr>
          <w:rFonts w:ascii="Times New Roman" w:hAnsi="Times New Roman" w:cs="Times New Roman"/>
        </w:rPr>
        <w:t>SoC.</w:t>
      </w:r>
      <w:proofErr w:type="spellEnd"/>
      <w:r w:rsidRPr="00DC0769">
        <w:rPr>
          <w:rFonts w:ascii="Times New Roman" w:hAnsi="Times New Roman" w:cs="Times New Roman"/>
        </w:rPr>
        <w:t xml:space="preserve"> Incremental cost-effectiveness ratio (ICER) values for scenarios of 1%, 2.5%, and 5% HIV prevalence are presented in Figure S</w:t>
      </w:r>
      <w:r>
        <w:rPr>
          <w:rFonts w:ascii="Times New Roman" w:hAnsi="Times New Roman" w:cs="Times New Roman"/>
        </w:rPr>
        <w:t>8</w:t>
      </w:r>
      <w:r w:rsidRPr="00DC0769">
        <w:rPr>
          <w:rFonts w:ascii="Times New Roman" w:hAnsi="Times New Roman" w:cs="Times New Roman"/>
        </w:rPr>
        <w:t>. Parentheses show 95% uncertainty ranges. As the cutoff value increases from 36 to 30 (that is, the indeterminate range moves further from the SoC cutoff, such that more infants will receive indeterminate results), the incremental cost of the SoC increases as relatively more individuals are put on unnecessary ART, but the incremental DALYs of the Indeterminate Range algorithm also increase as fewer HIV-infected infants receive treatment.</w:t>
      </w:r>
    </w:p>
    <w:p w14:paraId="59E50458" w14:textId="77777777" w:rsidR="00A80B58" w:rsidRPr="00DC0769" w:rsidRDefault="00A80B58" w:rsidP="00A80B58">
      <w:pPr>
        <w:rPr>
          <w:rFonts w:ascii="Times New Roman" w:hAnsi="Times New Roman" w:cs="Times New Roman"/>
          <w:b/>
        </w:rPr>
      </w:pPr>
    </w:p>
    <w:p w14:paraId="3008D489" w14:textId="346F8160" w:rsidR="00771F7D" w:rsidRPr="00771F7D" w:rsidRDefault="00A80B58" w:rsidP="00894068">
      <w:pPr>
        <w:rPr>
          <w:rFonts w:ascii="Times New Roman" w:hAnsi="Times New Roman" w:cs="Times New Roman"/>
          <w:sz w:val="18"/>
        </w:rPr>
      </w:pPr>
      <w:r w:rsidRPr="00DC0769">
        <w:rPr>
          <w:rFonts w:ascii="Times New Roman" w:hAnsi="Times New Roman" w:cs="Times New Roman"/>
          <w:b/>
        </w:rPr>
        <w:br w:type="page"/>
      </w:r>
    </w:p>
    <w:p w14:paraId="1762D803" w14:textId="77777777" w:rsidR="00B15E26" w:rsidRDefault="00B15E26" w:rsidP="00B15E26">
      <w:pPr>
        <w:rPr>
          <w:rFonts w:ascii="Times New Roman" w:hAnsi="Times New Roman" w:cs="Times New Roman"/>
          <w:b/>
        </w:rPr>
      </w:pPr>
      <w:r w:rsidRPr="00C25F1B">
        <w:rPr>
          <w:rFonts w:ascii="Times New Roman" w:hAnsi="Times New Roman" w:cs="Times New Roman"/>
          <w:b/>
          <w:color w:val="222222"/>
          <w:shd w:val="clear" w:color="auto" w:fill="FFFFFF"/>
        </w:rPr>
        <w:lastRenderedPageBreak/>
        <w:t xml:space="preserve">Table </w:t>
      </w:r>
      <w:r>
        <w:rPr>
          <w:rFonts w:ascii="Times New Roman" w:hAnsi="Times New Roman" w:cs="Times New Roman"/>
          <w:b/>
          <w:color w:val="222222"/>
          <w:shd w:val="clear" w:color="auto" w:fill="FFFFFF"/>
        </w:rPr>
        <w:t>S2</w:t>
      </w:r>
      <w:r w:rsidRPr="00C25F1B">
        <w:rPr>
          <w:rFonts w:ascii="Times New Roman" w:hAnsi="Times New Roman" w:cs="Times New Roman"/>
          <w:b/>
          <w:color w:val="222222"/>
          <w:shd w:val="clear" w:color="auto" w:fill="FFFFFF"/>
        </w:rPr>
        <w:t>.</w:t>
      </w:r>
      <w:r>
        <w:rPr>
          <w:rFonts w:ascii="Times New Roman" w:hAnsi="Times New Roman" w:cs="Times New Roman"/>
          <w:b/>
          <w:color w:val="222222"/>
          <w:shd w:val="clear" w:color="auto" w:fill="FFFFFF"/>
        </w:rPr>
        <w:t xml:space="preserve"> Ideal</w:t>
      </w:r>
      <w:r w:rsidRPr="00C25F1B">
        <w:rPr>
          <w:rFonts w:ascii="Times New Roman" w:hAnsi="Times New Roman" w:cs="Times New Roman"/>
          <w:b/>
          <w:color w:val="222222"/>
          <w:shd w:val="clear" w:color="auto" w:fill="FFFFFF"/>
        </w:rPr>
        <w:t xml:space="preserve"> </w:t>
      </w:r>
      <w:r>
        <w:rPr>
          <w:rFonts w:ascii="Times New Roman" w:hAnsi="Times New Roman" w:cs="Times New Roman"/>
          <w:b/>
        </w:rPr>
        <w:t>Performance of SoC with 100% Confirmatory Testing</w:t>
      </w:r>
    </w:p>
    <w:tbl>
      <w:tblPr>
        <w:tblStyle w:val="PlainTable4"/>
        <w:tblW w:w="10170" w:type="dxa"/>
        <w:tblInd w:w="-270" w:type="dxa"/>
        <w:tblLayout w:type="fixed"/>
        <w:tblLook w:val="04A0" w:firstRow="1" w:lastRow="0" w:firstColumn="1" w:lastColumn="0" w:noHBand="0" w:noVBand="1"/>
      </w:tblPr>
      <w:tblGrid>
        <w:gridCol w:w="1260"/>
        <w:gridCol w:w="1620"/>
        <w:gridCol w:w="1260"/>
        <w:gridCol w:w="1260"/>
        <w:gridCol w:w="1710"/>
        <w:gridCol w:w="1538"/>
        <w:gridCol w:w="1522"/>
      </w:tblGrid>
      <w:tr w:rsidR="00B15E26" w:rsidRPr="00653C21" w14:paraId="552BBA32" w14:textId="77777777" w:rsidTr="0048198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Borders>
              <w:bottom w:val="single" w:sz="4" w:space="0" w:color="auto"/>
              <w:right w:val="single" w:sz="4" w:space="0" w:color="auto"/>
            </w:tcBorders>
            <w:noWrap/>
            <w:hideMark/>
          </w:tcPr>
          <w:p w14:paraId="46059FD7" w14:textId="77777777" w:rsidR="00B15E26" w:rsidRPr="00653C21" w:rsidRDefault="00B15E26" w:rsidP="0048198B">
            <w:pPr>
              <w:jc w:val="center"/>
              <w:rPr>
                <w:rFonts w:ascii="Times New Roman" w:hAnsi="Times New Roman" w:cs="Times New Roman"/>
              </w:rPr>
            </w:pPr>
            <w:r w:rsidRPr="00653C21">
              <w:rPr>
                <w:rFonts w:ascii="Times New Roman" w:hAnsi="Times New Roman" w:cs="Times New Roman"/>
              </w:rPr>
              <w:t>Prevalence</w:t>
            </w:r>
          </w:p>
        </w:tc>
        <w:tc>
          <w:tcPr>
            <w:tcW w:w="1620" w:type="dxa"/>
            <w:tcBorders>
              <w:left w:val="single" w:sz="4" w:space="0" w:color="auto"/>
              <w:bottom w:val="single" w:sz="4" w:space="0" w:color="auto"/>
            </w:tcBorders>
            <w:noWrap/>
            <w:hideMark/>
          </w:tcPr>
          <w:p w14:paraId="60D1D026" w14:textId="77777777" w:rsidR="00B15E26" w:rsidRPr="00653C21" w:rsidRDefault="00B15E26" w:rsidP="004819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53C21">
              <w:rPr>
                <w:rFonts w:ascii="Times New Roman" w:hAnsi="Times New Roman" w:cs="Times New Roman"/>
              </w:rPr>
              <w:t>Confirmatory Tests Performed</w:t>
            </w:r>
          </w:p>
        </w:tc>
        <w:tc>
          <w:tcPr>
            <w:tcW w:w="1260" w:type="dxa"/>
            <w:tcBorders>
              <w:bottom w:val="single" w:sz="4" w:space="0" w:color="auto"/>
            </w:tcBorders>
            <w:noWrap/>
            <w:hideMark/>
          </w:tcPr>
          <w:p w14:paraId="6C2B21DC" w14:textId="77777777" w:rsidR="00B15E26" w:rsidRPr="00653C21" w:rsidRDefault="00B15E26" w:rsidP="004819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53C21">
              <w:rPr>
                <w:rFonts w:ascii="Times New Roman" w:hAnsi="Times New Roman" w:cs="Times New Roman"/>
              </w:rPr>
              <w:t>HIV-Infected Infants Potentially Missed</w:t>
            </w:r>
          </w:p>
        </w:tc>
        <w:tc>
          <w:tcPr>
            <w:tcW w:w="1260" w:type="dxa"/>
            <w:tcBorders>
              <w:bottom w:val="single" w:sz="4" w:space="0" w:color="auto"/>
            </w:tcBorders>
            <w:noWrap/>
            <w:hideMark/>
          </w:tcPr>
          <w:p w14:paraId="4DBEEFE1" w14:textId="77777777" w:rsidR="00B15E26" w:rsidRPr="00653C21" w:rsidRDefault="00B15E26" w:rsidP="004819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53C21">
              <w:rPr>
                <w:rFonts w:ascii="Times New Roman" w:hAnsi="Times New Roman" w:cs="Times New Roman"/>
              </w:rPr>
              <w:t>Total HIV-Related Death</w:t>
            </w:r>
            <w:r>
              <w:rPr>
                <w:rFonts w:ascii="Times New Roman" w:hAnsi="Times New Roman" w:cs="Times New Roman"/>
              </w:rPr>
              <w:t>s</w:t>
            </w:r>
          </w:p>
        </w:tc>
        <w:tc>
          <w:tcPr>
            <w:tcW w:w="1710" w:type="dxa"/>
            <w:tcBorders>
              <w:bottom w:val="single" w:sz="4" w:space="0" w:color="auto"/>
            </w:tcBorders>
            <w:noWrap/>
            <w:hideMark/>
          </w:tcPr>
          <w:p w14:paraId="3105676D" w14:textId="77777777" w:rsidR="00B15E26" w:rsidRPr="00653C21" w:rsidRDefault="00B15E26" w:rsidP="004819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53C21">
              <w:rPr>
                <w:rFonts w:ascii="Times New Roman" w:hAnsi="Times New Roman" w:cs="Times New Roman"/>
              </w:rPr>
              <w:t>Total DALYs</w:t>
            </w:r>
          </w:p>
        </w:tc>
        <w:tc>
          <w:tcPr>
            <w:tcW w:w="1538" w:type="dxa"/>
            <w:tcBorders>
              <w:bottom w:val="single" w:sz="4" w:space="0" w:color="auto"/>
            </w:tcBorders>
            <w:noWrap/>
            <w:hideMark/>
          </w:tcPr>
          <w:p w14:paraId="375D8E86" w14:textId="77777777" w:rsidR="00B15E26" w:rsidRPr="00653C21" w:rsidRDefault="00B15E26" w:rsidP="004819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53C21">
              <w:rPr>
                <w:rFonts w:ascii="Times New Roman" w:hAnsi="Times New Roman" w:cs="Times New Roman"/>
              </w:rPr>
              <w:t>HIV-Uninfected Infants on ART</w:t>
            </w:r>
          </w:p>
        </w:tc>
        <w:tc>
          <w:tcPr>
            <w:tcW w:w="1522" w:type="dxa"/>
            <w:tcBorders>
              <w:bottom w:val="single" w:sz="4" w:space="0" w:color="auto"/>
            </w:tcBorders>
            <w:noWrap/>
            <w:hideMark/>
          </w:tcPr>
          <w:p w14:paraId="1B3180ED" w14:textId="77777777" w:rsidR="00B15E26" w:rsidRPr="00653C21" w:rsidRDefault="00B15E26" w:rsidP="004819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53C21">
              <w:rPr>
                <w:rFonts w:ascii="Times New Roman" w:hAnsi="Times New Roman" w:cs="Times New Roman"/>
              </w:rPr>
              <w:t>Total Costs</w:t>
            </w:r>
            <w:r>
              <w:rPr>
                <w:rFonts w:ascii="Times New Roman" w:hAnsi="Times New Roman" w:cs="Times New Roman"/>
              </w:rPr>
              <w:t>*</w:t>
            </w:r>
            <w:r w:rsidRPr="00653C21">
              <w:rPr>
                <w:rFonts w:ascii="Times New Roman" w:hAnsi="Times New Roman" w:cs="Times New Roman"/>
              </w:rPr>
              <w:t xml:space="preserve"> </w:t>
            </w:r>
          </w:p>
        </w:tc>
      </w:tr>
      <w:tr w:rsidR="00B15E26" w:rsidRPr="00653C21" w14:paraId="553BAACC" w14:textId="77777777" w:rsidTr="004819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right w:val="single" w:sz="4" w:space="0" w:color="auto"/>
            </w:tcBorders>
            <w:noWrap/>
          </w:tcPr>
          <w:p w14:paraId="0992EF8D" w14:textId="77777777" w:rsidR="00B15E26" w:rsidRPr="00653C21" w:rsidRDefault="00B15E26" w:rsidP="0048198B">
            <w:pPr>
              <w:jc w:val="center"/>
              <w:rPr>
                <w:rFonts w:ascii="Times New Roman" w:hAnsi="Times New Roman" w:cs="Times New Roman"/>
              </w:rPr>
            </w:pPr>
            <w:r w:rsidRPr="00653C21">
              <w:rPr>
                <w:rFonts w:ascii="Times New Roman" w:hAnsi="Times New Roman" w:cs="Times New Roman"/>
              </w:rPr>
              <w:t>1%</w:t>
            </w:r>
          </w:p>
        </w:tc>
        <w:tc>
          <w:tcPr>
            <w:tcW w:w="1620" w:type="dxa"/>
            <w:tcBorders>
              <w:top w:val="single" w:sz="4" w:space="0" w:color="auto"/>
              <w:left w:val="single" w:sz="4" w:space="0" w:color="auto"/>
            </w:tcBorders>
            <w:noWrap/>
          </w:tcPr>
          <w:p w14:paraId="64FCB077"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 xml:space="preserve"> 113</w:t>
            </w:r>
            <w:r w:rsidRPr="00653C21">
              <w:rPr>
                <w:rFonts w:ascii="Times New Roman" w:hAnsi="Times New Roman" w:cs="Times New Roman"/>
              </w:rPr>
              <w:br/>
              <w:t>(110, 118)</w:t>
            </w:r>
          </w:p>
        </w:tc>
        <w:tc>
          <w:tcPr>
            <w:tcW w:w="1260" w:type="dxa"/>
            <w:tcBorders>
              <w:top w:val="single" w:sz="4" w:space="0" w:color="auto"/>
            </w:tcBorders>
            <w:noWrap/>
          </w:tcPr>
          <w:p w14:paraId="4D0AA091"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 xml:space="preserve"> 1.6</w:t>
            </w:r>
            <w:r w:rsidRPr="00653C21">
              <w:rPr>
                <w:rFonts w:ascii="Times New Roman" w:hAnsi="Times New Roman" w:cs="Times New Roman"/>
              </w:rPr>
              <w:br/>
              <w:t>( 1.3, 2.1)</w:t>
            </w:r>
          </w:p>
        </w:tc>
        <w:tc>
          <w:tcPr>
            <w:tcW w:w="1260" w:type="dxa"/>
            <w:tcBorders>
              <w:top w:val="single" w:sz="4" w:space="0" w:color="auto"/>
            </w:tcBorders>
            <w:noWrap/>
          </w:tcPr>
          <w:p w14:paraId="2BBEC4A0"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 xml:space="preserve"> 8.3</w:t>
            </w:r>
            <w:r w:rsidRPr="00653C21">
              <w:rPr>
                <w:rFonts w:ascii="Times New Roman" w:hAnsi="Times New Roman" w:cs="Times New Roman"/>
              </w:rPr>
              <w:br/>
              <w:t>(7.6, 9.1)</w:t>
            </w:r>
          </w:p>
        </w:tc>
        <w:tc>
          <w:tcPr>
            <w:tcW w:w="1710" w:type="dxa"/>
            <w:tcBorders>
              <w:top w:val="single" w:sz="4" w:space="0" w:color="auto"/>
            </w:tcBorders>
            <w:noWrap/>
          </w:tcPr>
          <w:p w14:paraId="508A01D2"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12963</w:t>
            </w:r>
            <w:r w:rsidRPr="00653C21">
              <w:rPr>
                <w:rFonts w:ascii="Times New Roman" w:hAnsi="Times New Roman" w:cs="Times New Roman"/>
              </w:rPr>
              <w:br/>
              <w:t>(11629, 14335)</w:t>
            </w:r>
          </w:p>
        </w:tc>
        <w:tc>
          <w:tcPr>
            <w:tcW w:w="1538" w:type="dxa"/>
            <w:tcBorders>
              <w:top w:val="single" w:sz="4" w:space="0" w:color="auto"/>
            </w:tcBorders>
            <w:noWrap/>
          </w:tcPr>
          <w:p w14:paraId="5974AB01"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0.019</w:t>
            </w:r>
            <w:r w:rsidRPr="00653C21">
              <w:rPr>
                <w:rFonts w:ascii="Times New Roman" w:hAnsi="Times New Roman" w:cs="Times New Roman"/>
              </w:rPr>
              <w:br/>
              <w:t>(0.012, 0.035)</w:t>
            </w:r>
          </w:p>
        </w:tc>
        <w:tc>
          <w:tcPr>
            <w:tcW w:w="1522" w:type="dxa"/>
            <w:tcBorders>
              <w:top w:val="single" w:sz="4" w:space="0" w:color="auto"/>
            </w:tcBorders>
            <w:noWrap/>
          </w:tcPr>
          <w:p w14:paraId="6BD13DC5"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w:t>
            </w:r>
            <w:r w:rsidRPr="00653C21">
              <w:rPr>
                <w:rFonts w:ascii="Times New Roman" w:hAnsi="Times New Roman" w:cs="Times New Roman"/>
              </w:rPr>
              <w:t>1210</w:t>
            </w:r>
            <w:r w:rsidRPr="00653C21">
              <w:rPr>
                <w:rFonts w:ascii="Times New Roman" w:hAnsi="Times New Roman" w:cs="Times New Roman"/>
              </w:rPr>
              <w:br/>
              <w:t>(1110, 1300)</w:t>
            </w:r>
          </w:p>
        </w:tc>
      </w:tr>
      <w:tr w:rsidR="00B15E26" w:rsidRPr="00653C21" w14:paraId="1D3732B2" w14:textId="77777777" w:rsidTr="0048198B">
        <w:trPr>
          <w:trHeight w:val="300"/>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noWrap/>
          </w:tcPr>
          <w:p w14:paraId="6D14343D" w14:textId="77777777" w:rsidR="00B15E26" w:rsidRPr="00653C21" w:rsidRDefault="00B15E26" w:rsidP="0048198B">
            <w:pPr>
              <w:jc w:val="center"/>
              <w:rPr>
                <w:rFonts w:ascii="Times New Roman" w:hAnsi="Times New Roman" w:cs="Times New Roman"/>
              </w:rPr>
            </w:pPr>
            <w:r w:rsidRPr="00653C21">
              <w:rPr>
                <w:rFonts w:ascii="Times New Roman" w:hAnsi="Times New Roman" w:cs="Times New Roman"/>
              </w:rPr>
              <w:t>2.5%</w:t>
            </w:r>
          </w:p>
        </w:tc>
        <w:tc>
          <w:tcPr>
            <w:tcW w:w="1620" w:type="dxa"/>
            <w:tcBorders>
              <w:left w:val="single" w:sz="4" w:space="0" w:color="auto"/>
            </w:tcBorders>
            <w:noWrap/>
          </w:tcPr>
          <w:p w14:paraId="3B250A16" w14:textId="77777777" w:rsidR="00B15E26" w:rsidRPr="00653C21" w:rsidRDefault="00B15E26" w:rsidP="004819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 xml:space="preserve"> 262</w:t>
            </w:r>
            <w:r w:rsidRPr="00653C21">
              <w:rPr>
                <w:rFonts w:ascii="Times New Roman" w:hAnsi="Times New Roman" w:cs="Times New Roman"/>
              </w:rPr>
              <w:br/>
              <w:t>(259, 266)</w:t>
            </w:r>
          </w:p>
        </w:tc>
        <w:tc>
          <w:tcPr>
            <w:tcW w:w="1260" w:type="dxa"/>
            <w:noWrap/>
          </w:tcPr>
          <w:p w14:paraId="1700C6A3" w14:textId="77777777" w:rsidR="00B15E26" w:rsidRPr="00653C21" w:rsidRDefault="00B15E26" w:rsidP="004819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 xml:space="preserve"> 4.0</w:t>
            </w:r>
            <w:r w:rsidRPr="00653C21">
              <w:rPr>
                <w:rFonts w:ascii="Times New Roman" w:hAnsi="Times New Roman" w:cs="Times New Roman"/>
              </w:rPr>
              <w:br/>
              <w:t>(3.2, 5.3)</w:t>
            </w:r>
          </w:p>
        </w:tc>
        <w:tc>
          <w:tcPr>
            <w:tcW w:w="1260" w:type="dxa"/>
            <w:noWrap/>
          </w:tcPr>
          <w:p w14:paraId="13D10A1F" w14:textId="77777777" w:rsidR="00B15E26" w:rsidRPr="00653C21" w:rsidRDefault="00B15E26" w:rsidP="004819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20.8</w:t>
            </w:r>
            <w:r w:rsidRPr="00653C21">
              <w:rPr>
                <w:rFonts w:ascii="Times New Roman" w:hAnsi="Times New Roman" w:cs="Times New Roman"/>
              </w:rPr>
              <w:br/>
              <w:t>(18.9, 22.7)</w:t>
            </w:r>
          </w:p>
        </w:tc>
        <w:tc>
          <w:tcPr>
            <w:tcW w:w="1710" w:type="dxa"/>
            <w:noWrap/>
          </w:tcPr>
          <w:p w14:paraId="557E15DC" w14:textId="77777777" w:rsidR="00B15E26" w:rsidRPr="00653C21" w:rsidRDefault="00B15E26" w:rsidP="004819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14641</w:t>
            </w:r>
            <w:r w:rsidRPr="00653C21">
              <w:rPr>
                <w:rFonts w:ascii="Times New Roman" w:hAnsi="Times New Roman" w:cs="Times New Roman"/>
              </w:rPr>
              <w:br/>
              <w:t>(13181, 16125)</w:t>
            </w:r>
          </w:p>
        </w:tc>
        <w:tc>
          <w:tcPr>
            <w:tcW w:w="1538" w:type="dxa"/>
            <w:noWrap/>
          </w:tcPr>
          <w:p w14:paraId="61198784" w14:textId="77777777" w:rsidR="00B15E26" w:rsidRPr="00653C21" w:rsidRDefault="00B15E26" w:rsidP="004819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0.019</w:t>
            </w:r>
            <w:r w:rsidRPr="00653C21">
              <w:rPr>
                <w:rFonts w:ascii="Times New Roman" w:hAnsi="Times New Roman" w:cs="Times New Roman"/>
              </w:rPr>
              <w:br/>
              <w:t>(0.012, 0.034)</w:t>
            </w:r>
          </w:p>
        </w:tc>
        <w:tc>
          <w:tcPr>
            <w:tcW w:w="1522" w:type="dxa"/>
            <w:noWrap/>
          </w:tcPr>
          <w:p w14:paraId="2B70B0B1" w14:textId="77777777" w:rsidR="00B15E26" w:rsidRPr="00653C21" w:rsidRDefault="00B15E26" w:rsidP="004819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w:t>
            </w:r>
            <w:r w:rsidRPr="00653C21">
              <w:rPr>
                <w:rFonts w:ascii="Times New Roman" w:hAnsi="Times New Roman" w:cs="Times New Roman"/>
              </w:rPr>
              <w:t>2670</w:t>
            </w:r>
            <w:r w:rsidRPr="00653C21">
              <w:rPr>
                <w:rFonts w:ascii="Times New Roman" w:hAnsi="Times New Roman" w:cs="Times New Roman"/>
              </w:rPr>
              <w:br/>
              <w:t>(2440, 2890)</w:t>
            </w:r>
          </w:p>
        </w:tc>
      </w:tr>
      <w:tr w:rsidR="00B15E26" w:rsidRPr="00653C21" w14:paraId="4B59C485" w14:textId="77777777" w:rsidTr="004819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noWrap/>
          </w:tcPr>
          <w:p w14:paraId="69A09993" w14:textId="77777777" w:rsidR="00B15E26" w:rsidRPr="00653C21" w:rsidRDefault="00B15E26" w:rsidP="0048198B">
            <w:pPr>
              <w:jc w:val="center"/>
              <w:rPr>
                <w:rFonts w:ascii="Times New Roman" w:hAnsi="Times New Roman" w:cs="Times New Roman"/>
              </w:rPr>
            </w:pPr>
            <w:r w:rsidRPr="00653C21">
              <w:rPr>
                <w:rFonts w:ascii="Times New Roman" w:hAnsi="Times New Roman" w:cs="Times New Roman"/>
              </w:rPr>
              <w:t>5%</w:t>
            </w:r>
          </w:p>
        </w:tc>
        <w:tc>
          <w:tcPr>
            <w:tcW w:w="1620" w:type="dxa"/>
            <w:tcBorders>
              <w:left w:val="single" w:sz="4" w:space="0" w:color="auto"/>
            </w:tcBorders>
            <w:noWrap/>
          </w:tcPr>
          <w:p w14:paraId="51307E1C"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 xml:space="preserve"> 509</w:t>
            </w:r>
            <w:r w:rsidRPr="00653C21">
              <w:rPr>
                <w:rFonts w:ascii="Times New Roman" w:hAnsi="Times New Roman" w:cs="Times New Roman"/>
              </w:rPr>
              <w:br/>
              <w:t>(506, 514)</w:t>
            </w:r>
          </w:p>
        </w:tc>
        <w:tc>
          <w:tcPr>
            <w:tcW w:w="1260" w:type="dxa"/>
            <w:noWrap/>
          </w:tcPr>
          <w:p w14:paraId="4C62CC9E"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 xml:space="preserve"> 7.9</w:t>
            </w:r>
            <w:r w:rsidRPr="00653C21">
              <w:rPr>
                <w:rFonts w:ascii="Times New Roman" w:hAnsi="Times New Roman" w:cs="Times New Roman"/>
              </w:rPr>
              <w:br/>
              <w:t>(6.4, 10.5)</w:t>
            </w:r>
          </w:p>
        </w:tc>
        <w:tc>
          <w:tcPr>
            <w:tcW w:w="1260" w:type="dxa"/>
            <w:noWrap/>
          </w:tcPr>
          <w:p w14:paraId="05509814"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41.6</w:t>
            </w:r>
            <w:r w:rsidRPr="00653C21">
              <w:rPr>
                <w:rFonts w:ascii="Times New Roman" w:hAnsi="Times New Roman" w:cs="Times New Roman"/>
              </w:rPr>
              <w:br/>
              <w:t>(37.8, 45.3)</w:t>
            </w:r>
          </w:p>
        </w:tc>
        <w:tc>
          <w:tcPr>
            <w:tcW w:w="1710" w:type="dxa"/>
            <w:noWrap/>
          </w:tcPr>
          <w:p w14:paraId="7FE6E019"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17449</w:t>
            </w:r>
            <w:r w:rsidRPr="00653C21">
              <w:rPr>
                <w:rFonts w:ascii="Times New Roman" w:hAnsi="Times New Roman" w:cs="Times New Roman"/>
              </w:rPr>
              <w:br/>
              <w:t>(15720, 19151)</w:t>
            </w:r>
          </w:p>
        </w:tc>
        <w:tc>
          <w:tcPr>
            <w:tcW w:w="1538" w:type="dxa"/>
            <w:noWrap/>
          </w:tcPr>
          <w:p w14:paraId="57301F0F"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0.019</w:t>
            </w:r>
            <w:r w:rsidRPr="00653C21">
              <w:rPr>
                <w:rFonts w:ascii="Times New Roman" w:hAnsi="Times New Roman" w:cs="Times New Roman"/>
              </w:rPr>
              <w:br/>
              <w:t>(0.012, 0.033)</w:t>
            </w:r>
          </w:p>
        </w:tc>
        <w:tc>
          <w:tcPr>
            <w:tcW w:w="1522" w:type="dxa"/>
            <w:noWrap/>
          </w:tcPr>
          <w:p w14:paraId="6C246594"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w:t>
            </w:r>
            <w:r w:rsidRPr="00653C21">
              <w:rPr>
                <w:rFonts w:ascii="Times New Roman" w:hAnsi="Times New Roman" w:cs="Times New Roman"/>
              </w:rPr>
              <w:t>5100</w:t>
            </w:r>
            <w:r w:rsidRPr="00653C21">
              <w:rPr>
                <w:rFonts w:ascii="Times New Roman" w:hAnsi="Times New Roman" w:cs="Times New Roman"/>
              </w:rPr>
              <w:br/>
              <w:t>(4660, 5540)</w:t>
            </w:r>
          </w:p>
        </w:tc>
      </w:tr>
      <w:tr w:rsidR="00B15E26" w:rsidRPr="00653C21" w14:paraId="369090FA" w14:textId="77777777" w:rsidTr="0048198B">
        <w:trPr>
          <w:trHeight w:val="300"/>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noWrap/>
          </w:tcPr>
          <w:p w14:paraId="4DD4EF91" w14:textId="77777777" w:rsidR="00B15E26" w:rsidRPr="00653C21" w:rsidRDefault="00B15E26" w:rsidP="0048198B">
            <w:pPr>
              <w:jc w:val="center"/>
              <w:rPr>
                <w:rFonts w:ascii="Times New Roman" w:hAnsi="Times New Roman" w:cs="Times New Roman"/>
              </w:rPr>
            </w:pPr>
            <w:r w:rsidRPr="00653C21">
              <w:rPr>
                <w:rFonts w:ascii="Times New Roman" w:hAnsi="Times New Roman" w:cs="Times New Roman"/>
              </w:rPr>
              <w:t>7.5%</w:t>
            </w:r>
          </w:p>
        </w:tc>
        <w:tc>
          <w:tcPr>
            <w:tcW w:w="1620" w:type="dxa"/>
            <w:tcBorders>
              <w:left w:val="single" w:sz="4" w:space="0" w:color="auto"/>
            </w:tcBorders>
            <w:noWrap/>
          </w:tcPr>
          <w:p w14:paraId="7CF771ED" w14:textId="77777777" w:rsidR="00B15E26" w:rsidRPr="00653C21" w:rsidRDefault="00B15E26" w:rsidP="004819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 xml:space="preserve"> 757</w:t>
            </w:r>
            <w:r w:rsidRPr="00653C21">
              <w:rPr>
                <w:rFonts w:ascii="Times New Roman" w:hAnsi="Times New Roman" w:cs="Times New Roman"/>
              </w:rPr>
              <w:br/>
              <w:t>(754, 761)</w:t>
            </w:r>
          </w:p>
        </w:tc>
        <w:tc>
          <w:tcPr>
            <w:tcW w:w="1260" w:type="dxa"/>
            <w:noWrap/>
          </w:tcPr>
          <w:p w14:paraId="3BDA92A6" w14:textId="77777777" w:rsidR="00B15E26" w:rsidRPr="00653C21" w:rsidRDefault="00B15E26" w:rsidP="004819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11.9</w:t>
            </w:r>
            <w:r w:rsidRPr="00653C21">
              <w:rPr>
                <w:rFonts w:ascii="Times New Roman" w:hAnsi="Times New Roman" w:cs="Times New Roman"/>
              </w:rPr>
              <w:br/>
              <w:t>(9.6, 15.8)</w:t>
            </w:r>
          </w:p>
        </w:tc>
        <w:tc>
          <w:tcPr>
            <w:tcW w:w="1260" w:type="dxa"/>
            <w:noWrap/>
          </w:tcPr>
          <w:p w14:paraId="4B38C664" w14:textId="77777777" w:rsidR="00B15E26" w:rsidRPr="00653C21" w:rsidRDefault="00B15E26" w:rsidP="004819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62.3</w:t>
            </w:r>
            <w:r w:rsidRPr="00653C21">
              <w:rPr>
                <w:rFonts w:ascii="Times New Roman" w:hAnsi="Times New Roman" w:cs="Times New Roman"/>
              </w:rPr>
              <w:br/>
              <w:t>(56.7, 68.0)</w:t>
            </w:r>
          </w:p>
        </w:tc>
        <w:tc>
          <w:tcPr>
            <w:tcW w:w="1710" w:type="dxa"/>
            <w:noWrap/>
          </w:tcPr>
          <w:p w14:paraId="5C1FCD3B" w14:textId="77777777" w:rsidR="00B15E26" w:rsidRPr="00653C21" w:rsidRDefault="00B15E26" w:rsidP="004819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20265</w:t>
            </w:r>
            <w:r w:rsidRPr="00653C21">
              <w:rPr>
                <w:rFonts w:ascii="Times New Roman" w:hAnsi="Times New Roman" w:cs="Times New Roman"/>
              </w:rPr>
              <w:br/>
              <w:t>(18256, 22215)</w:t>
            </w:r>
          </w:p>
        </w:tc>
        <w:tc>
          <w:tcPr>
            <w:tcW w:w="1538" w:type="dxa"/>
            <w:noWrap/>
          </w:tcPr>
          <w:p w14:paraId="4B1147A5" w14:textId="77777777" w:rsidR="00B15E26" w:rsidRPr="00653C21" w:rsidRDefault="00B15E26" w:rsidP="004819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0.018</w:t>
            </w:r>
            <w:r w:rsidRPr="00653C21">
              <w:rPr>
                <w:rFonts w:ascii="Times New Roman" w:hAnsi="Times New Roman" w:cs="Times New Roman"/>
              </w:rPr>
              <w:br/>
              <w:t>(0.012, 0.033)</w:t>
            </w:r>
          </w:p>
        </w:tc>
        <w:tc>
          <w:tcPr>
            <w:tcW w:w="1522" w:type="dxa"/>
            <w:noWrap/>
          </w:tcPr>
          <w:p w14:paraId="70F65E67" w14:textId="77777777" w:rsidR="00B15E26" w:rsidRPr="00653C21" w:rsidRDefault="00B15E26" w:rsidP="004819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w:t>
            </w:r>
            <w:r w:rsidRPr="00653C21">
              <w:rPr>
                <w:rFonts w:ascii="Times New Roman" w:hAnsi="Times New Roman" w:cs="Times New Roman"/>
              </w:rPr>
              <w:t>7530</w:t>
            </w:r>
            <w:r w:rsidRPr="00653C21">
              <w:rPr>
                <w:rFonts w:ascii="Times New Roman" w:hAnsi="Times New Roman" w:cs="Times New Roman"/>
              </w:rPr>
              <w:br/>
              <w:t>(6870, 8190)</w:t>
            </w:r>
          </w:p>
        </w:tc>
      </w:tr>
      <w:tr w:rsidR="00B15E26" w:rsidRPr="00653C21" w14:paraId="6DAEE23F" w14:textId="77777777" w:rsidTr="004819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noWrap/>
          </w:tcPr>
          <w:p w14:paraId="63168E86" w14:textId="77777777" w:rsidR="00B15E26" w:rsidRPr="00653C21" w:rsidRDefault="00B15E26" w:rsidP="0048198B">
            <w:pPr>
              <w:jc w:val="center"/>
              <w:rPr>
                <w:rFonts w:ascii="Times New Roman" w:hAnsi="Times New Roman" w:cs="Times New Roman"/>
              </w:rPr>
            </w:pPr>
            <w:r w:rsidRPr="00653C21">
              <w:rPr>
                <w:rFonts w:ascii="Times New Roman" w:hAnsi="Times New Roman" w:cs="Times New Roman"/>
              </w:rPr>
              <w:t>10%</w:t>
            </w:r>
          </w:p>
        </w:tc>
        <w:tc>
          <w:tcPr>
            <w:tcW w:w="1620" w:type="dxa"/>
            <w:tcBorders>
              <w:left w:val="single" w:sz="4" w:space="0" w:color="auto"/>
            </w:tcBorders>
            <w:noWrap/>
          </w:tcPr>
          <w:p w14:paraId="7366A45C"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1005</w:t>
            </w:r>
            <w:r w:rsidRPr="00653C21">
              <w:rPr>
                <w:rFonts w:ascii="Times New Roman" w:hAnsi="Times New Roman" w:cs="Times New Roman"/>
              </w:rPr>
              <w:br/>
              <w:t>(1001, 1009)</w:t>
            </w:r>
          </w:p>
        </w:tc>
        <w:tc>
          <w:tcPr>
            <w:tcW w:w="1260" w:type="dxa"/>
            <w:noWrap/>
          </w:tcPr>
          <w:p w14:paraId="43BC5D06"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15.9</w:t>
            </w:r>
            <w:r w:rsidRPr="00653C21">
              <w:rPr>
                <w:rFonts w:ascii="Times New Roman" w:hAnsi="Times New Roman" w:cs="Times New Roman"/>
              </w:rPr>
              <w:br/>
              <w:t>(12.8, 21.0)</w:t>
            </w:r>
          </w:p>
        </w:tc>
        <w:tc>
          <w:tcPr>
            <w:tcW w:w="1260" w:type="dxa"/>
            <w:noWrap/>
          </w:tcPr>
          <w:p w14:paraId="2C4995E8"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83.1</w:t>
            </w:r>
            <w:r w:rsidRPr="00653C21">
              <w:rPr>
                <w:rFonts w:ascii="Times New Roman" w:hAnsi="Times New Roman" w:cs="Times New Roman"/>
              </w:rPr>
              <w:br/>
              <w:t>(75.6, 90.7)</w:t>
            </w:r>
          </w:p>
        </w:tc>
        <w:tc>
          <w:tcPr>
            <w:tcW w:w="1710" w:type="dxa"/>
            <w:noWrap/>
          </w:tcPr>
          <w:p w14:paraId="1E08C03F"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23071</w:t>
            </w:r>
            <w:r w:rsidRPr="00653C21">
              <w:rPr>
                <w:rFonts w:ascii="Times New Roman" w:hAnsi="Times New Roman" w:cs="Times New Roman"/>
              </w:rPr>
              <w:br/>
              <w:t>(20758, 25317)</w:t>
            </w:r>
          </w:p>
        </w:tc>
        <w:tc>
          <w:tcPr>
            <w:tcW w:w="1538" w:type="dxa"/>
            <w:noWrap/>
          </w:tcPr>
          <w:p w14:paraId="50C3F7FE"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53C21">
              <w:rPr>
                <w:rFonts w:ascii="Times New Roman" w:hAnsi="Times New Roman" w:cs="Times New Roman"/>
              </w:rPr>
              <w:t>0.018</w:t>
            </w:r>
            <w:r w:rsidRPr="00653C21">
              <w:rPr>
                <w:rFonts w:ascii="Times New Roman" w:hAnsi="Times New Roman" w:cs="Times New Roman"/>
              </w:rPr>
              <w:br/>
              <w:t>(0.011, 0.032)</w:t>
            </w:r>
          </w:p>
        </w:tc>
        <w:tc>
          <w:tcPr>
            <w:tcW w:w="1522" w:type="dxa"/>
            <w:noWrap/>
          </w:tcPr>
          <w:p w14:paraId="090DB394" w14:textId="77777777" w:rsidR="00B15E26" w:rsidRPr="00653C21" w:rsidRDefault="00B15E26" w:rsidP="004819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w:t>
            </w:r>
            <w:r w:rsidRPr="00653C21">
              <w:rPr>
                <w:rFonts w:ascii="Times New Roman" w:hAnsi="Times New Roman" w:cs="Times New Roman"/>
              </w:rPr>
              <w:t>9960</w:t>
            </w:r>
            <w:r w:rsidRPr="00653C21">
              <w:rPr>
                <w:rFonts w:ascii="Times New Roman" w:hAnsi="Times New Roman" w:cs="Times New Roman"/>
              </w:rPr>
              <w:br/>
              <w:t>(9080, 10840)</w:t>
            </w:r>
          </w:p>
        </w:tc>
      </w:tr>
    </w:tbl>
    <w:p w14:paraId="692A6E8A" w14:textId="77777777" w:rsidR="00B15E26" w:rsidRDefault="00B15E26" w:rsidP="00B15E26">
      <w:pPr>
        <w:spacing w:after="0"/>
        <w:rPr>
          <w:rFonts w:ascii="Times New Roman" w:hAnsi="Times New Roman" w:cs="Times New Roman"/>
          <w:sz w:val="18"/>
        </w:rPr>
      </w:pPr>
      <w:r w:rsidRPr="008E7362">
        <w:rPr>
          <w:rFonts w:ascii="Times New Roman" w:hAnsi="Times New Roman" w:cs="Times New Roman"/>
          <w:sz w:val="18"/>
        </w:rPr>
        <w:t xml:space="preserve">DALYs, disability-adjusted life years; </w:t>
      </w:r>
      <w:r>
        <w:rPr>
          <w:rFonts w:ascii="Times New Roman" w:hAnsi="Times New Roman" w:cs="Times New Roman"/>
          <w:sz w:val="18"/>
        </w:rPr>
        <w:t>ART, Antiretroviral Therapy</w:t>
      </w:r>
    </w:p>
    <w:p w14:paraId="1BDF9474" w14:textId="77777777" w:rsidR="00B15E26" w:rsidRPr="00771F7D" w:rsidRDefault="00B15E26" w:rsidP="00B15E26">
      <w:pPr>
        <w:rPr>
          <w:rFonts w:ascii="Times New Roman" w:hAnsi="Times New Roman" w:cs="Times New Roman"/>
          <w:sz w:val="18"/>
        </w:rPr>
      </w:pPr>
      <w:r w:rsidRPr="00771F7D">
        <w:rPr>
          <w:rFonts w:ascii="Times New Roman" w:hAnsi="Times New Roman" w:cs="Times New Roman"/>
          <w:sz w:val="18"/>
        </w:rPr>
        <w:t>*</w:t>
      </w:r>
      <w:r>
        <w:rPr>
          <w:rFonts w:ascii="Times New Roman" w:hAnsi="Times New Roman" w:cs="Times New Roman"/>
          <w:sz w:val="18"/>
        </w:rPr>
        <w:t>Total</w:t>
      </w:r>
      <w:r w:rsidRPr="00771F7D">
        <w:rPr>
          <w:rFonts w:ascii="Times New Roman" w:hAnsi="Times New Roman" w:cs="Times New Roman"/>
          <w:sz w:val="18"/>
        </w:rPr>
        <w:t xml:space="preserve"> costs are presented in 2017 USD (in thousands)</w:t>
      </w:r>
    </w:p>
    <w:p w14:paraId="369457F4" w14:textId="77777777" w:rsidR="00771F7D" w:rsidRDefault="00771F7D">
      <w:pPr>
        <w:rPr>
          <w:rFonts w:ascii="Times New Roman" w:hAnsi="Times New Roman" w:cs="Times New Roman"/>
        </w:rPr>
      </w:pPr>
      <w:r>
        <w:rPr>
          <w:rFonts w:ascii="Times New Roman" w:hAnsi="Times New Roman" w:cs="Times New Roman"/>
        </w:rPr>
        <w:br w:type="page"/>
      </w:r>
    </w:p>
    <w:p w14:paraId="540B1BF6" w14:textId="73347CF9" w:rsidR="002455E2" w:rsidRPr="00DC0769" w:rsidRDefault="002455E2" w:rsidP="002455E2">
      <w:pPr>
        <w:rPr>
          <w:rFonts w:ascii="Times New Roman" w:hAnsi="Times New Roman" w:cs="Times New Roman"/>
        </w:rPr>
      </w:pPr>
      <w:r w:rsidRPr="00DC0769">
        <w:rPr>
          <w:rFonts w:ascii="Times New Roman" w:hAnsi="Times New Roman" w:cs="Times New Roman"/>
          <w:b/>
        </w:rPr>
        <w:lastRenderedPageBreak/>
        <w:t>Figure S</w:t>
      </w:r>
      <w:r>
        <w:rPr>
          <w:rFonts w:ascii="Times New Roman" w:hAnsi="Times New Roman" w:cs="Times New Roman"/>
          <w:b/>
        </w:rPr>
        <w:t>8</w:t>
      </w:r>
      <w:r w:rsidRPr="00DC0769">
        <w:rPr>
          <w:rFonts w:ascii="Times New Roman" w:hAnsi="Times New Roman" w:cs="Times New Roman"/>
          <w:b/>
        </w:rPr>
        <w:t xml:space="preserve">: Incremental Cost Effectiveness Ratios following Adoption of an Indeterminate Range. </w:t>
      </w:r>
      <w:r w:rsidRPr="00DC0769">
        <w:rPr>
          <w:rFonts w:ascii="Times New Roman" w:hAnsi="Times New Roman" w:cs="Times New Roman"/>
        </w:rPr>
        <w:t xml:space="preserve">The ratio of incremental costs to incremental DALYs (with both values being measured to SoC). Negative values indicate that the Indeterminate Range algorithm are cost-saving (due to fewer unnecessary ART regimens) but incur additional (positive) DALYs over </w:t>
      </w:r>
      <w:proofErr w:type="spellStart"/>
      <w:r w:rsidRPr="00DC0769">
        <w:rPr>
          <w:rFonts w:ascii="Times New Roman" w:hAnsi="Times New Roman" w:cs="Times New Roman"/>
        </w:rPr>
        <w:t>SoC.</w:t>
      </w:r>
      <w:proofErr w:type="spellEnd"/>
      <w:r w:rsidRPr="00DC0769">
        <w:rPr>
          <w:rFonts w:ascii="Times New Roman" w:hAnsi="Times New Roman" w:cs="Times New Roman"/>
        </w:rPr>
        <w:t xml:space="preserve"> More negative ICERs represent greater savings for each additional DALY incurred.</w:t>
      </w:r>
      <w:r w:rsidRPr="00DC0769">
        <w:rPr>
          <w:rFonts w:ascii="Times New Roman" w:hAnsi="Times New Roman" w:cs="Times New Roman"/>
          <w:b/>
        </w:rPr>
        <w:t xml:space="preserve"> </w:t>
      </w:r>
      <w:r w:rsidRPr="00DC0769">
        <w:rPr>
          <w:rFonts w:ascii="Times New Roman" w:hAnsi="Times New Roman" w:cs="Times New Roman"/>
          <w:i/>
        </w:rPr>
        <w:t xml:space="preserve"> </w:t>
      </w:r>
      <w:r w:rsidRPr="00DC0769">
        <w:rPr>
          <w:rFonts w:ascii="Times New Roman" w:hAnsi="Times New Roman" w:cs="Times New Roman"/>
        </w:rPr>
        <w:t>Median values and 95% confidence intervals are not displayed for Ct 36 at 1% prevalence: Indeterminate Range simulations dominated at these values (they were less costly and resulted in fewer DALYs than SoC). Lower limits for 2.5% Prevalence at Ct 36, and for 1% and 2.5% prevalence at Ct 35 were removed for the same reason.</w:t>
      </w:r>
    </w:p>
    <w:p w14:paraId="493C9591" w14:textId="09318080" w:rsidR="002455E2" w:rsidRPr="00DC0769" w:rsidRDefault="001F31A7" w:rsidP="002455E2">
      <w:pPr>
        <w:rPr>
          <w:rFonts w:ascii="Times New Roman" w:hAnsi="Times New Roman" w:cs="Times New Roman"/>
          <w:i/>
        </w:rPr>
      </w:pPr>
      <w:r>
        <w:rPr>
          <w:noProof/>
        </w:rPr>
        <w:drawing>
          <wp:inline distT="0" distB="0" distL="0" distR="0" wp14:anchorId="7587430A" wp14:editId="2C5DE5BF">
            <wp:extent cx="5943600" cy="396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561A8FCA" w14:textId="77777777" w:rsidR="002455E2" w:rsidRPr="00DC0769" w:rsidRDefault="002455E2" w:rsidP="002455E2">
      <w:pPr>
        <w:rPr>
          <w:rFonts w:ascii="Times New Roman" w:hAnsi="Times New Roman" w:cs="Times New Roman"/>
        </w:rPr>
      </w:pPr>
    </w:p>
    <w:sectPr w:rsidR="002455E2" w:rsidRPr="00DC076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39AB2" w14:textId="77777777" w:rsidR="00436DAF" w:rsidRDefault="00436DAF" w:rsidP="00591B8A">
      <w:pPr>
        <w:spacing w:after="0" w:line="240" w:lineRule="auto"/>
      </w:pPr>
      <w:r>
        <w:separator/>
      </w:r>
    </w:p>
  </w:endnote>
  <w:endnote w:type="continuationSeparator" w:id="0">
    <w:p w14:paraId="07AAAAF5" w14:textId="77777777" w:rsidR="00436DAF" w:rsidRDefault="00436DAF" w:rsidP="0059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89AD" w14:textId="0B189AB4" w:rsidR="00401C7D" w:rsidRPr="00401C7D" w:rsidRDefault="00401C7D">
    <w:pPr>
      <w:pStyle w:val="Footer"/>
      <w:rPr>
        <w:rFonts w:ascii="Times New Roman" w:hAnsi="Times New Roman" w:cs="Times New Roman"/>
      </w:rPr>
    </w:pPr>
    <w:r w:rsidRPr="00401C7D">
      <w:rPr>
        <w:rFonts w:ascii="Times New Roman" w:hAnsi="Times New Roman" w:cs="Times New Roman"/>
      </w:rPr>
      <w:tab/>
    </w:r>
    <w:r w:rsidRPr="00401C7D">
      <w:rPr>
        <w:rFonts w:ascii="Times New Roman" w:hAnsi="Times New Roman" w:cs="Times New Roman"/>
      </w:rPr>
      <w:tab/>
      <w:t xml:space="preserve">Supplementary Materials </w:t>
    </w:r>
    <w:r>
      <w:rPr>
        <w:rFonts w:ascii="Times New Roman" w:hAnsi="Times New Roman" w:cs="Times New Roman"/>
      </w:rPr>
      <w:t>(</w:t>
    </w:r>
    <w:r w:rsidR="00B1394A">
      <w:rPr>
        <w:rFonts w:ascii="Times New Roman" w:hAnsi="Times New Roman" w:cs="Times New Roman"/>
      </w:rPr>
      <w:t>Clean</w:t>
    </w:r>
    <w:r>
      <w:rPr>
        <w:rFonts w:ascii="Times New Roman" w:hAnsi="Times New Roman" w:cs="Times New Roman"/>
      </w:rPr>
      <w:t xml:space="preserve">) </w:t>
    </w:r>
    <w:r w:rsidRPr="00401C7D">
      <w:rPr>
        <w:rFonts w:ascii="Times New Roman" w:hAnsi="Times New Roman" w:cs="Times New Roman"/>
      </w:rPr>
      <w:t xml:space="preserve">Page </w:t>
    </w:r>
    <w:sdt>
      <w:sdtPr>
        <w:rPr>
          <w:rFonts w:ascii="Times New Roman" w:hAnsi="Times New Roman" w:cs="Times New Roman"/>
        </w:rPr>
        <w:id w:val="-734398041"/>
        <w:docPartObj>
          <w:docPartGallery w:val="Page Numbers (Bottom of Page)"/>
          <w:docPartUnique/>
        </w:docPartObj>
      </w:sdtPr>
      <w:sdtEndPr>
        <w:rPr>
          <w:noProof/>
        </w:rPr>
      </w:sdtEndPr>
      <w:sdtContent>
        <w:r w:rsidRPr="00401C7D">
          <w:rPr>
            <w:rFonts w:ascii="Times New Roman" w:hAnsi="Times New Roman" w:cs="Times New Roman"/>
          </w:rPr>
          <w:fldChar w:fldCharType="begin"/>
        </w:r>
        <w:r w:rsidRPr="00401C7D">
          <w:rPr>
            <w:rFonts w:ascii="Times New Roman" w:hAnsi="Times New Roman" w:cs="Times New Roman"/>
          </w:rPr>
          <w:instrText xml:space="preserve"> PAGE   \* MERGEFORMAT </w:instrText>
        </w:r>
        <w:r w:rsidRPr="00401C7D">
          <w:rPr>
            <w:rFonts w:ascii="Times New Roman" w:hAnsi="Times New Roman" w:cs="Times New Roman"/>
          </w:rPr>
          <w:fldChar w:fldCharType="separate"/>
        </w:r>
        <w:r w:rsidRPr="00401C7D">
          <w:rPr>
            <w:rFonts w:ascii="Times New Roman" w:hAnsi="Times New Roman" w:cs="Times New Roman"/>
            <w:noProof/>
          </w:rPr>
          <w:t>2</w:t>
        </w:r>
        <w:r w:rsidRPr="00401C7D">
          <w:rPr>
            <w:rFonts w:ascii="Times New Roman" w:hAnsi="Times New Roman" w:cs="Times New Roman"/>
            <w:noProof/>
          </w:rPr>
          <w:fldChar w:fldCharType="end"/>
        </w:r>
        <w:r w:rsidR="005D35D1">
          <w:rPr>
            <w:rFonts w:ascii="Times New Roman" w:hAnsi="Times New Roman" w:cs="Times New Roman"/>
            <w:noProof/>
          </w:rPr>
          <w:t>/20</w:t>
        </w:r>
      </w:sdtContent>
    </w:sdt>
  </w:p>
  <w:p w14:paraId="7119CCF2" w14:textId="77777777" w:rsidR="00401C7D" w:rsidRPr="00401C7D" w:rsidRDefault="00401C7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0E9C0" w14:textId="77777777" w:rsidR="00436DAF" w:rsidRDefault="00436DAF" w:rsidP="00591B8A">
      <w:pPr>
        <w:spacing w:after="0" w:line="240" w:lineRule="auto"/>
      </w:pPr>
      <w:r>
        <w:separator/>
      </w:r>
    </w:p>
  </w:footnote>
  <w:footnote w:type="continuationSeparator" w:id="0">
    <w:p w14:paraId="06C1C50D" w14:textId="77777777" w:rsidR="00436DAF" w:rsidRDefault="00436DAF" w:rsidP="00591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9045D"/>
    <w:multiLevelType w:val="hybridMultilevel"/>
    <w:tmpl w:val="3E9419F4"/>
    <w:lvl w:ilvl="0" w:tplc="D1D678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8A"/>
    <w:rsid w:val="0002724E"/>
    <w:rsid w:val="000307EC"/>
    <w:rsid w:val="00035BA9"/>
    <w:rsid w:val="000413A2"/>
    <w:rsid w:val="00053309"/>
    <w:rsid w:val="00070A56"/>
    <w:rsid w:val="000A6B60"/>
    <w:rsid w:val="000B091A"/>
    <w:rsid w:val="000C1AC9"/>
    <w:rsid w:val="000C3148"/>
    <w:rsid w:val="001575F1"/>
    <w:rsid w:val="001916F7"/>
    <w:rsid w:val="001A6EB9"/>
    <w:rsid w:val="001E2E20"/>
    <w:rsid w:val="001E5B83"/>
    <w:rsid w:val="001F2473"/>
    <w:rsid w:val="001F31A7"/>
    <w:rsid w:val="0020271B"/>
    <w:rsid w:val="00234091"/>
    <w:rsid w:val="002455E2"/>
    <w:rsid w:val="0025249C"/>
    <w:rsid w:val="002601C1"/>
    <w:rsid w:val="00264371"/>
    <w:rsid w:val="0026797B"/>
    <w:rsid w:val="00291A86"/>
    <w:rsid w:val="002A4BC2"/>
    <w:rsid w:val="002A4DC0"/>
    <w:rsid w:val="002B09FA"/>
    <w:rsid w:val="002B3F6C"/>
    <w:rsid w:val="002C512C"/>
    <w:rsid w:val="002D4F9E"/>
    <w:rsid w:val="002E5A32"/>
    <w:rsid w:val="00304E29"/>
    <w:rsid w:val="00323539"/>
    <w:rsid w:val="00366A01"/>
    <w:rsid w:val="00371957"/>
    <w:rsid w:val="00390795"/>
    <w:rsid w:val="003B69E8"/>
    <w:rsid w:val="003C0773"/>
    <w:rsid w:val="003C7F24"/>
    <w:rsid w:val="003E72E1"/>
    <w:rsid w:val="00401C7D"/>
    <w:rsid w:val="004125EC"/>
    <w:rsid w:val="0041297B"/>
    <w:rsid w:val="00436DAF"/>
    <w:rsid w:val="00447771"/>
    <w:rsid w:val="004507DB"/>
    <w:rsid w:val="00461A4D"/>
    <w:rsid w:val="0049606F"/>
    <w:rsid w:val="004967C8"/>
    <w:rsid w:val="004A03A9"/>
    <w:rsid w:val="004C3D59"/>
    <w:rsid w:val="004C6A3E"/>
    <w:rsid w:val="004D39D2"/>
    <w:rsid w:val="00502608"/>
    <w:rsid w:val="0052127A"/>
    <w:rsid w:val="005411DF"/>
    <w:rsid w:val="00542BB7"/>
    <w:rsid w:val="0055794D"/>
    <w:rsid w:val="005823D2"/>
    <w:rsid w:val="005909C3"/>
    <w:rsid w:val="00591B8A"/>
    <w:rsid w:val="00592413"/>
    <w:rsid w:val="005D35D1"/>
    <w:rsid w:val="005E2759"/>
    <w:rsid w:val="005E5354"/>
    <w:rsid w:val="00602FCE"/>
    <w:rsid w:val="00615934"/>
    <w:rsid w:val="00634088"/>
    <w:rsid w:val="006475C5"/>
    <w:rsid w:val="00673BF9"/>
    <w:rsid w:val="00691627"/>
    <w:rsid w:val="006921C1"/>
    <w:rsid w:val="006961E1"/>
    <w:rsid w:val="006A2671"/>
    <w:rsid w:val="006B2217"/>
    <w:rsid w:val="006C68D3"/>
    <w:rsid w:val="00761E1D"/>
    <w:rsid w:val="00771F7D"/>
    <w:rsid w:val="007815B7"/>
    <w:rsid w:val="007821BA"/>
    <w:rsid w:val="00783FA4"/>
    <w:rsid w:val="00796A1D"/>
    <w:rsid w:val="007C68DA"/>
    <w:rsid w:val="007E5678"/>
    <w:rsid w:val="00803C45"/>
    <w:rsid w:val="008165ED"/>
    <w:rsid w:val="00820B44"/>
    <w:rsid w:val="008848C8"/>
    <w:rsid w:val="00894068"/>
    <w:rsid w:val="008A58D0"/>
    <w:rsid w:val="008A6F12"/>
    <w:rsid w:val="008D408F"/>
    <w:rsid w:val="008D4A54"/>
    <w:rsid w:val="009103F4"/>
    <w:rsid w:val="0095668A"/>
    <w:rsid w:val="00961E99"/>
    <w:rsid w:val="00974050"/>
    <w:rsid w:val="00987BA7"/>
    <w:rsid w:val="009A2291"/>
    <w:rsid w:val="009B2BF9"/>
    <w:rsid w:val="009B52A6"/>
    <w:rsid w:val="00A1076B"/>
    <w:rsid w:val="00A319AD"/>
    <w:rsid w:val="00A349A6"/>
    <w:rsid w:val="00A44190"/>
    <w:rsid w:val="00A711D4"/>
    <w:rsid w:val="00A80B58"/>
    <w:rsid w:val="00A92A2D"/>
    <w:rsid w:val="00A92C36"/>
    <w:rsid w:val="00AA6760"/>
    <w:rsid w:val="00AC059C"/>
    <w:rsid w:val="00AC0797"/>
    <w:rsid w:val="00AD6A70"/>
    <w:rsid w:val="00AE222D"/>
    <w:rsid w:val="00B1394A"/>
    <w:rsid w:val="00B15E26"/>
    <w:rsid w:val="00B26585"/>
    <w:rsid w:val="00B639A9"/>
    <w:rsid w:val="00B70A6D"/>
    <w:rsid w:val="00B73CD7"/>
    <w:rsid w:val="00B85720"/>
    <w:rsid w:val="00B857FA"/>
    <w:rsid w:val="00BA4144"/>
    <w:rsid w:val="00BB21C2"/>
    <w:rsid w:val="00BB6E2B"/>
    <w:rsid w:val="00BD1D8F"/>
    <w:rsid w:val="00BD4997"/>
    <w:rsid w:val="00BE72D0"/>
    <w:rsid w:val="00BF4AFB"/>
    <w:rsid w:val="00BF6418"/>
    <w:rsid w:val="00C153F6"/>
    <w:rsid w:val="00C22203"/>
    <w:rsid w:val="00C23015"/>
    <w:rsid w:val="00C23DFF"/>
    <w:rsid w:val="00C2696F"/>
    <w:rsid w:val="00C3343B"/>
    <w:rsid w:val="00C35EED"/>
    <w:rsid w:val="00C36BB0"/>
    <w:rsid w:val="00C444B4"/>
    <w:rsid w:val="00C80A2A"/>
    <w:rsid w:val="00C85DB7"/>
    <w:rsid w:val="00CE2AC7"/>
    <w:rsid w:val="00CF38CC"/>
    <w:rsid w:val="00D019F8"/>
    <w:rsid w:val="00D04867"/>
    <w:rsid w:val="00D67046"/>
    <w:rsid w:val="00D739C7"/>
    <w:rsid w:val="00D76DE5"/>
    <w:rsid w:val="00D776F3"/>
    <w:rsid w:val="00D8455B"/>
    <w:rsid w:val="00D85933"/>
    <w:rsid w:val="00DC0769"/>
    <w:rsid w:val="00DE51E9"/>
    <w:rsid w:val="00DE6419"/>
    <w:rsid w:val="00DF480D"/>
    <w:rsid w:val="00E045E1"/>
    <w:rsid w:val="00E231BE"/>
    <w:rsid w:val="00E3097D"/>
    <w:rsid w:val="00E64CCB"/>
    <w:rsid w:val="00E76666"/>
    <w:rsid w:val="00E825C2"/>
    <w:rsid w:val="00EA34C8"/>
    <w:rsid w:val="00EB0DA7"/>
    <w:rsid w:val="00EC10D2"/>
    <w:rsid w:val="00EC313C"/>
    <w:rsid w:val="00EC5BAF"/>
    <w:rsid w:val="00EC69BE"/>
    <w:rsid w:val="00ED4F47"/>
    <w:rsid w:val="00EE63D8"/>
    <w:rsid w:val="00EF5168"/>
    <w:rsid w:val="00F03F6A"/>
    <w:rsid w:val="00F222B2"/>
    <w:rsid w:val="00F24DA2"/>
    <w:rsid w:val="00F53DB8"/>
    <w:rsid w:val="00F53EC9"/>
    <w:rsid w:val="00F609B8"/>
    <w:rsid w:val="00F61B35"/>
    <w:rsid w:val="00F6344F"/>
    <w:rsid w:val="00F66416"/>
    <w:rsid w:val="00F8134C"/>
    <w:rsid w:val="00FF0BF6"/>
    <w:rsid w:val="00FF4FD1"/>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77F6"/>
  <w15:chartTrackingRefBased/>
  <w15:docId w15:val="{327BC3D0-42FB-4120-BCB5-827BEDC5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B8A"/>
    <w:pPr>
      <w:ind w:left="720"/>
      <w:contextualSpacing/>
    </w:pPr>
  </w:style>
  <w:style w:type="paragraph" w:styleId="Header">
    <w:name w:val="header"/>
    <w:basedOn w:val="Normal"/>
    <w:link w:val="HeaderChar"/>
    <w:uiPriority w:val="99"/>
    <w:unhideWhenUsed/>
    <w:rsid w:val="00591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B8A"/>
  </w:style>
  <w:style w:type="paragraph" w:styleId="Footer">
    <w:name w:val="footer"/>
    <w:basedOn w:val="Normal"/>
    <w:link w:val="FooterChar"/>
    <w:uiPriority w:val="99"/>
    <w:unhideWhenUsed/>
    <w:rsid w:val="00591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B8A"/>
  </w:style>
  <w:style w:type="table" w:styleId="PlainTable1">
    <w:name w:val="Plain Table 1"/>
    <w:basedOn w:val="TableNormal"/>
    <w:uiPriority w:val="41"/>
    <w:rsid w:val="00B639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36BB0"/>
    <w:rPr>
      <w:sz w:val="16"/>
      <w:szCs w:val="16"/>
    </w:rPr>
  </w:style>
  <w:style w:type="paragraph" w:styleId="CommentText">
    <w:name w:val="annotation text"/>
    <w:basedOn w:val="Normal"/>
    <w:link w:val="CommentTextChar"/>
    <w:uiPriority w:val="99"/>
    <w:semiHidden/>
    <w:unhideWhenUsed/>
    <w:rsid w:val="00C36BB0"/>
    <w:pPr>
      <w:spacing w:line="240" w:lineRule="auto"/>
    </w:pPr>
    <w:rPr>
      <w:sz w:val="20"/>
      <w:szCs w:val="20"/>
    </w:rPr>
  </w:style>
  <w:style w:type="character" w:customStyle="1" w:styleId="CommentTextChar">
    <w:name w:val="Comment Text Char"/>
    <w:basedOn w:val="DefaultParagraphFont"/>
    <w:link w:val="CommentText"/>
    <w:uiPriority w:val="99"/>
    <w:semiHidden/>
    <w:rsid w:val="00C36BB0"/>
    <w:rPr>
      <w:sz w:val="20"/>
      <w:szCs w:val="20"/>
    </w:rPr>
  </w:style>
  <w:style w:type="paragraph" w:styleId="CommentSubject">
    <w:name w:val="annotation subject"/>
    <w:basedOn w:val="CommentText"/>
    <w:next w:val="CommentText"/>
    <w:link w:val="CommentSubjectChar"/>
    <w:uiPriority w:val="99"/>
    <w:semiHidden/>
    <w:unhideWhenUsed/>
    <w:rsid w:val="00C36BB0"/>
    <w:rPr>
      <w:b/>
      <w:bCs/>
    </w:rPr>
  </w:style>
  <w:style w:type="character" w:customStyle="1" w:styleId="CommentSubjectChar">
    <w:name w:val="Comment Subject Char"/>
    <w:basedOn w:val="CommentTextChar"/>
    <w:link w:val="CommentSubject"/>
    <w:uiPriority w:val="99"/>
    <w:semiHidden/>
    <w:rsid w:val="00C36BB0"/>
    <w:rPr>
      <w:b/>
      <w:bCs/>
      <w:sz w:val="20"/>
      <w:szCs w:val="20"/>
    </w:rPr>
  </w:style>
  <w:style w:type="paragraph" w:styleId="BalloonText">
    <w:name w:val="Balloon Text"/>
    <w:basedOn w:val="Normal"/>
    <w:link w:val="BalloonTextChar"/>
    <w:uiPriority w:val="99"/>
    <w:semiHidden/>
    <w:unhideWhenUsed/>
    <w:rsid w:val="00C36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BB0"/>
    <w:rPr>
      <w:rFonts w:ascii="Segoe UI" w:hAnsi="Segoe UI" w:cs="Segoe UI"/>
      <w:sz w:val="18"/>
      <w:szCs w:val="18"/>
    </w:rPr>
  </w:style>
  <w:style w:type="character" w:customStyle="1" w:styleId="Heading1Char">
    <w:name w:val="Heading 1 Char"/>
    <w:basedOn w:val="DefaultParagraphFont"/>
    <w:link w:val="Heading1"/>
    <w:uiPriority w:val="9"/>
    <w:rsid w:val="006921C1"/>
    <w:rPr>
      <w:rFonts w:asciiTheme="majorHAnsi" w:eastAsiaTheme="majorEastAsia" w:hAnsiTheme="majorHAnsi" w:cstheme="majorBidi"/>
      <w:color w:val="2F5496" w:themeColor="accent1" w:themeShade="BF"/>
      <w:sz w:val="32"/>
      <w:szCs w:val="32"/>
    </w:rPr>
  </w:style>
  <w:style w:type="table" w:styleId="PlainTable4">
    <w:name w:val="Plain Table 4"/>
    <w:basedOn w:val="TableNormal"/>
    <w:uiPriority w:val="44"/>
    <w:rsid w:val="00BF64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56DB-265D-4A62-A28C-183FBD73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PSalvatore</dc:creator>
  <cp:keywords/>
  <dc:description/>
  <cp:lastModifiedBy>PSalvatore</cp:lastModifiedBy>
  <cp:revision>2</cp:revision>
  <dcterms:created xsi:type="dcterms:W3CDTF">2019-04-19T15:38:00Z</dcterms:created>
  <dcterms:modified xsi:type="dcterms:W3CDTF">2019-04-19T15:38:00Z</dcterms:modified>
</cp:coreProperties>
</file>