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B8" w:rsidRDefault="0067647D" w:rsidP="00DB67B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47D">
        <w:rPr>
          <w:rFonts w:ascii="Times New Roman" w:hAnsi="Times New Roman" w:cs="Times New Roman"/>
          <w:b/>
          <w:sz w:val="24"/>
          <w:szCs w:val="24"/>
        </w:rPr>
        <w:t>Supplemental Digital Content 1.</w:t>
      </w:r>
      <w:proofErr w:type="gramEnd"/>
      <w:r w:rsidRPr="006764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7D" w:rsidRPr="0067647D" w:rsidRDefault="0067647D" w:rsidP="00DB67B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7647D">
        <w:rPr>
          <w:rFonts w:ascii="Times New Roman" w:hAnsi="Times New Roman" w:cs="Times New Roman"/>
          <w:b/>
          <w:sz w:val="24"/>
          <w:szCs w:val="24"/>
        </w:rPr>
        <w:t>Adjusted Difference in Bone Outcomes by 25(OH</w:t>
      </w:r>
      <w:proofErr w:type="gramStart"/>
      <w:r w:rsidRPr="0067647D">
        <w:rPr>
          <w:rFonts w:ascii="Times New Roman" w:hAnsi="Times New Roman" w:cs="Times New Roman"/>
          <w:b/>
          <w:sz w:val="24"/>
          <w:szCs w:val="24"/>
        </w:rPr>
        <w:t>)D</w:t>
      </w:r>
      <w:proofErr w:type="gramEnd"/>
      <w:r w:rsidRPr="0067647D">
        <w:rPr>
          <w:rFonts w:ascii="Times New Roman" w:hAnsi="Times New Roman" w:cs="Times New Roman"/>
          <w:b/>
          <w:sz w:val="24"/>
          <w:szCs w:val="24"/>
        </w:rPr>
        <w:t xml:space="preserve"> and PTH Status in PHIV and PHEU children</w:t>
      </w:r>
      <w:r w:rsidRPr="0067647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tbl>
      <w:tblPr>
        <w:tblW w:w="11700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0"/>
        <w:gridCol w:w="2430"/>
        <w:gridCol w:w="2430"/>
        <w:gridCol w:w="1080"/>
        <w:gridCol w:w="2520"/>
        <w:gridCol w:w="990"/>
      </w:tblGrid>
      <w:tr w:rsidR="0067647D" w:rsidRPr="0067647D" w:rsidTr="00DB67B8">
        <w:trPr>
          <w:trHeight w:val="447"/>
          <w:tblHeader/>
        </w:trPr>
        <w:tc>
          <w:tcPr>
            <w:tcW w:w="2250" w:type="dxa"/>
            <w:tcBorders>
              <w:bottom w:val="single" w:sz="18" w:space="0" w:color="auto"/>
            </w:tcBorders>
          </w:tcPr>
          <w:p w:rsidR="0067647D" w:rsidRPr="0067647D" w:rsidRDefault="0067647D" w:rsidP="00DB6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</w:tcPr>
          <w:p w:rsidR="0067647D" w:rsidRPr="0067647D" w:rsidRDefault="0067647D" w:rsidP="00DB6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sz w:val="24"/>
                <w:szCs w:val="24"/>
              </w:rPr>
              <w:t>PHIV</w:t>
            </w:r>
            <w:r w:rsidRPr="0067647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PHEU</w:t>
            </w:r>
            <w:r w:rsidRPr="0067647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67647D" w:rsidRPr="0067647D" w:rsidTr="00DB67B8">
        <w:trPr>
          <w:trHeight w:val="20"/>
          <w:tblHeader/>
        </w:trPr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67647D" w:rsidRPr="0067647D" w:rsidRDefault="0067647D" w:rsidP="00DB6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</w:tcPr>
          <w:p w:rsidR="0067647D" w:rsidRPr="0067647D" w:rsidRDefault="00CC2ED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Exposure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</w:p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difference</w:t>
            </w:r>
          </w:p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95%CI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difference</w:t>
            </w:r>
          </w:p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(95%CI)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67647D" w:rsidRPr="0067647D" w:rsidTr="00DB67B8">
        <w:trPr>
          <w:trHeight w:val="20"/>
        </w:trPr>
        <w:tc>
          <w:tcPr>
            <w:tcW w:w="2250" w:type="dxa"/>
            <w:tcBorders>
              <w:top w:val="single" w:sz="18" w:space="0" w:color="auto"/>
              <w:bottom w:val="nil"/>
            </w:tcBorders>
          </w:tcPr>
          <w:p w:rsidR="0067647D" w:rsidRPr="0067647D" w:rsidRDefault="0067647D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25(OH)D (ng/mL)</w:t>
            </w:r>
          </w:p>
        </w:tc>
        <w:tc>
          <w:tcPr>
            <w:tcW w:w="243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7D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67647D" w:rsidRPr="0067647D" w:rsidRDefault="0067647D" w:rsidP="00DB67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BMD z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67647D" w:rsidRPr="0067647D" w:rsidRDefault="0067647D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vs. &gt;20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-0.38 (-0.60,-0.16)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&lt;0.00</w:t>
            </w:r>
            <w:r w:rsidR="00523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-0.34 (-0.64,-0.03)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Lumbar spine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vs. &gt;20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-0.21 (-0.42,0.00)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0.10 (-0.30,0.51)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BMC (g)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vs. &gt;20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52320C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-59.1 (-108.3,-</w:t>
            </w:r>
            <w:r w:rsidR="009C5B22"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9.8)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-0.01 (-73.5,73.5)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1.00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 less head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vs. &gt;20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52320C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-52.3 (-96.7</w:t>
            </w:r>
            <w:r w:rsidR="009C5B22"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,-7.8)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-0.30 (-69.3,68.7)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Lumbar spine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vs. &gt;20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-0.89 (-2.2,0.47)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0.57 (-1.2,2.4)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C5B22" w:rsidRPr="0067647D" w:rsidRDefault="009C5B22" w:rsidP="00DB67B8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/>
                <w:color w:val="000000"/>
                <w:sz w:val="24"/>
                <w:szCs w:val="24"/>
              </w:rPr>
              <w:t>0.54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PTH (</w:t>
            </w:r>
            <w:proofErr w:type="spellStart"/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pg</w:t>
            </w:r>
            <w:proofErr w:type="spellEnd"/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/mL)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BMD z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&gt;65 vs.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-0.02 (-0.37,0.42)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5232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Lumbar spine 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&gt;65 vs.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-0.06 (-0.49,0.36)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9C5B22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9C5B22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BMC (g)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9C5B22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9C5B22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&gt;65 vs.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14.6 (-79.7,108.9)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 less head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&gt;65 vs.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16.9 (-62.9,96.7)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Lumbar spine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&gt;65 vs.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-0.54 (-3.1,2.0)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C5B22" w:rsidRPr="009C5B22" w:rsidRDefault="009C5B22" w:rsidP="00EE2F34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B22"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25(OH)D ng/mL</w:t>
            </w:r>
          </w:p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 PTH (</w:t>
            </w:r>
            <w:proofErr w:type="spellStart"/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pg</w:t>
            </w:r>
            <w:proofErr w:type="spellEnd"/>
            <w:r w:rsidRPr="00676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22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BMD</w:t>
            </w: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5B22" w:rsidRPr="0067647D" w:rsidRDefault="009C5B22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-0.48 (-0.92,-0.03)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-0.28 (-0.51,-0.05)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25D&gt;20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  <w:r w:rsidR="00523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(-0.15,1.14)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&gt;20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Lumbar spine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-0.42 (-0.96,0.12)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-0.12 (-0.33,0.1</w:t>
            </w:r>
            <w:r w:rsidR="00523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25D &gt;20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0.38 (-0.27,1.02)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&gt;20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BMC (g)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635CFD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-89.6 (-208.9,29.7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635CFD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-33.8 (-86.1,18.4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25D &gt;20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635CFD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141.8 (17.2,266.4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&gt;20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F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Total body less head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-69.3 (-169.6,31</w:t>
            </w:r>
            <w:r w:rsidR="000F08ED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0F08ED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-32.4 (-79.8,15.0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25D &gt;20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0F08ED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116.5 (6.4,226.6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&gt;20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F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96630F" w:rsidP="0096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Lumbar spine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791D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-3.1 (-6.2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,0.05)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791D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-0.34 (-1.7,1.1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25D &gt;20 and PTH &gt;65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791D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 (-0.51,6.8</w:t>
            </w:r>
            <w:r w:rsidR="0096630F" w:rsidRPr="0096630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6630F" w:rsidRPr="0096630F" w:rsidRDefault="0052320C" w:rsidP="0096630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30F" w:rsidRPr="0067647D" w:rsidTr="00DB67B8">
        <w:trPr>
          <w:trHeight w:val="20"/>
        </w:trPr>
        <w:tc>
          <w:tcPr>
            <w:tcW w:w="2250" w:type="dxa"/>
            <w:tcBorders>
              <w:top w:val="nil"/>
              <w:bottom w:val="single" w:sz="18" w:space="0" w:color="000000"/>
            </w:tcBorders>
          </w:tcPr>
          <w:p w:rsidR="0096630F" w:rsidRPr="0067647D" w:rsidRDefault="0096630F" w:rsidP="00DB6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bottom w:val="single" w:sz="18" w:space="0" w:color="000000"/>
            </w:tcBorders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25D &gt;20 and PTH 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67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3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96630F" w:rsidRPr="0067647D" w:rsidRDefault="0096630F" w:rsidP="00DB6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647D" w:rsidRPr="0067647D" w:rsidRDefault="0067647D" w:rsidP="0067647D">
      <w:pPr>
        <w:rPr>
          <w:rFonts w:ascii="Times New Roman" w:hAnsi="Times New Roman" w:cs="Times New Roman"/>
          <w:b/>
          <w:sz w:val="24"/>
          <w:szCs w:val="24"/>
        </w:rPr>
      </w:pPr>
      <w:r w:rsidRPr="0067647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67647D" w:rsidRPr="0067647D" w:rsidRDefault="0067647D" w:rsidP="0067647D">
      <w:p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67647D">
        <w:rPr>
          <w:rFonts w:ascii="Times New Roman" w:hAnsi="Times New Roman" w:cs="Times New Roman"/>
          <w:sz w:val="24"/>
          <w:szCs w:val="24"/>
        </w:rPr>
        <w:t xml:space="preserve"> PHIV-Perinatally HIV-infected; PHEU- Perinatally HIV-exposed uninfected;  95%CI-95% confidence interval; 25(OH)D – 25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hydroxy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>-vitamin D; PTH-parathyroid hormone; Ref-reference group.</w:t>
      </w:r>
    </w:p>
    <w:p w:rsidR="0067647D" w:rsidRPr="0067647D" w:rsidRDefault="0067647D" w:rsidP="00676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47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="00DB67B8">
        <w:rPr>
          <w:rFonts w:ascii="Times New Roman" w:hAnsi="Times New Roman" w:cs="Times New Roman"/>
          <w:sz w:val="24"/>
          <w:szCs w:val="24"/>
        </w:rPr>
        <w:t xml:space="preserve"> </w:t>
      </w:r>
      <w:r w:rsidRPr="0067647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67647D">
        <w:rPr>
          <w:rFonts w:ascii="Times New Roman" w:hAnsi="Times New Roman" w:cs="Times New Roman"/>
          <w:sz w:val="24"/>
          <w:szCs w:val="24"/>
        </w:rPr>
        <w:t xml:space="preserve"> number of children included in the model for PHIV and PHEU was as follows: total body z-scores N=388, N=198; spine z-scores N=382, N=196; total body BMC N=387, N= 197; spine BMC N=381, N=395. </w:t>
      </w:r>
    </w:p>
    <w:p w:rsidR="0067647D" w:rsidRPr="0067647D" w:rsidRDefault="0067647D" w:rsidP="00676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6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67B8">
        <w:rPr>
          <w:rFonts w:ascii="Times New Roman" w:hAnsi="Times New Roman" w:cs="Times New Roman"/>
          <w:sz w:val="24"/>
          <w:szCs w:val="24"/>
        </w:rPr>
        <w:t xml:space="preserve"> </w:t>
      </w:r>
      <w:r w:rsidRPr="0067647D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67647D">
        <w:rPr>
          <w:rFonts w:ascii="Times New Roman" w:hAnsi="Times New Roman" w:cs="Times New Roman"/>
          <w:sz w:val="24"/>
          <w:szCs w:val="24"/>
        </w:rPr>
        <w:t xml:space="preserve"> models were fit for high PTH among HEU children because only 5 had high PTH. </w:t>
      </w:r>
    </w:p>
    <w:p w:rsidR="0067647D" w:rsidRDefault="00DB67B8" w:rsidP="006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="0067647D" w:rsidRPr="0067647D">
        <w:rPr>
          <w:rFonts w:ascii="Times New Roman" w:hAnsi="Times New Roman" w:cs="Times New Roman"/>
          <w:bCs/>
          <w:sz w:val="24"/>
          <w:szCs w:val="24"/>
        </w:rPr>
        <w:t xml:space="preserve">Adjusted models of bone outcomes included age at vitamin D measurement, black race, ancestral markers (African, </w:t>
      </w:r>
      <w:r w:rsidR="0067647D" w:rsidRPr="0067647D">
        <w:rPr>
          <w:rFonts w:ascii="Times New Roman" w:hAnsi="Times New Roman" w:cs="Times New Roman"/>
          <w:sz w:val="24"/>
          <w:szCs w:val="24"/>
        </w:rPr>
        <w:t>Europe/CSW Asia, other), hei</w:t>
      </w:r>
      <w:r w:rsidR="0096630F">
        <w:rPr>
          <w:rFonts w:ascii="Times New Roman" w:hAnsi="Times New Roman" w:cs="Times New Roman"/>
          <w:sz w:val="24"/>
          <w:szCs w:val="24"/>
        </w:rPr>
        <w:t xml:space="preserve">ght z, extremity lean mass, </w:t>
      </w:r>
      <w:r w:rsidR="0067647D" w:rsidRPr="0067647D">
        <w:rPr>
          <w:rFonts w:ascii="Times New Roman" w:hAnsi="Times New Roman" w:cs="Times New Roman"/>
          <w:sz w:val="24"/>
          <w:szCs w:val="24"/>
        </w:rPr>
        <w:t>vigorous activity &gt; 75</w:t>
      </w:r>
      <w:r w:rsidR="0067647D" w:rsidRPr="00676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647D" w:rsidRPr="0067647D">
        <w:rPr>
          <w:rFonts w:ascii="Times New Roman" w:hAnsi="Times New Roman" w:cs="Times New Roman"/>
          <w:sz w:val="24"/>
          <w:szCs w:val="24"/>
        </w:rPr>
        <w:t xml:space="preserve"> percentile</w:t>
      </w:r>
      <w:r w:rsidR="0096630F">
        <w:rPr>
          <w:rFonts w:ascii="Times New Roman" w:hAnsi="Times New Roman" w:cs="Times New Roman"/>
          <w:sz w:val="24"/>
          <w:szCs w:val="24"/>
        </w:rPr>
        <w:t xml:space="preserve"> and CD4 cell count</w:t>
      </w:r>
      <w:r w:rsidR="0067647D" w:rsidRPr="0067647D">
        <w:rPr>
          <w:rFonts w:ascii="Times New Roman" w:hAnsi="Times New Roman" w:cs="Times New Roman"/>
          <w:sz w:val="24"/>
          <w:szCs w:val="24"/>
        </w:rPr>
        <w:t>. When 25(OH</w:t>
      </w:r>
      <w:proofErr w:type="gramStart"/>
      <w:r w:rsidR="0067647D" w:rsidRPr="0067647D">
        <w:rPr>
          <w:rFonts w:ascii="Times New Roman" w:hAnsi="Times New Roman" w:cs="Times New Roman"/>
          <w:sz w:val="24"/>
          <w:szCs w:val="24"/>
        </w:rPr>
        <w:t>)D</w:t>
      </w:r>
      <w:proofErr w:type="gramEnd"/>
      <w:r w:rsidR="0067647D" w:rsidRPr="0067647D">
        <w:rPr>
          <w:rFonts w:ascii="Times New Roman" w:hAnsi="Times New Roman" w:cs="Times New Roman"/>
          <w:sz w:val="24"/>
          <w:szCs w:val="24"/>
        </w:rPr>
        <w:t xml:space="preserve"> status was the exposure, we additionally adjusted for percent body fat. When the outcome was TB-BMC, TBLH-BMC or SP-BMC, we additionally adjusted for Tanner stage and sex. </w:t>
      </w:r>
    </w:p>
    <w:p w:rsidR="0067647D" w:rsidRDefault="00676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67B8" w:rsidRDefault="00A840C2" w:rsidP="00DB67B8">
      <w:pPr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Supplemental Digital Content 2</w:t>
      </w:r>
      <w:r w:rsidR="00BA5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BA5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5133" w:rsidRPr="00007C71" w:rsidRDefault="00BA5133" w:rsidP="00DB67B8">
      <w:pPr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Differences in Sociodemographic, Clinical and Laboratory Characteristics by 25(OH</w:t>
      </w:r>
      <w:proofErr w:type="gramStart"/>
      <w:r w:rsidRPr="00A6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)D</w:t>
      </w:r>
      <w:proofErr w:type="gramEnd"/>
      <w:r w:rsidRPr="00A630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Status at Time of Blood Draw - PHIV and PHEU Children 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ombined</w:t>
      </w:r>
    </w:p>
    <w:tbl>
      <w:tblPr>
        <w:tblW w:w="0" w:type="auto"/>
        <w:tblBorders>
          <w:top w:val="single" w:sz="18" w:space="0" w:color="000000"/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1890"/>
        <w:gridCol w:w="2250"/>
        <w:gridCol w:w="2160"/>
        <w:gridCol w:w="1339"/>
      </w:tblGrid>
      <w:tr w:rsidR="00BA5133" w:rsidRPr="00EE368F" w:rsidTr="00DB67B8">
        <w:trPr>
          <w:cantSplit/>
          <w:tblHeader/>
        </w:trPr>
        <w:tc>
          <w:tcPr>
            <w:tcW w:w="540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25(OH)D</w:t>
            </w:r>
            <w:r w:rsidR="004A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level</w:t>
            </w:r>
          </w:p>
        </w:tc>
        <w:tc>
          <w:tcPr>
            <w:tcW w:w="13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  <w:tblHeader/>
        </w:trPr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  <w:r w:rsidRPr="002C6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6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&lt;</w:t>
            </w:r>
            <w:r w:rsidRPr="00EE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 ng/mL</w:t>
            </w:r>
            <w:r w:rsidRPr="00EE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(N=246)</w:t>
            </w: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3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&gt;</w:t>
            </w:r>
            <w:r w:rsidRPr="00EE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 ng/mL</w:t>
            </w:r>
            <w:r w:rsidRPr="00EE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(N=373)</w:t>
            </w:r>
          </w:p>
        </w:tc>
        <w:tc>
          <w:tcPr>
            <w:tcW w:w="13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BA5133" w:rsidRPr="00EE368F" w:rsidTr="00DB67B8">
        <w:trPr>
          <w:cantSplit/>
          <w:tblHeader/>
        </w:trPr>
        <w:tc>
          <w:tcPr>
            <w:tcW w:w="3510" w:type="dxa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9A4614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46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Median (Q1, Q3) or </w:t>
            </w:r>
            <w:proofErr w:type="gramStart"/>
            <w:r w:rsidRPr="009A46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N(</w:t>
            </w:r>
            <w:proofErr w:type="gramEnd"/>
            <w:r w:rsidRPr="009A46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39" w:type="dxa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</w:t>
            </w:r>
            <w:proofErr w:type="spellStart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</w:t>
            </w:r>
            <w:proofErr w:type="spellEnd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at 25(OH)D assessment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 (10.7, 14.8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 (9.3, 13.8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Sex-M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(40%)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(54%)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(17%)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(35%)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race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(83%)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(65%)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DB67B8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Continental origin (%)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 (52.4, 81.9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 (8.0, 78.4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Europe/CSK Asia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 (6.3, 30.8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 (9.0, 62.9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Americas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3.4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(1.3, 4.7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 Asia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 (2.1, 4.7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(2.1, 5.1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Oceania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(2.2, 5.6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 (2.0, 6.1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Birthplace of child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 Mainland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(96%)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(82%)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(13%)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(2%)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(3%)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time of blood draw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(30%)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(24%)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(22%)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(35%)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(20%)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(20%)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(28%)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(22%)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vs southern latitude</w:t>
            </w:r>
            <w:r w:rsidRPr="002C649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(71%)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(48%)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Latitude (degrees)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 (35.1, 41.9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 (25.8, 40.7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Vigorous activity (min/day)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 (0.0, 30.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 (0.0, 32.1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Vigorous activity &gt;75th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%i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(22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(27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Vitamin 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(IU/day)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137.9 (78.5, 266.6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160.1 (95.4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306.3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 intake &lt; 600 IU/day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(97%)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 (94%)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Calcium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(mg/day)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713.4 (476.3, 1,009.4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710.0 (482.9, 1,027.4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intake &lt; 1300 mg/day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(87%)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 (84%)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hosphorus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intake 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/day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1,008.2 (696.4, 1,427.7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983.6 (730.7, 1,421.5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 z-score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 (-0.47, 1.36)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 (-0.65, 1.27)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 z-score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(-0.87, 0.82)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-0.17 (-1.03, 0.47)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 z-score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(-0.28, 1.46)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 (-0.39, 1.33)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435AE8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 of body fat (%)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 (17.9, 33.2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 (15.1, 33.1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Tanner stage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(18%)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(29%)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(18%)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(25%)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(20%)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(15%)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(22%)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(15%)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(22%)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(16%)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4A6395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25(OH)</w:t>
            </w:r>
            <w:r w:rsidR="00BA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BA5133"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(ng/mL)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 (13.1, 17.7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 (23.2, 30.8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PTH (</w:t>
            </w:r>
            <w:proofErr w:type="spellStart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(23.8, 48.6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 (20.3, 38.1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PTH &gt;65 </w:t>
            </w:r>
            <w:proofErr w:type="spellStart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(10%)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(mg/dl)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 (9.3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9.8)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(9.4, 9.9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Phosphate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(mg/dl)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 (4.1, 5.1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(4.3, 5.1</w:t>
            </w: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Creatinine (mg/</w:t>
            </w:r>
            <w:proofErr w:type="spellStart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(0.49, 0.65)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 (0.46, 0.64)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Among PHIV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EE368F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Efavirenz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current use</w:t>
            </w:r>
            <w:r w:rsid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(23%)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(15%)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 – current use</w:t>
            </w:r>
            <w:r w:rsid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(21%)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(25%)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 T cell count (cells/mm</w:t>
            </w:r>
            <w:r w:rsidRP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(462, 852)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 (540, 974)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BA5133" w:rsidRPr="00EE368F" w:rsidTr="00DB67B8">
        <w:trPr>
          <w:cantSplit/>
        </w:trPr>
        <w:tc>
          <w:tcPr>
            <w:tcW w:w="351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RNA (log</w:t>
            </w:r>
            <w:r w:rsidRPr="00FB3E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922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copies/mL)</w:t>
            </w:r>
          </w:p>
        </w:tc>
        <w:tc>
          <w:tcPr>
            <w:tcW w:w="189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92246C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 (1.70, 3.28)</w:t>
            </w:r>
          </w:p>
        </w:tc>
        <w:tc>
          <w:tcPr>
            <w:tcW w:w="216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 (1.70, 2.99)</w:t>
            </w:r>
          </w:p>
        </w:tc>
        <w:tc>
          <w:tcPr>
            <w:tcW w:w="1339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2B3E46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</w:tbl>
    <w:p w:rsidR="00BA5133" w:rsidRDefault="00BA5133" w:rsidP="00BA5133">
      <w:pPr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A5133" w:rsidRPr="00440CD9" w:rsidRDefault="00BA5133" w:rsidP="00BA513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4614">
        <w:rPr>
          <w:rFonts w:ascii="Times New Roman" w:hAnsi="Times New Roman" w:cs="Times New Roman"/>
          <w:color w:val="000000"/>
          <w:sz w:val="24"/>
          <w:szCs w:val="24"/>
        </w:rPr>
        <w:t>Abbreviations:</w:t>
      </w:r>
      <w:r w:rsidRPr="00440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40CD9">
        <w:rPr>
          <w:rFonts w:ascii="Times New Roman" w:hAnsi="Times New Roman" w:cs="Times New Roman"/>
          <w:color w:val="000000"/>
          <w:sz w:val="24"/>
          <w:szCs w:val="24"/>
        </w:rPr>
        <w:t>PHIV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perinatally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HIV-infected; </w:t>
      </w:r>
      <w:r w:rsidRPr="00440CD9">
        <w:rPr>
          <w:rFonts w:ascii="Times New Roman" w:hAnsi="Times New Roman" w:cs="Times New Roman"/>
          <w:color w:val="000000"/>
          <w:sz w:val="24"/>
          <w:szCs w:val="24"/>
        </w:rPr>
        <w:t>PHEU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perinatally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HIV-exposed uninfected.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PTH-parathyroid hormone; TDF-tenofovir; EFV-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efavirenz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A5133" w:rsidRPr="008D3A72" w:rsidRDefault="00BA5133" w:rsidP="00BA5133">
      <w:pPr>
        <w:rPr>
          <w:rFonts w:ascii="Times New Roman" w:hAnsi="Times New Roman" w:cs="Times New Roman"/>
          <w:sz w:val="24"/>
          <w:szCs w:val="24"/>
        </w:rPr>
      </w:pPr>
      <w:r w:rsidRPr="008D3A7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D3A72">
        <w:rPr>
          <w:rFonts w:ascii="Times New Roman" w:hAnsi="Times New Roman" w:cs="Times New Roman"/>
          <w:sz w:val="24"/>
          <w:szCs w:val="24"/>
        </w:rPr>
        <w:t xml:space="preserve">Missing data for </w:t>
      </w:r>
      <w:r>
        <w:rPr>
          <w:rFonts w:ascii="Times New Roman" w:hAnsi="Times New Roman" w:cs="Times New Roman"/>
          <w:sz w:val="24"/>
          <w:szCs w:val="24"/>
        </w:rPr>
        <w:t xml:space="preserve">25(OH)D </w:t>
      </w:r>
      <w:r w:rsidRPr="00AF1D38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20 ng/mL and </w:t>
      </w:r>
      <w:r w:rsidRPr="00AF1D3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20 ng/mL</w:t>
      </w:r>
      <w:r w:rsidRPr="008D3A72">
        <w:rPr>
          <w:rFonts w:ascii="Times New Roman" w:hAnsi="Times New Roman" w:cs="Times New Roman"/>
          <w:sz w:val="24"/>
          <w:szCs w:val="24"/>
        </w:rPr>
        <w:t xml:space="preserve">: Hispanic </w:t>
      </w:r>
      <w:r>
        <w:rPr>
          <w:rFonts w:ascii="Times New Roman" w:hAnsi="Times New Roman" w:cs="Times New Roman"/>
          <w:sz w:val="24"/>
          <w:szCs w:val="24"/>
        </w:rPr>
        <w:t xml:space="preserve">(N=4, N=0); Black race (N=7, N=20); </w:t>
      </w:r>
      <w:r w:rsidRPr="009635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irthplace (N=0,N=2</w:t>
      </w:r>
      <w:r w:rsidRPr="0096353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vigorous activity (N=3</w:t>
      </w:r>
      <w:r w:rsidRPr="009635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N=54</w:t>
      </w:r>
      <w:r w:rsidRPr="00963536">
        <w:rPr>
          <w:rFonts w:ascii="Times New Roman" w:hAnsi="Times New Roman" w:cs="Times New Roman"/>
          <w:sz w:val="24"/>
          <w:szCs w:val="24"/>
        </w:rPr>
        <w:t>); ); dietary intake</w:t>
      </w:r>
      <w:r>
        <w:rPr>
          <w:rFonts w:ascii="Times New Roman" w:hAnsi="Times New Roman" w:cs="Times New Roman"/>
          <w:sz w:val="24"/>
          <w:szCs w:val="24"/>
        </w:rPr>
        <w:t xml:space="preserve"> (N=8, N=26</w:t>
      </w:r>
      <w:r w:rsidRPr="0096353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percent body fat (N=14, N=15), Tanner stage </w:t>
      </w:r>
      <w:r w:rsidRPr="00F84599">
        <w:rPr>
          <w:rFonts w:ascii="Times New Roman" w:hAnsi="Times New Roman" w:cs="Times New Roman"/>
          <w:sz w:val="24"/>
          <w:szCs w:val="24"/>
        </w:rPr>
        <w:t>(N=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4599">
        <w:rPr>
          <w:rFonts w:ascii="Times New Roman" w:hAnsi="Times New Roman" w:cs="Times New Roman"/>
          <w:sz w:val="24"/>
          <w:szCs w:val="24"/>
        </w:rPr>
        <w:t>, N=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4599">
        <w:rPr>
          <w:rFonts w:ascii="Times New Roman" w:hAnsi="Times New Roman" w:cs="Times New Roman"/>
          <w:sz w:val="24"/>
          <w:szCs w:val="24"/>
        </w:rPr>
        <w:t>);</w:t>
      </w:r>
      <w:r w:rsidRPr="00963536">
        <w:rPr>
          <w:rFonts w:ascii="Times New Roman" w:hAnsi="Times New Roman" w:cs="Times New Roman"/>
          <w:sz w:val="24"/>
          <w:szCs w:val="24"/>
        </w:rPr>
        <w:t xml:space="preserve"> PTH (N=0, N= 1)</w:t>
      </w:r>
      <w:r>
        <w:rPr>
          <w:rFonts w:ascii="Times New Roman" w:hAnsi="Times New Roman" w:cs="Times New Roman"/>
          <w:sz w:val="24"/>
          <w:szCs w:val="24"/>
        </w:rPr>
        <w:t>; calcium (N=4, N=1</w:t>
      </w:r>
      <w:r w:rsidRPr="00963536">
        <w:rPr>
          <w:rFonts w:ascii="Times New Roman" w:hAnsi="Times New Roman" w:cs="Times New Roman"/>
          <w:sz w:val="24"/>
          <w:szCs w:val="24"/>
        </w:rPr>
        <w:t xml:space="preserve">), phosphate/creatinine (N=1, N=0);  </w:t>
      </w:r>
      <w:r>
        <w:rPr>
          <w:rFonts w:ascii="Times New Roman" w:hAnsi="Times New Roman" w:cs="Times New Roman"/>
          <w:sz w:val="24"/>
          <w:szCs w:val="24"/>
        </w:rPr>
        <w:t xml:space="preserve">EFV/TDF (N=4, N=6); CD4 count (N=0, </w:t>
      </w:r>
      <w:r w:rsidRPr="00435AE8">
        <w:rPr>
          <w:rFonts w:ascii="Times New Roman" w:hAnsi="Times New Roman" w:cs="Times New Roman"/>
          <w:sz w:val="24"/>
          <w:szCs w:val="24"/>
        </w:rPr>
        <w:t>N=2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5133" w:rsidRDefault="00BA5133" w:rsidP="00BA51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93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Northern latitude: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A72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8D3A72">
        <w:rPr>
          <w:rFonts w:ascii="Times New Roman" w:hAnsi="Times New Roman" w:cs="Times New Roman"/>
          <w:sz w:val="24"/>
          <w:szCs w:val="24"/>
        </w:rPr>
        <w:t xml:space="preserve"> 39</w:t>
      </w:r>
      <w:r w:rsidRPr="008D3A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D3A72">
        <w:rPr>
          <w:rFonts w:ascii="Times New Roman" w:hAnsi="Times New Roman" w:cs="Times New Roman"/>
          <w:sz w:val="24"/>
          <w:szCs w:val="24"/>
        </w:rPr>
        <w:t xml:space="preserve"> degree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8D3A72">
        <w:rPr>
          <w:rFonts w:ascii="Times New Roman" w:hAnsi="Times New Roman" w:cs="Times New Roman"/>
          <w:sz w:val="24"/>
          <w:szCs w:val="24"/>
        </w:rPr>
        <w:t>latitude</w:t>
      </w:r>
    </w:p>
    <w:p w:rsidR="00BA5133" w:rsidRDefault="00BA5133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&gt;75</w:t>
      </w:r>
      <w:r w:rsidRPr="00EF5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>: Greater than the 75</w:t>
      </w:r>
      <w:r w:rsidRPr="00EF5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 of the distribution of minutes of physical activity among the children in this study. </w:t>
      </w:r>
    </w:p>
    <w:p w:rsidR="00BA5133" w:rsidRDefault="00BA5133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3A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3A72">
        <w:rPr>
          <w:rFonts w:ascii="Times New Roman" w:hAnsi="Times New Roman" w:cs="Times New Roman"/>
          <w:sz w:val="24"/>
          <w:szCs w:val="24"/>
        </w:rPr>
        <w:t xml:space="preserve">The RDA for calcium is 1100 </w:t>
      </w:r>
      <w:r>
        <w:rPr>
          <w:rFonts w:ascii="Times New Roman" w:hAnsi="Times New Roman" w:cs="Times New Roman"/>
          <w:sz w:val="24"/>
          <w:szCs w:val="24"/>
        </w:rPr>
        <w:t xml:space="preserve">mg/day </w:t>
      </w:r>
      <w:r w:rsidRPr="008D3A72">
        <w:rPr>
          <w:rFonts w:ascii="Times New Roman" w:hAnsi="Times New Roman" w:cs="Times New Roman"/>
          <w:sz w:val="24"/>
          <w:szCs w:val="24"/>
        </w:rPr>
        <w:t>for children 4-8 years old and 1,3</w:t>
      </w:r>
      <w:r>
        <w:rPr>
          <w:rFonts w:ascii="Times New Roman" w:hAnsi="Times New Roman" w:cs="Times New Roman"/>
          <w:sz w:val="24"/>
          <w:szCs w:val="24"/>
        </w:rPr>
        <w:t>00 mg/day for children 9-18 years old.</w:t>
      </w:r>
    </w:p>
    <w:p w:rsidR="00BA5133" w:rsidRDefault="00BA5133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5C5351">
        <w:rPr>
          <w:rFonts w:ascii="Times New Roman" w:hAnsi="Times New Roman" w:cs="Times New Roman"/>
          <w:sz w:val="24"/>
          <w:szCs w:val="24"/>
        </w:rPr>
        <w:t>No percent body fat measure because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was no total body DXA scan performed within 365 days of 25(OH)D (N=14, N=15).</w:t>
      </w:r>
    </w:p>
    <w:p w:rsidR="00BA5133" w:rsidRPr="008D3A72" w:rsidRDefault="00BA5133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Twelve PHIV children are not included in these numbers. For 8 children the last information on ARV use was just prior to the 25(OH</w:t>
      </w:r>
      <w:proofErr w:type="gramStart"/>
      <w:r>
        <w:rPr>
          <w:rFonts w:ascii="Times New Roman" w:hAnsi="Times New Roman" w:cs="Times New Roman"/>
          <w:sz w:val="24"/>
          <w:szCs w:val="24"/>
        </w:rPr>
        <w:t>)D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date, for 2 children ARV was started for the first time after the 25(OH)D date, and for 2 children ARVs were never used. Of the 8 children with previous ARV use just prior to the 25(OH</w:t>
      </w:r>
      <w:proofErr w:type="gramStart"/>
      <w:r>
        <w:rPr>
          <w:rFonts w:ascii="Times New Roman" w:hAnsi="Times New Roman" w:cs="Times New Roman"/>
          <w:sz w:val="24"/>
          <w:szCs w:val="24"/>
        </w:rPr>
        <w:t>)D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date, </w:t>
      </w:r>
      <w:r w:rsidRPr="003B42CE">
        <w:rPr>
          <w:rFonts w:ascii="Times New Roman" w:hAnsi="Times New Roman" w:cs="Times New Roman"/>
          <w:sz w:val="24"/>
          <w:szCs w:val="24"/>
        </w:rPr>
        <w:t>1 had been on TDF, 2 on EFV, 1 on TDF and EFV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2CE">
        <w:rPr>
          <w:rFonts w:ascii="Times New Roman" w:hAnsi="Times New Roman" w:cs="Times New Roman"/>
          <w:sz w:val="24"/>
          <w:szCs w:val="24"/>
        </w:rPr>
        <w:t xml:space="preserve"> and 4 on neither TDF or EFV.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7D" w:rsidRPr="0067647D" w:rsidRDefault="0067647D" w:rsidP="0067647D">
      <w:pPr>
        <w:rPr>
          <w:rFonts w:ascii="Times New Roman" w:hAnsi="Times New Roman" w:cs="Times New Roman"/>
          <w:sz w:val="24"/>
          <w:szCs w:val="24"/>
        </w:rPr>
      </w:pPr>
    </w:p>
    <w:p w:rsidR="00DB67B8" w:rsidRDefault="00BA5133" w:rsidP="00DB67B8">
      <w:pPr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highpthlabschar"/>
      <w:proofErr w:type="gramStart"/>
      <w:r w:rsidRPr="00AC6C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Supplemental Digital Content </w:t>
      </w:r>
      <w:bookmarkEnd w:id="0"/>
      <w:r w:rsidR="00A84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C6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AC6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A5133" w:rsidRPr="00AC6CD7" w:rsidRDefault="00BA5133" w:rsidP="00DB67B8">
      <w:pPr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Differences in Sociodemographic, Clinical and Laboratory Characteristics by PTH Status - PHIV and PHEU Children Combined</w:t>
      </w:r>
    </w:p>
    <w:tbl>
      <w:tblPr>
        <w:tblW w:w="120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800"/>
        <w:gridCol w:w="2700"/>
        <w:gridCol w:w="180"/>
        <w:gridCol w:w="2790"/>
        <w:gridCol w:w="1170"/>
      </w:tblGrid>
      <w:tr w:rsidR="00BA5133" w:rsidRPr="00AC6CD7" w:rsidTr="00E810D8">
        <w:trPr>
          <w:cantSplit/>
          <w:tblHeader/>
        </w:trPr>
        <w:tc>
          <w:tcPr>
            <w:tcW w:w="5160" w:type="dxa"/>
            <w:gridSpan w:val="2"/>
            <w:tcBorders>
              <w:top w:val="single" w:sz="18" w:space="0" w:color="000000"/>
              <w:left w:val="nil"/>
              <w:bottom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IDX"/>
            <w:bookmarkEnd w:id="1"/>
          </w:p>
        </w:tc>
        <w:tc>
          <w:tcPr>
            <w:tcW w:w="5670" w:type="dxa"/>
            <w:gridSpan w:val="3"/>
            <w:tcBorders>
              <w:top w:val="single" w:sz="18" w:space="0" w:color="000000"/>
              <w:bottom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4A6395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PTH </w:t>
            </w:r>
            <w:r w:rsidR="004A63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170" w:type="dxa"/>
            <w:tcBorders>
              <w:top w:val="single" w:sz="18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  <w:tblHeader/>
        </w:trPr>
        <w:tc>
          <w:tcPr>
            <w:tcW w:w="3360" w:type="dxa"/>
            <w:tcBorders>
              <w:top w:val="nil"/>
              <w:left w:val="nil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  <w:r w:rsidRPr="00AC6C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nil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&lt;</w:t>
            </w: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65 </w:t>
            </w:r>
            <w:proofErr w:type="spellStart"/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pg</w:t>
            </w:r>
            <w:proofErr w:type="spellEnd"/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/mL </w:t>
            </w:r>
          </w:p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(N=575)</w:t>
            </w:r>
          </w:p>
        </w:tc>
        <w:tc>
          <w:tcPr>
            <w:tcW w:w="2790" w:type="dxa"/>
            <w:tcBorders>
              <w:top w:val="nil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&gt; 65 </w:t>
            </w:r>
            <w:proofErr w:type="spellStart"/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pg</w:t>
            </w:r>
            <w:proofErr w:type="spellEnd"/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/mL </w:t>
            </w:r>
          </w:p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(N=43)</w:t>
            </w:r>
          </w:p>
        </w:tc>
        <w:tc>
          <w:tcPr>
            <w:tcW w:w="1170" w:type="dxa"/>
            <w:tcBorders>
              <w:top w:val="nil"/>
              <w:bottom w:val="single" w:sz="18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Median (Q1, Q3) or N (%)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top w:val="single" w:sz="18" w:space="0" w:color="000000"/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(</w:t>
            </w:r>
            <w:proofErr w:type="spellStart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</w:t>
            </w:r>
            <w:proofErr w:type="spellEnd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 (9.7, 14.2)</w:t>
            </w:r>
          </w:p>
        </w:tc>
        <w:tc>
          <w:tcPr>
            <w:tcW w:w="2970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 (12.1, 14.4)</w:t>
            </w:r>
          </w:p>
        </w:tc>
        <w:tc>
          <w:tcPr>
            <w:tcW w:w="1170" w:type="dxa"/>
            <w:tcBorders>
              <w:top w:val="single" w:sz="18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Sex-M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 (49%)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(37%)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(28%)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(23%)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race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 (71%)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(83%)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DB67B8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Continental Origin (%)</w:t>
            </w:r>
            <w:r w:rsidR="00BA5133" w:rsidRPr="00AC6CD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Africa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 (12.3, 80.0)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 (39.5, 84.7)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Europe/CSK Asia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 (7.9, 55.6)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 (6.2, 39.1)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Americas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 (1.3, 4.1)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 (1.1, 3.7)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East Asia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(2.1, 5.1)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 (2.2, 4.6)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Oceania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(2.1, 5.9)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 (1.8, 7.3)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Birthplace of child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 Mainland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(88%)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(84%)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(8%)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(12%)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(3%)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(1%)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 of blood draw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(26%)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(30%)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(29%)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(30%)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(20%)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(14%)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(25%)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(26%)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latitude</w:t>
            </w:r>
            <w:r w:rsidR="00DB67B8" w:rsidRP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(56%)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(70%)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Latitude (degrees)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 (29.7, 40.8)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 (35.1, 41.9)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Vigorous activity (min/day)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 (0.0, 31.8)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 (0.0, 30.0)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Vigorous activity &gt;75th pctle</w:t>
            </w:r>
            <w:r w:rsidR="00DB67B8" w:rsidRP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(25%)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(21%)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 (IU/day)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(90, 297)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(67, 296)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 intake &lt; 600 IU/day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(95%)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(98%)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(mg/day)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(485, 1,015)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 (419, 1,098)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intake &lt; 1300 mg/day</w:t>
            </w:r>
            <w:r w:rsid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 (85%)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(85%)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Dietary phosphorus (mg)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 (722, 1,412)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 (590, 1,475)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 z-score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(-0.62, 1.30)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 (-0.82, 1.12)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 z-score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 (-0.97, 0.58)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(-1.03, 0.45)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BMI z-score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 (-0.36, 1.39)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 (-0.33, 1.34)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Percentage of body fat (%)</w:t>
            </w:r>
            <w:r w:rsid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 (16.3, 33.1)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 (15.5, 32.1)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Tanner stage</w:t>
            </w:r>
            <w:r w:rsidR="00E810D8" w:rsidRPr="00E81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(26%)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(7%)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(22%)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(21%)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(16%)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(28%)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(17%)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(28%)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(19%)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(16%)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Laboratory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DB67B8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D</w:t>
            </w:r>
            <w:r w:rsidR="00BA5133"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(ng/mL)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 (17.1, 27.9)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 (12.4, 22.7)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Vitamin D </w:t>
            </w: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ng/ml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(38%)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(58%)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PTH (</w:t>
            </w:r>
            <w:proofErr w:type="spellStart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</w:t>
            </w:r>
            <w:proofErr w:type="spellEnd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 (21.0, 39.3)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 (68.4, 90.8)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Calcium (mg/dl)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 (9.4, 9.9)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(9.0, 9.7)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Phosphorus (mg/dl)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(4.2, 5.1)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 (4.3, 5.1)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Creatinine (mg/</w:t>
            </w:r>
            <w:proofErr w:type="spellStart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 (0.47, 0.64)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(0.49, 0.69)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Among PHIV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Efavirenz</w:t>
            </w:r>
            <w:proofErr w:type="spellEnd"/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current use</w:t>
            </w:r>
            <w:r w:rsidR="00E81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(20%)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(5%)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Tenofovir – current use</w:t>
            </w:r>
            <w:r w:rsidR="00E810D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(21%)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(41%)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CD4 T cell count (cells/mm</w:t>
            </w:r>
            <w:r w:rsidRPr="00DB67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(50, 910)</w:t>
            </w:r>
          </w:p>
        </w:tc>
        <w:tc>
          <w:tcPr>
            <w:tcW w:w="2970" w:type="dxa"/>
            <w:gridSpan w:val="2"/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(523, 985)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BA5133" w:rsidRPr="00AC6CD7" w:rsidTr="00E810D8">
        <w:trPr>
          <w:cantSplit/>
        </w:trPr>
        <w:tc>
          <w:tcPr>
            <w:tcW w:w="3360" w:type="dxa"/>
            <w:tcBorders>
              <w:left w:val="nil"/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HIV RNA (log10 copies/mL)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 (1.7, 3.0)</w:t>
            </w:r>
          </w:p>
        </w:tc>
        <w:tc>
          <w:tcPr>
            <w:tcW w:w="2970" w:type="dxa"/>
            <w:gridSpan w:val="2"/>
            <w:tcBorders>
              <w:bottom w:val="single" w:sz="18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 (1.7, 3.4)</w:t>
            </w:r>
          </w:p>
        </w:tc>
        <w:tc>
          <w:tcPr>
            <w:tcW w:w="1170" w:type="dxa"/>
            <w:tcBorders>
              <w:bottom w:val="single" w:sz="18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A5133" w:rsidRPr="00AC6CD7" w:rsidRDefault="00BA5133" w:rsidP="00DB67B8">
            <w:pPr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</w:tbl>
    <w:p w:rsidR="00BA5133" w:rsidRPr="00AC6CD7" w:rsidRDefault="00BA5133" w:rsidP="00BA513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5133" w:rsidRPr="00AC6CD7" w:rsidRDefault="00BA5133" w:rsidP="00BA5133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6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Abbreviations: </w:t>
      </w:r>
      <w:r w:rsidRPr="00AC6CD7">
        <w:rPr>
          <w:rFonts w:ascii="Times New Roman" w:hAnsi="Times New Roman" w:cs="Times New Roman"/>
          <w:color w:val="000000"/>
          <w:sz w:val="24"/>
          <w:szCs w:val="24"/>
        </w:rPr>
        <w:t>PHIV-</w:t>
      </w:r>
      <w:proofErr w:type="spellStart"/>
      <w:r w:rsidRPr="00AC6CD7">
        <w:rPr>
          <w:rFonts w:ascii="Times New Roman" w:hAnsi="Times New Roman" w:cs="Times New Roman"/>
          <w:color w:val="000000"/>
          <w:sz w:val="24"/>
          <w:szCs w:val="24"/>
        </w:rPr>
        <w:t>perinatally</w:t>
      </w:r>
      <w:proofErr w:type="spellEnd"/>
      <w:r w:rsidRPr="00AC6CD7">
        <w:rPr>
          <w:rFonts w:ascii="Times New Roman" w:hAnsi="Times New Roman" w:cs="Times New Roman"/>
          <w:color w:val="000000"/>
          <w:sz w:val="24"/>
          <w:szCs w:val="24"/>
        </w:rPr>
        <w:t xml:space="preserve"> HIV-infected; PHEU-</w:t>
      </w:r>
      <w:proofErr w:type="spellStart"/>
      <w:r w:rsidRPr="00AC6CD7">
        <w:rPr>
          <w:rFonts w:ascii="Times New Roman" w:hAnsi="Times New Roman" w:cs="Times New Roman"/>
          <w:color w:val="000000"/>
          <w:sz w:val="24"/>
          <w:szCs w:val="24"/>
        </w:rPr>
        <w:t>perinatally</w:t>
      </w:r>
      <w:proofErr w:type="spellEnd"/>
      <w:r w:rsidRPr="00AC6CD7">
        <w:rPr>
          <w:rFonts w:ascii="Times New Roman" w:hAnsi="Times New Roman" w:cs="Times New Roman"/>
          <w:color w:val="000000"/>
          <w:sz w:val="24"/>
          <w:szCs w:val="24"/>
        </w:rPr>
        <w:t xml:space="preserve"> HIV-exposed uninfected.</w:t>
      </w:r>
    </w:p>
    <w:p w:rsidR="00BA5133" w:rsidRPr="00AC6CD7" w:rsidRDefault="00BA5133" w:rsidP="00BA5133">
      <w:pPr>
        <w:rPr>
          <w:rFonts w:ascii="Times New Roman" w:hAnsi="Times New Roman" w:cs="Times New Roman"/>
          <w:sz w:val="24"/>
          <w:szCs w:val="24"/>
        </w:rPr>
      </w:pPr>
      <w:r w:rsidRPr="00AC6CD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C6CD7">
        <w:rPr>
          <w:rFonts w:ascii="Times New Roman" w:hAnsi="Times New Roman" w:cs="Times New Roman"/>
          <w:sz w:val="24"/>
          <w:szCs w:val="24"/>
        </w:rPr>
        <w:t xml:space="preserve">Missing data for PTH </w:t>
      </w:r>
      <w:r w:rsidRPr="00AC6CD7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Pr="00AC6CD7">
        <w:rPr>
          <w:rFonts w:ascii="Times New Roman" w:hAnsi="Times New Roman" w:cs="Times New Roman"/>
          <w:sz w:val="24"/>
          <w:szCs w:val="24"/>
        </w:rPr>
        <w:t xml:space="preserve">65 </w:t>
      </w:r>
      <w:proofErr w:type="spellStart"/>
      <w:r w:rsidRPr="00AC6CD7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AC6CD7">
        <w:rPr>
          <w:rFonts w:ascii="Times New Roman" w:hAnsi="Times New Roman" w:cs="Times New Roman"/>
          <w:sz w:val="24"/>
          <w:szCs w:val="24"/>
        </w:rPr>
        <w:t xml:space="preserve">/mL and PTH &gt; 65 </w:t>
      </w:r>
      <w:proofErr w:type="spellStart"/>
      <w:r w:rsidRPr="00AC6CD7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AC6CD7">
        <w:rPr>
          <w:rFonts w:ascii="Times New Roman" w:hAnsi="Times New Roman" w:cs="Times New Roman"/>
          <w:sz w:val="24"/>
          <w:szCs w:val="24"/>
        </w:rPr>
        <w:t xml:space="preserve">/mL: Hispanic (N=4, N=0); Black race (N=26, N=1); Birthplace (N=2.N=0); vigorous activity (N=84, N=9); ); dietary intake (N=32, N=2); stage (N=4, N=0); calcium (N=4, N=1), phosphate/creatinine (N=1, N=0);  CD4 count (N=2); HIV viral load (N=0). </w:t>
      </w:r>
    </w:p>
    <w:p w:rsidR="00BA5133" w:rsidRPr="00AC6CD7" w:rsidRDefault="00BA5133" w:rsidP="00BA5133">
      <w:pPr>
        <w:rPr>
          <w:rFonts w:ascii="Times New Roman" w:hAnsi="Times New Roman" w:cs="Times New Roman"/>
          <w:sz w:val="24"/>
          <w:szCs w:val="24"/>
        </w:rPr>
      </w:pPr>
      <w:r w:rsidRPr="00AC6C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B67B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6CD7">
        <w:rPr>
          <w:rFonts w:ascii="Times New Roman" w:hAnsi="Times New Roman" w:cs="Times New Roman"/>
          <w:color w:val="000000"/>
          <w:sz w:val="24"/>
          <w:szCs w:val="24"/>
        </w:rPr>
        <w:t xml:space="preserve">ontinental origin (%) - The percent for each region </w:t>
      </w:r>
      <w:r w:rsidRPr="00AC6CD7">
        <w:rPr>
          <w:rFonts w:ascii="Times New Roman" w:hAnsi="Times New Roman" w:cs="Times New Roman"/>
          <w:sz w:val="24"/>
          <w:szCs w:val="24"/>
        </w:rPr>
        <w:t xml:space="preserve">is the percent present within an individual for that region. When looking by HIV status, it is the median of those individual </w:t>
      </w:r>
      <w:proofErr w:type="spellStart"/>
      <w:r w:rsidRPr="00AC6CD7">
        <w:rPr>
          <w:rFonts w:ascii="Times New Roman" w:hAnsi="Times New Roman" w:cs="Times New Roman"/>
          <w:sz w:val="24"/>
          <w:szCs w:val="24"/>
        </w:rPr>
        <w:t>percents</w:t>
      </w:r>
      <w:proofErr w:type="spellEnd"/>
      <w:r w:rsidRPr="00AC6CD7">
        <w:rPr>
          <w:rFonts w:ascii="Times New Roman" w:hAnsi="Times New Roman" w:cs="Times New Roman"/>
          <w:sz w:val="24"/>
          <w:szCs w:val="24"/>
        </w:rPr>
        <w:t xml:space="preserve"> for that region.</w:t>
      </w:r>
    </w:p>
    <w:p w:rsidR="00BA5133" w:rsidRDefault="00BA5133" w:rsidP="00BA5133">
      <w:pPr>
        <w:rPr>
          <w:rFonts w:ascii="Times New Roman" w:hAnsi="Times New Roman" w:cs="Times New Roman"/>
          <w:sz w:val="24"/>
          <w:szCs w:val="24"/>
        </w:rPr>
      </w:pPr>
      <w:r w:rsidRPr="00AC6CD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AC6CD7">
        <w:rPr>
          <w:rFonts w:ascii="Times New Roman" w:hAnsi="Times New Roman" w:cs="Times New Roman"/>
          <w:sz w:val="24"/>
          <w:szCs w:val="24"/>
        </w:rPr>
        <w:t xml:space="preserve">Northern: </w:t>
      </w:r>
      <w:r w:rsidRPr="00AC6CD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AC6CD7">
        <w:rPr>
          <w:rFonts w:ascii="Times New Roman" w:hAnsi="Times New Roman" w:cs="Times New Roman"/>
          <w:sz w:val="24"/>
          <w:szCs w:val="24"/>
        </w:rPr>
        <w:t xml:space="preserve"> 39</w:t>
      </w:r>
      <w:r w:rsidRPr="00AC6CD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6CD7">
        <w:rPr>
          <w:rFonts w:ascii="Times New Roman" w:hAnsi="Times New Roman" w:cs="Times New Roman"/>
          <w:sz w:val="24"/>
          <w:szCs w:val="24"/>
        </w:rPr>
        <w:t xml:space="preserve"> degree latitude</w:t>
      </w:r>
    </w:p>
    <w:p w:rsidR="00DB67B8" w:rsidRPr="00AC6CD7" w:rsidRDefault="00DB67B8" w:rsidP="00BA5133">
      <w:pPr>
        <w:rPr>
          <w:rFonts w:ascii="Times New Roman" w:hAnsi="Times New Roman" w:cs="Times New Roman"/>
          <w:sz w:val="24"/>
          <w:szCs w:val="24"/>
        </w:rPr>
      </w:pPr>
      <w:r w:rsidRPr="00DB67B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&gt;75</w:t>
      </w:r>
      <w:r w:rsidRPr="00EF5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>: Greater than the 75</w:t>
      </w:r>
      <w:r w:rsidRPr="00EF5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 of the distribution of minutes of physical activity among the children in this study. </w:t>
      </w:r>
    </w:p>
    <w:p w:rsidR="00BA5133" w:rsidRPr="00AC6CD7" w:rsidRDefault="00DB67B8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A5133" w:rsidRPr="00AC6C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5133" w:rsidRPr="00AC6CD7">
        <w:rPr>
          <w:rFonts w:ascii="Times New Roman" w:hAnsi="Times New Roman" w:cs="Times New Roman"/>
          <w:sz w:val="24"/>
          <w:szCs w:val="24"/>
        </w:rPr>
        <w:t>The RDA for calcium is 1100 for children 4-8 years old and 1,300 for children 9-18 years old.</w:t>
      </w:r>
    </w:p>
    <w:p w:rsidR="00BA5133" w:rsidRPr="00AC6CD7" w:rsidRDefault="00DB67B8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A5133" w:rsidRPr="00AC6C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5133" w:rsidRPr="00AC6CD7">
        <w:rPr>
          <w:rFonts w:ascii="Times New Roman" w:hAnsi="Times New Roman" w:cs="Times New Roman"/>
          <w:sz w:val="24"/>
          <w:szCs w:val="24"/>
        </w:rPr>
        <w:t>No percent body fat measured on N=28 PHIV, N=1) because</w:t>
      </w:r>
      <w:r w:rsidR="00BA5133" w:rsidRPr="00AC6C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5133" w:rsidRPr="00AC6CD7">
        <w:rPr>
          <w:rFonts w:ascii="Times New Roman" w:hAnsi="Times New Roman" w:cs="Times New Roman"/>
          <w:sz w:val="24"/>
          <w:szCs w:val="24"/>
        </w:rPr>
        <w:t>there was no DXA scan within 365 days of the 25(OH</w:t>
      </w:r>
      <w:proofErr w:type="gramStart"/>
      <w:r w:rsidR="00BA5133" w:rsidRPr="00AC6CD7">
        <w:rPr>
          <w:rFonts w:ascii="Times New Roman" w:hAnsi="Times New Roman" w:cs="Times New Roman"/>
          <w:sz w:val="24"/>
          <w:szCs w:val="24"/>
        </w:rPr>
        <w:t>)D</w:t>
      </w:r>
      <w:proofErr w:type="gramEnd"/>
      <w:r w:rsidR="00BA5133" w:rsidRPr="00AC6CD7">
        <w:rPr>
          <w:rFonts w:ascii="Times New Roman" w:hAnsi="Times New Roman" w:cs="Times New Roman"/>
          <w:sz w:val="24"/>
          <w:szCs w:val="24"/>
        </w:rPr>
        <w:t>.</w:t>
      </w:r>
    </w:p>
    <w:p w:rsidR="00BA5133" w:rsidRPr="00AC6CD7" w:rsidRDefault="00DB67B8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00BA5133" w:rsidRPr="00AC6CD7">
        <w:rPr>
          <w:rFonts w:ascii="Times New Roman" w:hAnsi="Times New Roman" w:cs="Times New Roman"/>
          <w:sz w:val="24"/>
          <w:szCs w:val="24"/>
        </w:rPr>
        <w:t>If Tanner stage was missing at the time of 25(OH</w:t>
      </w:r>
      <w:proofErr w:type="gramStart"/>
      <w:r w:rsidR="00BA5133" w:rsidRPr="00AC6CD7">
        <w:rPr>
          <w:rFonts w:ascii="Times New Roman" w:hAnsi="Times New Roman" w:cs="Times New Roman"/>
          <w:sz w:val="24"/>
          <w:szCs w:val="24"/>
        </w:rPr>
        <w:t>)D</w:t>
      </w:r>
      <w:proofErr w:type="gramEnd"/>
      <w:r w:rsidR="00BA5133" w:rsidRPr="00AC6CD7">
        <w:rPr>
          <w:rFonts w:ascii="Times New Roman" w:hAnsi="Times New Roman" w:cs="Times New Roman"/>
          <w:sz w:val="24"/>
          <w:szCs w:val="24"/>
        </w:rPr>
        <w:t xml:space="preserve"> assessment, we carried forward the Tanner stage assessment from the previous annual or semi-annual visit. Except for 4 children on which there was no previous Tanner stage assessment in AMP.</w:t>
      </w:r>
    </w:p>
    <w:p w:rsidR="00BA5133" w:rsidRPr="00AC6CD7" w:rsidRDefault="00DB67B8" w:rsidP="00BA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BA5133" w:rsidRPr="00AC6CD7">
        <w:rPr>
          <w:rFonts w:ascii="Times New Roman" w:hAnsi="Times New Roman" w:cs="Times New Roman"/>
          <w:sz w:val="24"/>
          <w:szCs w:val="24"/>
        </w:rPr>
        <w:t>There were 7 PHIV children on whom the last information of ARV use was just prior to the 25(OH</w:t>
      </w:r>
      <w:proofErr w:type="gramStart"/>
      <w:r w:rsidR="00BA5133" w:rsidRPr="00AC6CD7">
        <w:rPr>
          <w:rFonts w:ascii="Times New Roman" w:hAnsi="Times New Roman" w:cs="Times New Roman"/>
          <w:sz w:val="24"/>
          <w:szCs w:val="24"/>
        </w:rPr>
        <w:t>)D</w:t>
      </w:r>
      <w:proofErr w:type="gramEnd"/>
      <w:r w:rsidR="00BA5133" w:rsidRPr="00AC6CD7">
        <w:rPr>
          <w:rFonts w:ascii="Times New Roman" w:hAnsi="Times New Roman" w:cs="Times New Roman"/>
          <w:sz w:val="24"/>
          <w:szCs w:val="24"/>
        </w:rPr>
        <w:t xml:space="preserve"> date, 2 who started ARV after the 25(OH)D date and 2 had never used ARVs. Of the 7 with previous information, 4 had been using EFV and 5 had been using TDF. </w:t>
      </w:r>
    </w:p>
    <w:p w:rsidR="00BA5133" w:rsidRPr="00AC6CD7" w:rsidRDefault="00BA5133" w:rsidP="00BA5133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BA5133" w:rsidRPr="00B56415" w:rsidRDefault="00BA5133" w:rsidP="00BA5133">
      <w:pPr>
        <w:pStyle w:val="RTFOutput"/>
        <w:adjustRightInd w:val="0"/>
        <w:spacing w:before="10" w:after="10"/>
        <w:ind w:left="720" w:firstLine="720"/>
        <w:rPr>
          <w:b/>
          <w:bCs/>
          <w:color w:val="000000"/>
          <w:sz w:val="24"/>
          <w:szCs w:val="24"/>
        </w:rPr>
      </w:pPr>
      <w:r w:rsidRPr="00B56415">
        <w:rPr>
          <w:b/>
          <w:sz w:val="24"/>
          <w:szCs w:val="24"/>
        </w:rPr>
        <w:lastRenderedPageBreak/>
        <w:fldChar w:fldCharType="begin"/>
      </w:r>
      <w:r w:rsidRPr="00B56415">
        <w:rPr>
          <w:b/>
          <w:sz w:val="24"/>
          <w:szCs w:val="24"/>
        </w:rPr>
        <w:instrText xml:space="preserve"> INCLUDETEXT "Q:\\analyses\\PH066\\VITD_OUTPUTS\\VITD_FIGURES\\calcbypth_bytdfheu.rtf" \c MSRTF  \* MERGEFORMAT </w:instrText>
      </w:r>
      <w:r w:rsidRPr="00B56415">
        <w:rPr>
          <w:b/>
          <w:sz w:val="24"/>
          <w:szCs w:val="24"/>
        </w:rPr>
        <w:fldChar w:fldCharType="separate"/>
      </w:r>
    </w:p>
    <w:p w:rsidR="00BA5133" w:rsidRPr="00B56415" w:rsidRDefault="00A840C2" w:rsidP="00BA513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Digital Content 4</w:t>
      </w:r>
      <w:r w:rsidR="00BA5133" w:rsidRPr="00B564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A5133" w:rsidRPr="00E810D8" w:rsidRDefault="00BA5133" w:rsidP="00E810D8">
      <w:pPr>
        <w:spacing w:before="120"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56415"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 w:rsidRPr="00B564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415">
        <w:rPr>
          <w:rFonts w:ascii="Times New Roman" w:hAnsi="Times New Roman" w:cs="Times New Roman"/>
          <w:b/>
          <w:sz w:val="24"/>
          <w:szCs w:val="24"/>
        </w:rPr>
        <w:t>Relationships between calcium and PTH levels by HIV status and TDF use.</w:t>
      </w:r>
      <w:proofErr w:type="gramEnd"/>
      <w:r w:rsidRPr="00B5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77C">
        <w:rPr>
          <w:rFonts w:ascii="Times New Roman" w:hAnsi="Times New Roman" w:cs="Times New Roman"/>
          <w:sz w:val="24"/>
          <w:szCs w:val="24"/>
        </w:rPr>
        <w:t xml:space="preserve">This figure shows the relationships between calcium and PTH levels in PHIV children receiving TDF (PHIV TDF+), PHIV not receiving TDF (PHIV TDF-) and in PHEU children (HEU). </w:t>
      </w:r>
      <w:r w:rsidR="00E810D8">
        <w:rPr>
          <w:rFonts w:ascii="Times New Roman" w:hAnsi="Times New Roman" w:cs="Times New Roman"/>
          <w:sz w:val="24"/>
          <w:szCs w:val="24"/>
        </w:rPr>
        <w:t>S</w:t>
      </w:r>
      <w:r w:rsidR="00E810D8" w:rsidRPr="006D261D">
        <w:rPr>
          <w:rFonts w:ascii="Times New Roman" w:hAnsi="Times New Roman" w:cs="Times New Roman"/>
          <w:sz w:val="24"/>
          <w:szCs w:val="24"/>
        </w:rPr>
        <w:t xml:space="preserve">erum calcium and PTH </w:t>
      </w:r>
      <w:r w:rsidR="00E810D8">
        <w:rPr>
          <w:rFonts w:ascii="Times New Roman" w:hAnsi="Times New Roman" w:cs="Times New Roman"/>
          <w:sz w:val="24"/>
          <w:szCs w:val="24"/>
        </w:rPr>
        <w:t xml:space="preserve">were negatively associated in </w:t>
      </w:r>
      <w:r w:rsidR="00E810D8" w:rsidRPr="006D261D">
        <w:rPr>
          <w:rFonts w:ascii="Times New Roman" w:hAnsi="Times New Roman" w:cs="Times New Roman"/>
          <w:sz w:val="24"/>
          <w:szCs w:val="24"/>
        </w:rPr>
        <w:t>PHIV not receiving TDF (slope -10.5, P=0.001) and PHEU (slope -7.6, P=0.002)</w:t>
      </w:r>
      <w:r w:rsidR="00E810D8">
        <w:rPr>
          <w:rFonts w:ascii="Times New Roman" w:hAnsi="Times New Roman" w:cs="Times New Roman"/>
          <w:sz w:val="24"/>
          <w:szCs w:val="24"/>
        </w:rPr>
        <w:t xml:space="preserve"> but not associated </w:t>
      </w:r>
      <w:r w:rsidR="00E810D8" w:rsidRPr="006D261D">
        <w:rPr>
          <w:rFonts w:ascii="Times New Roman" w:hAnsi="Times New Roman" w:cs="Times New Roman"/>
          <w:sz w:val="24"/>
          <w:szCs w:val="24"/>
        </w:rPr>
        <w:t xml:space="preserve">among </w:t>
      </w:r>
      <w:r w:rsidR="00E810D8">
        <w:rPr>
          <w:rFonts w:ascii="Times New Roman" w:hAnsi="Times New Roman" w:cs="Times New Roman"/>
          <w:sz w:val="24"/>
          <w:szCs w:val="24"/>
        </w:rPr>
        <w:t>P</w:t>
      </w:r>
      <w:r w:rsidR="00E810D8" w:rsidRPr="006D261D">
        <w:rPr>
          <w:rFonts w:ascii="Times New Roman" w:hAnsi="Times New Roman" w:cs="Times New Roman"/>
          <w:sz w:val="24"/>
          <w:szCs w:val="24"/>
        </w:rPr>
        <w:t>HIV receiving TDF (s</w:t>
      </w:r>
      <w:r w:rsidR="00E810D8">
        <w:rPr>
          <w:rFonts w:ascii="Times New Roman" w:hAnsi="Times New Roman" w:cs="Times New Roman"/>
          <w:sz w:val="24"/>
          <w:szCs w:val="24"/>
        </w:rPr>
        <w:t>lope -3.8, P=0.56) (See Figure, Supplemental Digital Content 4</w:t>
      </w:r>
      <w:r w:rsidR="00E810D8" w:rsidRPr="006D261D">
        <w:rPr>
          <w:rFonts w:ascii="Times New Roman" w:hAnsi="Times New Roman" w:cs="Times New Roman"/>
          <w:sz w:val="24"/>
          <w:szCs w:val="24"/>
        </w:rPr>
        <w:t>).</w:t>
      </w:r>
      <w:r w:rsidR="00E810D8">
        <w:rPr>
          <w:rFonts w:ascii="Times New Roman" w:hAnsi="Times New Roman" w:cs="Times New Roman"/>
          <w:sz w:val="24"/>
          <w:szCs w:val="24"/>
        </w:rPr>
        <w:t xml:space="preserve"> </w:t>
      </w:r>
      <w:r w:rsidR="00E810D8" w:rsidRPr="00FE6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33" w:rsidRPr="00B56415" w:rsidRDefault="00BA5133" w:rsidP="00BA5133">
      <w:pPr>
        <w:pStyle w:val="RTFOutput"/>
        <w:adjustRightInd w:val="0"/>
        <w:jc w:val="center"/>
        <w:rPr>
          <w:b/>
          <w:sz w:val="24"/>
          <w:szCs w:val="24"/>
        </w:rPr>
      </w:pPr>
      <w:r w:rsidRPr="00B56415">
        <w:rPr>
          <w:b/>
          <w:bCs/>
          <w:color w:val="000000"/>
          <w:sz w:val="24"/>
          <w:szCs w:val="24"/>
        </w:rPr>
        <w:lastRenderedPageBreak/>
        <w:t xml:space="preserve"> </w:t>
      </w:r>
      <w:r w:rsidRPr="00B56415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7A782559" wp14:editId="6E3DC91B">
            <wp:extent cx="4535339" cy="6047117"/>
            <wp:effectExtent l="19050" t="19050" r="17780" b="1079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67" cy="60531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BA5133" w:rsidRPr="00B56415" w:rsidRDefault="00BA5133" w:rsidP="00BA5133">
      <w:pPr>
        <w:pStyle w:val="RTFOutput"/>
        <w:adjustRightInd w:val="0"/>
        <w:spacing w:before="10" w:after="10"/>
        <w:rPr>
          <w:b/>
          <w:i/>
          <w:iCs/>
          <w:color w:val="000000"/>
          <w:sz w:val="24"/>
          <w:szCs w:val="24"/>
        </w:rPr>
      </w:pPr>
    </w:p>
    <w:p w:rsidR="0001028B" w:rsidRDefault="00BA5133">
      <w:pPr>
        <w:rPr>
          <w:rFonts w:ascii="Times New Roman" w:hAnsi="Times New Roman" w:cs="Times New Roman"/>
          <w:b/>
          <w:sz w:val="24"/>
          <w:szCs w:val="24"/>
        </w:rPr>
      </w:pPr>
      <w:r w:rsidRPr="00B5641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1028B" w:rsidRDefault="0001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Digital Content 5.</w:t>
      </w:r>
      <w:proofErr w:type="gramEnd"/>
    </w:p>
    <w:p w:rsidR="0001028B" w:rsidRDefault="0001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28B" w:rsidRDefault="0001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Repository Protocol for Blood Specimens</w:t>
      </w:r>
    </w:p>
    <w:p w:rsidR="0001028B" w:rsidRDefault="0001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28B" w:rsidRDefault="0001028B" w:rsidP="0001028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1028B">
        <w:rPr>
          <w:rFonts w:ascii="Times New Roman" w:hAnsi="Times New Roman"/>
          <w:color w:val="000000"/>
          <w:sz w:val="24"/>
          <w:szCs w:val="24"/>
        </w:rPr>
        <w:t>The blood was spun 400xg for 10 mins. The plasma was removed and the plasma was re-spun at 800xg for 10 minutes. The sample was processed into 0.5mL aliquots and stored locally at –70°C.  On regular intervals, the specimens were then shipped to a central repository on dry ice and stored there at –70°C until they were requested for testing.  The specimens were shipped on dry ice to the testing lab.</w:t>
      </w:r>
    </w:p>
    <w:p w:rsidR="0001028B" w:rsidRDefault="0001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B535E" w:rsidRDefault="00EB535E"/>
    <w:sectPr w:rsidR="00EB535E" w:rsidSect="00DB67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A9"/>
    <w:multiLevelType w:val="hybridMultilevel"/>
    <w:tmpl w:val="7F48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872F2"/>
    <w:multiLevelType w:val="multilevel"/>
    <w:tmpl w:val="C966DA8A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432" w:hanging="432"/>
      </w:pPr>
      <w:rPr>
        <w:rFonts w:ascii="Arial" w:hAnsi="Arial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648"/>
      </w:pPr>
      <w:rPr>
        <w:rFonts w:ascii="Arial Bold" w:hAnsi="Arial Bold" w:hint="default"/>
        <w:b/>
        <w:i w:val="0"/>
        <w:sz w:val="22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648" w:hanging="648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648" w:hanging="648"/>
      </w:pPr>
      <w:rPr>
        <w:rFonts w:hint="default"/>
      </w:rPr>
    </w:lvl>
    <w:lvl w:ilvl="4">
      <w:start w:val="4"/>
      <w:numFmt w:val="decimal"/>
      <w:pStyle w:val="Heading5"/>
      <w:lvlText w:val="Cited in Section %5"/>
      <w:lvlJc w:val="left"/>
      <w:pPr>
        <w:ind w:left="0" w:firstLine="0"/>
      </w:pPr>
      <w:rPr>
        <w:rFonts w:ascii="Arial Bold" w:hAnsi="Arial Bold" w:hint="default"/>
        <w:b/>
        <w:i w:val="0"/>
        <w:sz w:val="22"/>
        <w:szCs w:val="20"/>
      </w:rPr>
    </w:lvl>
    <w:lvl w:ilvl="5">
      <w:start w:val="1"/>
      <w:numFmt w:val="decimal"/>
      <w:pStyle w:val="Heading6"/>
      <w:lvlText w:val="Appendix %6"/>
      <w:lvlJc w:val="left"/>
      <w:pPr>
        <w:tabs>
          <w:tab w:val="num" w:pos="1584"/>
        </w:tabs>
        <w:ind w:left="864" w:hanging="864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Heading7"/>
      <w:lvlText w:val="A%6.%7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A%6.%7.%8"/>
      <w:lvlJc w:val="left"/>
      <w:pPr>
        <w:tabs>
          <w:tab w:val="num" w:pos="1872"/>
        </w:tabs>
        <w:ind w:left="648" w:hanging="648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lvlText w:val="Cited in Appendix %9"/>
      <w:lvlJc w:val="left"/>
      <w:pPr>
        <w:tabs>
          <w:tab w:val="num" w:pos="864"/>
        </w:tabs>
        <w:ind w:left="1728" w:hanging="1728"/>
      </w:pPr>
      <w:rPr>
        <w:rFonts w:ascii="Arial Bold" w:hAnsi="Arial Bold" w:hint="default"/>
        <w:b/>
        <w:i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7D"/>
    <w:rsid w:val="0001028B"/>
    <w:rsid w:val="00017FD9"/>
    <w:rsid w:val="00076636"/>
    <w:rsid w:val="000F08ED"/>
    <w:rsid w:val="001520F3"/>
    <w:rsid w:val="002555F5"/>
    <w:rsid w:val="002D522F"/>
    <w:rsid w:val="00383FE0"/>
    <w:rsid w:val="00444B97"/>
    <w:rsid w:val="004A3646"/>
    <w:rsid w:val="004A6395"/>
    <w:rsid w:val="0052320C"/>
    <w:rsid w:val="005A4ACF"/>
    <w:rsid w:val="00635CFD"/>
    <w:rsid w:val="0067647D"/>
    <w:rsid w:val="00791D0C"/>
    <w:rsid w:val="0096630F"/>
    <w:rsid w:val="009C5B22"/>
    <w:rsid w:val="00A840C2"/>
    <w:rsid w:val="00AF59FB"/>
    <w:rsid w:val="00BA5133"/>
    <w:rsid w:val="00C6033A"/>
    <w:rsid w:val="00CC2EDF"/>
    <w:rsid w:val="00DB67B8"/>
    <w:rsid w:val="00E3177C"/>
    <w:rsid w:val="00E63453"/>
    <w:rsid w:val="00E76281"/>
    <w:rsid w:val="00E810D8"/>
    <w:rsid w:val="00EB535E"/>
    <w:rsid w:val="00E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8" w:unhideWhenUsed="0" w:qFormat="1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017FD9"/>
    <w:pPr>
      <w:keepNext/>
      <w:numPr>
        <w:numId w:val="6"/>
      </w:numPr>
      <w:pBdr>
        <w:bottom w:val="single" w:sz="4" w:space="1" w:color="auto"/>
      </w:pBdr>
      <w:spacing w:before="240" w:after="60" w:line="324" w:lineRule="auto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017FD9"/>
    <w:pPr>
      <w:keepNext/>
      <w:spacing w:before="120" w:after="60" w:line="240" w:lineRule="auto"/>
      <w:outlineLvl w:val="1"/>
    </w:pPr>
    <w:rPr>
      <w:rFonts w:ascii="Arial" w:eastAsia="Times New Roman" w:hAnsi="Arial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7FD9"/>
    <w:pPr>
      <w:keepNext/>
      <w:numPr>
        <w:ilvl w:val="2"/>
        <w:numId w:val="6"/>
      </w:numPr>
      <w:spacing w:before="120" w:after="60" w:line="324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017FD9"/>
    <w:pPr>
      <w:keepNext/>
      <w:numPr>
        <w:ilvl w:val="3"/>
        <w:numId w:val="6"/>
      </w:numPr>
      <w:spacing w:before="120" w:after="60" w:line="324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3"/>
    <w:qFormat/>
    <w:rsid w:val="00017FD9"/>
    <w:pPr>
      <w:numPr>
        <w:ilvl w:val="4"/>
        <w:numId w:val="6"/>
      </w:numPr>
      <w:pBdr>
        <w:bottom w:val="single" w:sz="4" w:space="1" w:color="auto"/>
      </w:pBdr>
      <w:spacing w:before="240" w:after="120" w:line="324" w:lineRule="auto"/>
      <w:outlineLvl w:val="4"/>
    </w:pPr>
    <w:rPr>
      <w:rFonts w:ascii="Arial" w:eastAsia="Times New Roman" w:hAnsi="Arial" w:cs="Times New Roman"/>
      <w:b/>
      <w:bCs/>
      <w:iCs/>
      <w:szCs w:val="20"/>
    </w:rPr>
  </w:style>
  <w:style w:type="paragraph" w:styleId="Heading6">
    <w:name w:val="heading 6"/>
    <w:basedOn w:val="Normal"/>
    <w:next w:val="Normal"/>
    <w:link w:val="Heading6Char"/>
    <w:uiPriority w:val="3"/>
    <w:qFormat/>
    <w:rsid w:val="00017FD9"/>
    <w:pPr>
      <w:numPr>
        <w:ilvl w:val="5"/>
        <w:numId w:val="6"/>
      </w:numPr>
      <w:spacing w:before="240" w:after="60" w:line="324" w:lineRule="auto"/>
      <w:outlineLvl w:val="5"/>
    </w:pPr>
    <w:rPr>
      <w:rFonts w:ascii="Arial" w:eastAsia="Times New Roman" w:hAnsi="Arial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3"/>
    <w:qFormat/>
    <w:rsid w:val="00017FD9"/>
    <w:pPr>
      <w:numPr>
        <w:ilvl w:val="6"/>
        <w:numId w:val="6"/>
      </w:numPr>
      <w:tabs>
        <w:tab w:val="left" w:pos="720"/>
      </w:tabs>
      <w:spacing w:before="240" w:after="60" w:line="324" w:lineRule="auto"/>
      <w:outlineLvl w:val="6"/>
    </w:pPr>
    <w:rPr>
      <w:rFonts w:ascii="Arial" w:eastAsia="Times New Roman" w:hAnsi="Arial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qFormat/>
    <w:rsid w:val="00017FD9"/>
    <w:pPr>
      <w:autoSpaceDE w:val="0"/>
      <w:autoSpaceDN w:val="0"/>
    </w:pPr>
    <w:rPr>
      <w:rFonts w:ascii="Arial" w:hAnsi="Arial"/>
    </w:rPr>
  </w:style>
  <w:style w:type="paragraph" w:customStyle="1" w:styleId="Excerpt">
    <w:name w:val="Excerpt"/>
    <w:basedOn w:val="Normal"/>
    <w:uiPriority w:val="2"/>
    <w:qFormat/>
    <w:rsid w:val="00017FD9"/>
    <w:pPr>
      <w:spacing w:after="0" w:line="324" w:lineRule="auto"/>
      <w:ind w:left="720" w:right="720"/>
      <w:contextualSpacing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17FD9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017FD9"/>
    <w:rPr>
      <w:rFonts w:ascii="Arial" w:hAnsi="Arial" w:cs="Arial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17FD9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017FD9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rsid w:val="00017FD9"/>
    <w:rPr>
      <w:rFonts w:ascii="Arial" w:hAnsi="Arial"/>
      <w:b/>
      <w:bCs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3"/>
    <w:rsid w:val="00017FD9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3"/>
    <w:rsid w:val="00017FD9"/>
    <w:rPr>
      <w:rFonts w:ascii="Arial" w:hAnsi="Arial"/>
      <w:b/>
      <w:szCs w:val="24"/>
    </w:rPr>
  </w:style>
  <w:style w:type="paragraph" w:styleId="Header">
    <w:name w:val="header"/>
    <w:basedOn w:val="Normal"/>
    <w:link w:val="HeaderChar"/>
    <w:uiPriority w:val="2"/>
    <w:qFormat/>
    <w:rsid w:val="00017FD9"/>
    <w:pPr>
      <w:tabs>
        <w:tab w:val="center" w:pos="4320"/>
        <w:tab w:val="right" w:pos="9360"/>
        <w:tab w:val="right" w:pos="13680"/>
      </w:tabs>
      <w:spacing w:after="0" w:line="324" w:lineRule="auto"/>
      <w:ind w:left="-720"/>
    </w:pPr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2"/>
    <w:rsid w:val="00017FD9"/>
    <w:rPr>
      <w:rFonts w:ascii="Arial" w:hAnsi="Arial"/>
      <w:b/>
      <w:i/>
      <w:szCs w:val="24"/>
    </w:rPr>
  </w:style>
  <w:style w:type="paragraph" w:styleId="Subtitle">
    <w:name w:val="Subtitle"/>
    <w:basedOn w:val="Normal"/>
    <w:next w:val="Normal"/>
    <w:link w:val="SubtitleChar"/>
    <w:uiPriority w:val="18"/>
    <w:qFormat/>
    <w:rsid w:val="00017FD9"/>
    <w:pPr>
      <w:spacing w:before="120" w:after="60" w:line="324" w:lineRule="auto"/>
      <w:jc w:val="center"/>
      <w:outlineLvl w:val="1"/>
    </w:pPr>
    <w:rPr>
      <w:rFonts w:ascii="Arial" w:eastAsiaTheme="majorEastAsia" w:hAnsi="Arial" w:cstheme="majorBidi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017FD9"/>
    <w:rPr>
      <w:rFonts w:ascii="Arial" w:eastAsiaTheme="majorEastAsia" w:hAnsi="Arial" w:cstheme="majorBidi"/>
      <w:szCs w:val="24"/>
    </w:rPr>
  </w:style>
  <w:style w:type="character" w:styleId="Strong">
    <w:name w:val="Strong"/>
    <w:basedOn w:val="DefaultParagraphFont"/>
    <w:uiPriority w:val="1"/>
    <w:qFormat/>
    <w:rsid w:val="00017FD9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uiPriority w:val="1"/>
    <w:qFormat/>
    <w:rsid w:val="00017FD9"/>
    <w:rPr>
      <w:rFonts w:ascii="Arial" w:hAnsi="Arial"/>
      <w:i/>
      <w:iCs/>
      <w:sz w:val="20"/>
    </w:rPr>
  </w:style>
  <w:style w:type="paragraph" w:styleId="ListParagraph">
    <w:name w:val="List Paragraph"/>
    <w:basedOn w:val="Normal"/>
    <w:uiPriority w:val="34"/>
    <w:qFormat/>
    <w:rsid w:val="00017FD9"/>
    <w:pPr>
      <w:spacing w:before="120" w:after="240" w:line="324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33"/>
    <w:rPr>
      <w:rFonts w:ascii="Tahoma" w:eastAsiaTheme="minorHAnsi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A4AC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4ACF"/>
    <w:rPr>
      <w:rFonts w:ascii="Calibri" w:eastAsiaTheme="minorHAnsi" w:hAnsi="Calibri" w:cstheme="minorBid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8" w:unhideWhenUsed="0" w:qFormat="1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017FD9"/>
    <w:pPr>
      <w:keepNext/>
      <w:numPr>
        <w:numId w:val="6"/>
      </w:numPr>
      <w:pBdr>
        <w:bottom w:val="single" w:sz="4" w:space="1" w:color="auto"/>
      </w:pBdr>
      <w:spacing w:before="240" w:after="60" w:line="324" w:lineRule="auto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017FD9"/>
    <w:pPr>
      <w:keepNext/>
      <w:spacing w:before="120" w:after="60" w:line="240" w:lineRule="auto"/>
      <w:outlineLvl w:val="1"/>
    </w:pPr>
    <w:rPr>
      <w:rFonts w:ascii="Arial" w:eastAsia="Times New Roman" w:hAnsi="Arial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7FD9"/>
    <w:pPr>
      <w:keepNext/>
      <w:numPr>
        <w:ilvl w:val="2"/>
        <w:numId w:val="6"/>
      </w:numPr>
      <w:spacing w:before="120" w:after="60" w:line="324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017FD9"/>
    <w:pPr>
      <w:keepNext/>
      <w:numPr>
        <w:ilvl w:val="3"/>
        <w:numId w:val="6"/>
      </w:numPr>
      <w:spacing w:before="120" w:after="60" w:line="324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3"/>
    <w:qFormat/>
    <w:rsid w:val="00017FD9"/>
    <w:pPr>
      <w:numPr>
        <w:ilvl w:val="4"/>
        <w:numId w:val="6"/>
      </w:numPr>
      <w:pBdr>
        <w:bottom w:val="single" w:sz="4" w:space="1" w:color="auto"/>
      </w:pBdr>
      <w:spacing w:before="240" w:after="120" w:line="324" w:lineRule="auto"/>
      <w:outlineLvl w:val="4"/>
    </w:pPr>
    <w:rPr>
      <w:rFonts w:ascii="Arial" w:eastAsia="Times New Roman" w:hAnsi="Arial" w:cs="Times New Roman"/>
      <w:b/>
      <w:bCs/>
      <w:iCs/>
      <w:szCs w:val="20"/>
    </w:rPr>
  </w:style>
  <w:style w:type="paragraph" w:styleId="Heading6">
    <w:name w:val="heading 6"/>
    <w:basedOn w:val="Normal"/>
    <w:next w:val="Normal"/>
    <w:link w:val="Heading6Char"/>
    <w:uiPriority w:val="3"/>
    <w:qFormat/>
    <w:rsid w:val="00017FD9"/>
    <w:pPr>
      <w:numPr>
        <w:ilvl w:val="5"/>
        <w:numId w:val="6"/>
      </w:numPr>
      <w:spacing w:before="240" w:after="60" w:line="324" w:lineRule="auto"/>
      <w:outlineLvl w:val="5"/>
    </w:pPr>
    <w:rPr>
      <w:rFonts w:ascii="Arial" w:eastAsia="Times New Roman" w:hAnsi="Arial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3"/>
    <w:qFormat/>
    <w:rsid w:val="00017FD9"/>
    <w:pPr>
      <w:numPr>
        <w:ilvl w:val="6"/>
        <w:numId w:val="6"/>
      </w:numPr>
      <w:tabs>
        <w:tab w:val="left" w:pos="720"/>
      </w:tabs>
      <w:spacing w:before="240" w:after="60" w:line="324" w:lineRule="auto"/>
      <w:outlineLvl w:val="6"/>
    </w:pPr>
    <w:rPr>
      <w:rFonts w:ascii="Arial" w:eastAsia="Times New Roman" w:hAnsi="Arial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qFormat/>
    <w:rsid w:val="00017FD9"/>
    <w:pPr>
      <w:autoSpaceDE w:val="0"/>
      <w:autoSpaceDN w:val="0"/>
    </w:pPr>
    <w:rPr>
      <w:rFonts w:ascii="Arial" w:hAnsi="Arial"/>
    </w:rPr>
  </w:style>
  <w:style w:type="paragraph" w:customStyle="1" w:styleId="Excerpt">
    <w:name w:val="Excerpt"/>
    <w:basedOn w:val="Normal"/>
    <w:uiPriority w:val="2"/>
    <w:qFormat/>
    <w:rsid w:val="00017FD9"/>
    <w:pPr>
      <w:spacing w:after="0" w:line="324" w:lineRule="auto"/>
      <w:ind w:left="720" w:right="720"/>
      <w:contextualSpacing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017FD9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017FD9"/>
    <w:rPr>
      <w:rFonts w:ascii="Arial" w:hAnsi="Arial" w:cs="Arial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17FD9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rsid w:val="00017FD9"/>
    <w:rPr>
      <w:rFonts w:ascii="Arial" w:hAnsi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3"/>
    <w:rsid w:val="00017FD9"/>
    <w:rPr>
      <w:rFonts w:ascii="Arial" w:hAnsi="Arial"/>
      <w:b/>
      <w:bCs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3"/>
    <w:rsid w:val="00017FD9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3"/>
    <w:rsid w:val="00017FD9"/>
    <w:rPr>
      <w:rFonts w:ascii="Arial" w:hAnsi="Arial"/>
      <w:b/>
      <w:szCs w:val="24"/>
    </w:rPr>
  </w:style>
  <w:style w:type="paragraph" w:styleId="Header">
    <w:name w:val="header"/>
    <w:basedOn w:val="Normal"/>
    <w:link w:val="HeaderChar"/>
    <w:uiPriority w:val="2"/>
    <w:qFormat/>
    <w:rsid w:val="00017FD9"/>
    <w:pPr>
      <w:tabs>
        <w:tab w:val="center" w:pos="4320"/>
        <w:tab w:val="right" w:pos="9360"/>
        <w:tab w:val="right" w:pos="13680"/>
      </w:tabs>
      <w:spacing w:after="0" w:line="324" w:lineRule="auto"/>
      <w:ind w:left="-720"/>
    </w:pPr>
    <w:rPr>
      <w:rFonts w:ascii="Arial" w:eastAsia="Times New Roman" w:hAnsi="Arial" w:cs="Times New Roman"/>
      <w:b/>
      <w:i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2"/>
    <w:rsid w:val="00017FD9"/>
    <w:rPr>
      <w:rFonts w:ascii="Arial" w:hAnsi="Arial"/>
      <w:b/>
      <w:i/>
      <w:szCs w:val="24"/>
    </w:rPr>
  </w:style>
  <w:style w:type="paragraph" w:styleId="Subtitle">
    <w:name w:val="Subtitle"/>
    <w:basedOn w:val="Normal"/>
    <w:next w:val="Normal"/>
    <w:link w:val="SubtitleChar"/>
    <w:uiPriority w:val="18"/>
    <w:qFormat/>
    <w:rsid w:val="00017FD9"/>
    <w:pPr>
      <w:spacing w:before="120" w:after="60" w:line="324" w:lineRule="auto"/>
      <w:jc w:val="center"/>
      <w:outlineLvl w:val="1"/>
    </w:pPr>
    <w:rPr>
      <w:rFonts w:ascii="Arial" w:eastAsiaTheme="majorEastAsia" w:hAnsi="Arial" w:cstheme="majorBidi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017FD9"/>
    <w:rPr>
      <w:rFonts w:ascii="Arial" w:eastAsiaTheme="majorEastAsia" w:hAnsi="Arial" w:cstheme="majorBidi"/>
      <w:szCs w:val="24"/>
    </w:rPr>
  </w:style>
  <w:style w:type="character" w:styleId="Strong">
    <w:name w:val="Strong"/>
    <w:basedOn w:val="DefaultParagraphFont"/>
    <w:uiPriority w:val="1"/>
    <w:qFormat/>
    <w:rsid w:val="00017FD9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uiPriority w:val="1"/>
    <w:qFormat/>
    <w:rsid w:val="00017FD9"/>
    <w:rPr>
      <w:rFonts w:ascii="Arial" w:hAnsi="Arial"/>
      <w:i/>
      <w:iCs/>
      <w:sz w:val="20"/>
    </w:rPr>
  </w:style>
  <w:style w:type="paragraph" w:styleId="ListParagraph">
    <w:name w:val="List Paragraph"/>
    <w:basedOn w:val="Normal"/>
    <w:uiPriority w:val="34"/>
    <w:qFormat/>
    <w:rsid w:val="00017FD9"/>
    <w:pPr>
      <w:spacing w:before="120" w:after="240" w:line="324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33"/>
    <w:rPr>
      <w:rFonts w:ascii="Tahoma" w:eastAsiaTheme="minorHAnsi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A4AC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4ACF"/>
    <w:rPr>
      <w:rFonts w:ascii="Calibri" w:eastAsiaTheme="minorHAnsi" w:hAnsi="Calibri" w:cstheme="minorBid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Jacobson</dc:creator>
  <cp:lastModifiedBy>Jacobson</cp:lastModifiedBy>
  <cp:revision>16</cp:revision>
  <dcterms:created xsi:type="dcterms:W3CDTF">2017-03-22T17:19:00Z</dcterms:created>
  <dcterms:modified xsi:type="dcterms:W3CDTF">2017-03-31T18:21:00Z</dcterms:modified>
</cp:coreProperties>
</file>