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2F2B" w:rsidRDefault="00262F2B" w:rsidP="00D11A90">
      <w:pPr>
        <w:spacing w:after="0" w:line="48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Supplemental Digital Content</w:t>
      </w:r>
    </w:p>
    <w:p w:rsidR="00D11A90" w:rsidRPr="000511BA" w:rsidRDefault="00D11A90" w:rsidP="00D11A90">
      <w:pPr>
        <w:spacing w:after="0" w:line="480" w:lineRule="auto"/>
        <w:contextualSpacing/>
        <w:rPr>
          <w:rFonts w:ascii="Times New Roman" w:hAnsi="Times New Roman" w:cs="Arial"/>
          <w:b/>
        </w:rPr>
      </w:pPr>
      <w:r w:rsidRPr="00845402">
        <w:rPr>
          <w:rFonts w:ascii="Times New Roman" w:hAnsi="Times New Roman" w:cs="Arial"/>
          <w:b/>
        </w:rPr>
        <w:t xml:space="preserve"> </w:t>
      </w:r>
      <w:r w:rsidR="00C64471">
        <w:rPr>
          <w:rFonts w:ascii="Times New Roman" w:hAnsi="Times New Roman" w:cs="Arial"/>
          <w:b/>
        </w:rPr>
        <w:t xml:space="preserve">Table </w:t>
      </w:r>
      <w:r>
        <w:rPr>
          <w:rFonts w:ascii="Times New Roman" w:hAnsi="Times New Roman" w:cs="Arial"/>
          <w:b/>
        </w:rPr>
        <w:t>1.</w:t>
      </w:r>
      <w:r w:rsidRPr="000511BA">
        <w:rPr>
          <w:rFonts w:ascii="Times New Roman" w:hAnsi="Times New Roman" w:cs="Arial"/>
          <w:b/>
        </w:rPr>
        <w:t xml:space="preserve"> </w:t>
      </w:r>
      <w:bookmarkStart w:id="0" w:name="OLE_LINK5"/>
      <w:r w:rsidRPr="000511BA">
        <w:rPr>
          <w:rFonts w:ascii="Times New Roman" w:hAnsi="Times New Roman" w:cs="Arial"/>
          <w:b/>
        </w:rPr>
        <w:t>Factors associated with warfarin use at baseline</w:t>
      </w:r>
    </w:p>
    <w:tbl>
      <w:tblPr>
        <w:tblW w:w="10815" w:type="dxa"/>
        <w:tblInd w:w="93" w:type="dxa"/>
        <w:tblLayout w:type="fixed"/>
        <w:tblLook w:val="04A0"/>
      </w:tblPr>
      <w:tblGrid>
        <w:gridCol w:w="4245"/>
        <w:gridCol w:w="2250"/>
        <w:gridCol w:w="1080"/>
        <w:gridCol w:w="2160"/>
        <w:gridCol w:w="1080"/>
      </w:tblGrid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b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Unadjusted</w:t>
            </w:r>
          </w:p>
        </w:tc>
        <w:tc>
          <w:tcPr>
            <w:tcW w:w="1080" w:type="dxa"/>
            <w:shd w:val="clear" w:color="auto" w:fill="auto"/>
          </w:tcPr>
          <w:p w:rsidR="00D11A90" w:rsidRPr="00C54DDE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i/>
                <w:color w:val="000000"/>
                <w:szCs w:val="20"/>
              </w:rPr>
              <w:t>p</w:t>
            </w: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-value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Adjusted Model</w:t>
            </w:r>
          </w:p>
        </w:tc>
        <w:tc>
          <w:tcPr>
            <w:tcW w:w="1080" w:type="dxa"/>
            <w:shd w:val="clear" w:color="auto" w:fill="auto"/>
          </w:tcPr>
          <w:p w:rsidR="00D11A90" w:rsidRPr="00C54DDE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i/>
                <w:color w:val="000000"/>
                <w:szCs w:val="20"/>
              </w:rPr>
              <w:t>p</w:t>
            </w: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-value</w:t>
            </w:r>
          </w:p>
        </w:tc>
      </w:tr>
      <w:tr w:rsidR="00D11A90" w:rsidRPr="000511BA">
        <w:trPr>
          <w:trHeight w:val="300"/>
        </w:trPr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b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b/>
                <w:color w:val="000000"/>
              </w:rPr>
              <w:t>Parameter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Prevalence Ratio (95%</w:t>
            </w: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 xml:space="preserve"> </w:t>
            </w: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Prevalence Ratio (95%</w:t>
            </w: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 xml:space="preserve"> </w:t>
            </w: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</w:p>
        </w:tc>
      </w:tr>
      <w:tr w:rsidR="00D11A90" w:rsidRPr="00600ADD">
        <w:trPr>
          <w:trHeight w:val="300"/>
        </w:trPr>
        <w:tc>
          <w:tcPr>
            <w:tcW w:w="1081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11A90" w:rsidRPr="00600ADD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1B2C2C">
              <w:rPr>
                <w:rFonts w:ascii="Times New Roman" w:hAnsi="Times New Roman"/>
                <w:b/>
              </w:rPr>
              <w:t>CHA</w:t>
            </w:r>
            <w:r w:rsidRPr="001B2C2C">
              <w:rPr>
                <w:rFonts w:ascii="Times New Roman" w:hAnsi="Times New Roman"/>
                <w:b/>
                <w:vertAlign w:val="subscript"/>
              </w:rPr>
              <w:t>2</w:t>
            </w:r>
            <w:r w:rsidRPr="001B2C2C">
              <w:rPr>
                <w:rFonts w:ascii="Times New Roman" w:hAnsi="Times New Roman"/>
                <w:b/>
              </w:rPr>
              <w:t>DS</w:t>
            </w:r>
            <w:r w:rsidRPr="001B2C2C">
              <w:rPr>
                <w:rFonts w:ascii="Times New Roman" w:hAnsi="Times New Roman"/>
                <w:b/>
                <w:vertAlign w:val="subscript"/>
              </w:rPr>
              <w:t>2</w:t>
            </w:r>
            <w:r w:rsidRPr="001B2C2C">
              <w:rPr>
                <w:rFonts w:ascii="Times New Roman" w:hAnsi="Times New Roman"/>
                <w:b/>
              </w:rPr>
              <w:t>-VASc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color w:val="000000"/>
              </w:rPr>
              <w:t>Factors</w:t>
            </w: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Age (per decade)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1.10 (0.99, 1.24)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0.083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1.05 (0.93, 1.19)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0.44</w:t>
            </w: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 xml:space="preserve">Female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0.57 (0.15, 2.10</w:t>
            </w: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0.40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0.66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 xml:space="preserve"> (0.18, 2.53)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0.53</w:t>
            </w: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Diabetes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1.30 (0.99, 1.72)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0.057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Hypertension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1.07 (0.84, 1.</w:t>
            </w: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37)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0.57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eastAsia="Times New Roman" w:hAnsi="Times New Roman" w:cs="Arial"/>
                <w:color w:val="000000"/>
              </w:rPr>
              <w:t>Vascular Disease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1.53 (1.20, 1.96)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0.007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eastAsia="Times New Roman" w:hAnsi="Times New Roman" w:cs="Arial"/>
                <w:color w:val="000000"/>
              </w:rPr>
              <w:t>Heart Failure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1.56 (1.21, 2.01)</w:t>
            </w:r>
          </w:p>
        </w:tc>
        <w:tc>
          <w:tcPr>
            <w:tcW w:w="1080" w:type="dxa"/>
            <w:shd w:val="clear" w:color="auto" w:fill="auto"/>
          </w:tcPr>
          <w:p w:rsidR="00D11A90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0.0006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1.54 (1.20, 1.99)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0.0008</w:t>
            </w:r>
          </w:p>
        </w:tc>
      </w:tr>
      <w:tr w:rsidR="00D11A90" w:rsidRPr="000511BA">
        <w:trPr>
          <w:trHeight w:val="300"/>
        </w:trPr>
        <w:tc>
          <w:tcPr>
            <w:tcW w:w="10815" w:type="dxa"/>
            <w:gridSpan w:val="5"/>
            <w:shd w:val="clear" w:color="auto" w:fill="auto"/>
            <w:noWrap/>
            <w:vAlign w:val="bottom"/>
          </w:tcPr>
          <w:p w:rsidR="00D11A90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</w:rPr>
              <w:t>Other</w:t>
            </w: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Black vs. White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0.69 (0.53, 0.89)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0.0042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0.80 (0.61, 1.04)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0.097</w:t>
            </w: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Other vs. White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0.92 (0.39, 2.21)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0.86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1.01 (0.47, 2.20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0.97</w:t>
            </w: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Total Cholesterol (per 10 mg/dL)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1.01 (0.98, 1.03)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0.66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Low Density Lipoprotein (per 10 mg/dL)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1.00 (0.97, 1.04)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0.83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High Density Lipoprotein (per 10 mg/dL)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0.96 (0.89, 1.04)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0.31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Triglyceride (per doubling)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1.07 (0.95, 1.20)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0.29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Smoking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0.82 (0.63, 1.07)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0.14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Illicit drug use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0.92 (0.72, 1.18)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0.51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Alcoholism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0.77 (0.58, 1.01)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0.059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Body Mass Index (per kg/m</w:t>
            </w:r>
            <w:r w:rsidRPr="000511BA">
              <w:rPr>
                <w:rFonts w:ascii="Times New Roman" w:eastAsia="Times New Roman" w:hAnsi="Times New Roman" w:cs="Arial"/>
                <w:color w:val="000000"/>
                <w:vertAlign w:val="superscript"/>
              </w:rPr>
              <w:t>2</w:t>
            </w:r>
            <w:r w:rsidRPr="000511BA">
              <w:rPr>
                <w:rFonts w:ascii="Times New Roman" w:eastAsia="Times New Roman" w:hAnsi="Times New Roman" w:cs="Arial"/>
                <w:color w:val="000000"/>
              </w:rPr>
              <w:t>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1.05 (1.03, 1.07</w:t>
            </w: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&lt;.0001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1.04 (1.02, 1.06)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&lt;.0001</w:t>
            </w: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ind w:left="720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20-25 vs. &lt;20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1.27 (0.80, 2.02)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0.31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ind w:left="720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25-30 vs. &lt;20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1.38 (0.86, 2.20)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0.18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ind w:left="720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&gt;30 vs. &lt;20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2.09 (1.30, 3.35)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0.0022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Serum Albumin (per 0.5 mg/dL)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1.17 (1.08, 1.28)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0.0002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1.12 (1.03, 1.22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0.00098</w:t>
            </w: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ind w:left="720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3.5-4.0 vs. &lt;3.5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1.45 (1.05, 1.98)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0.022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ind w:left="720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&gt;4.0 vs. &lt;3.5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1.55 (1.13, 2.14)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0.0072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Proteinuria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0.93 (0.71, 1.22)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0.62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eGFR (per 10 ml/min drop)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1.02 (0.98, 1.06)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0.45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10815" w:type="dxa"/>
            <w:gridSpan w:val="5"/>
            <w:shd w:val="clear" w:color="auto" w:fill="auto"/>
            <w:noWrap/>
            <w:vAlign w:val="bottom"/>
          </w:tcPr>
          <w:p w:rsidR="00D11A90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</w:rPr>
              <w:t>HIV-Related Factors</w:t>
            </w: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Current CD4 Count (doubling)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1.13 (1.04, 1.24)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0.0067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Nadir CD4 (doubling)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1.08 (1.01, 1.16)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0.021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HIV Viral Load &gt;1000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0.71 (0.55, 0.92)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0.011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ART use</w:t>
            </w:r>
            <w:r w:rsidR="003806B5">
              <w:rPr>
                <w:rFonts w:ascii="Times New Roman" w:eastAsia="Times New Roman" w:hAnsi="Times New Roman" w:cs="Arial"/>
                <w:color w:val="000000"/>
              </w:rPr>
              <w:t xml:space="preserve"> (current)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1.65 (1.22, 2.24)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0.0012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1.50 (1.11, 2.04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0.0093</w:t>
            </w:r>
          </w:p>
        </w:tc>
      </w:tr>
      <w:tr w:rsidR="00D11A90" w:rsidRPr="000511BA">
        <w:trPr>
          <w:trHeight w:val="300"/>
        </w:trPr>
        <w:tc>
          <w:tcPr>
            <w:tcW w:w="4245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Hepatitis C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0.73 (0.55, 0.96)</w:t>
            </w: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0.024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D11A90" w:rsidRPr="000511BA">
        <w:trPr>
          <w:trHeight w:val="300"/>
        </w:trPr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</w:rPr>
              <w:t>Hepatitis B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0.86 (0.60, 1.23</w:t>
            </w: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0.41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11A90" w:rsidRPr="000511BA" w:rsidRDefault="00D11A90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bookmarkEnd w:id="0"/>
    </w:tbl>
    <w:p w:rsidR="00D11A90" w:rsidRDefault="00D11A90" w:rsidP="00D11A90">
      <w:pPr>
        <w:spacing w:line="480" w:lineRule="auto"/>
        <w:contextualSpacing/>
        <w:rPr>
          <w:rFonts w:ascii="Times New Roman" w:eastAsia="Arial" w:hAnsi="Times New Roman" w:cs="Arial"/>
          <w:szCs w:val="20"/>
        </w:rPr>
      </w:pPr>
    </w:p>
    <w:p w:rsidR="00D11A90" w:rsidRPr="000511BA" w:rsidRDefault="00D11A90" w:rsidP="00D11A90">
      <w:pPr>
        <w:spacing w:line="480" w:lineRule="auto"/>
        <w:contextualSpacing/>
        <w:rPr>
          <w:rFonts w:ascii="Times New Roman" w:hAnsi="Times New Roman"/>
          <w:b/>
        </w:rPr>
      </w:pPr>
      <w:r>
        <w:rPr>
          <w:rFonts w:ascii="Times New Roman" w:eastAsia="Arial" w:hAnsi="Times New Roman" w:cs="Arial"/>
          <w:szCs w:val="20"/>
        </w:rPr>
        <w:t>ART = anti-retroviral therapy</w:t>
      </w:r>
      <w:r w:rsidRPr="000511BA">
        <w:rPr>
          <w:rFonts w:ascii="Times New Roman" w:eastAsia="Arial" w:hAnsi="Times New Roman" w:cs="Arial"/>
          <w:szCs w:val="20"/>
        </w:rPr>
        <w:t xml:space="preserve">; </w:t>
      </w:r>
      <w:r>
        <w:rPr>
          <w:rFonts w:ascii="Times New Roman" w:eastAsia="Arial" w:hAnsi="Times New Roman" w:cs="Arial"/>
          <w:szCs w:val="20"/>
        </w:rPr>
        <w:t>CI = confidence interval</w:t>
      </w:r>
      <w:r w:rsidRPr="000511BA">
        <w:rPr>
          <w:rFonts w:ascii="Times New Roman" w:eastAsia="Arial" w:hAnsi="Times New Roman" w:cs="Arial"/>
          <w:szCs w:val="20"/>
        </w:rPr>
        <w:t xml:space="preserve">; </w:t>
      </w:r>
      <w:r>
        <w:rPr>
          <w:rFonts w:ascii="Times New Roman" w:eastAsia="Arial" w:hAnsi="Times New Roman" w:cs="Arial"/>
          <w:szCs w:val="20"/>
        </w:rPr>
        <w:t xml:space="preserve">eGFR = </w:t>
      </w:r>
      <w:r w:rsidRPr="000511BA">
        <w:rPr>
          <w:rFonts w:ascii="Times New Roman" w:eastAsia="Arial" w:hAnsi="Times New Roman" w:cs="Arial"/>
          <w:szCs w:val="20"/>
        </w:rPr>
        <w:t>estimated gl</w:t>
      </w:r>
      <w:r>
        <w:rPr>
          <w:rFonts w:ascii="Times New Roman" w:eastAsia="Arial" w:hAnsi="Times New Roman" w:cs="Arial"/>
          <w:szCs w:val="20"/>
        </w:rPr>
        <w:t>omerular filtration rate; HIV = human immunodeficiency virus; vs. = versus.</w:t>
      </w:r>
    </w:p>
    <w:p w:rsidR="00D11A90" w:rsidRDefault="00D11A90" w:rsidP="00D11A90">
      <w:pPr>
        <w:spacing w:line="480" w:lineRule="auto"/>
        <w:contextualSpacing/>
        <w:rPr>
          <w:rFonts w:ascii="Times New Roman" w:hAnsi="Times New Roman" w:cs="Arial"/>
          <w:b/>
        </w:rPr>
      </w:pPr>
    </w:p>
    <w:p w:rsidR="00D11A90" w:rsidRDefault="00D11A90" w:rsidP="00D11A90">
      <w:pPr>
        <w:spacing w:line="480" w:lineRule="auto"/>
        <w:contextualSpacing/>
        <w:rPr>
          <w:rFonts w:ascii="Times New Roman" w:hAnsi="Times New Roman" w:cs="Arial"/>
          <w:b/>
        </w:rPr>
      </w:pPr>
    </w:p>
    <w:p w:rsidR="00D11A90" w:rsidRDefault="00D11A90" w:rsidP="00D11A90">
      <w:pPr>
        <w:spacing w:line="480" w:lineRule="auto"/>
        <w:contextualSpacing/>
        <w:rPr>
          <w:rFonts w:ascii="Times New Roman" w:hAnsi="Times New Roman" w:cs="Arial"/>
          <w:b/>
        </w:rPr>
      </w:pPr>
    </w:p>
    <w:p w:rsidR="00D11A90" w:rsidRDefault="00D11A90" w:rsidP="00D11A90">
      <w:pPr>
        <w:spacing w:line="480" w:lineRule="auto"/>
        <w:contextualSpacing/>
        <w:rPr>
          <w:rFonts w:ascii="Times New Roman" w:hAnsi="Times New Roman" w:cs="Arial"/>
          <w:b/>
        </w:rPr>
      </w:pPr>
    </w:p>
    <w:p w:rsidR="00D11A90" w:rsidRDefault="00D11A90" w:rsidP="00D11A90">
      <w:pPr>
        <w:spacing w:line="480" w:lineRule="auto"/>
        <w:contextualSpacing/>
        <w:rPr>
          <w:rFonts w:ascii="Times New Roman" w:eastAsia="Arial" w:hAnsi="Times New Roman" w:cs="Arial"/>
          <w:b/>
          <w:szCs w:val="20"/>
        </w:rPr>
        <w:sectPr w:rsidR="00D11A90">
          <w:pgSz w:w="15840" w:h="12240" w:orient="landscape"/>
          <w:pgMar w:top="1800" w:right="1440" w:bottom="1800" w:left="1440" w:gutter="0"/>
        </w:sectPr>
      </w:pPr>
    </w:p>
    <w:p w:rsidR="00D11A90" w:rsidRPr="00BA7BFE" w:rsidRDefault="00C64471" w:rsidP="00D11A90">
      <w:pPr>
        <w:spacing w:line="480" w:lineRule="auto"/>
        <w:contextualSpacing/>
        <w:rPr>
          <w:rFonts w:ascii="Times New Roman" w:eastAsia="Arial" w:hAnsi="Times New Roman" w:cs="Arial"/>
          <w:b/>
          <w:szCs w:val="20"/>
        </w:rPr>
      </w:pPr>
      <w:r>
        <w:rPr>
          <w:rFonts w:ascii="Times New Roman" w:eastAsia="Arial" w:hAnsi="Times New Roman" w:cs="Arial"/>
          <w:b/>
          <w:szCs w:val="20"/>
        </w:rPr>
        <w:t xml:space="preserve">Table </w:t>
      </w:r>
      <w:r w:rsidR="004A7CF5">
        <w:rPr>
          <w:rFonts w:ascii="Times New Roman" w:eastAsia="Arial" w:hAnsi="Times New Roman" w:cs="Arial"/>
          <w:b/>
          <w:szCs w:val="20"/>
        </w:rPr>
        <w:t>2</w:t>
      </w:r>
      <w:r w:rsidR="00D11A90">
        <w:rPr>
          <w:rFonts w:ascii="Times New Roman" w:eastAsia="Arial" w:hAnsi="Times New Roman" w:cs="Arial"/>
          <w:b/>
          <w:szCs w:val="20"/>
        </w:rPr>
        <w:t>.</w:t>
      </w:r>
      <w:r w:rsidR="00D11A90" w:rsidRPr="00BA7BFE">
        <w:rPr>
          <w:rFonts w:ascii="Times New Roman" w:eastAsia="Arial" w:hAnsi="Times New Roman" w:cs="Arial"/>
          <w:b/>
          <w:szCs w:val="20"/>
        </w:rPr>
        <w:t xml:space="preserve"> </w:t>
      </w:r>
      <w:r w:rsidR="00D11A90" w:rsidRPr="00BA7BFE">
        <w:rPr>
          <w:rFonts w:ascii="Times New Roman" w:hAnsi="Times New Roman" w:cs="Arial"/>
          <w:b/>
        </w:rPr>
        <w:t>Sensitivity analysis of unadjusted associations of demographic and baseline clinical characteristics with thromboembolic events (excluding those taking warfarin at baseline)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3240"/>
        <w:gridCol w:w="2088"/>
      </w:tblGrid>
      <w:tr w:rsidR="00D11A90" w:rsidRPr="00BA7BFE">
        <w:tc>
          <w:tcPr>
            <w:tcW w:w="4248" w:type="dxa"/>
            <w:tcBorders>
              <w:top w:val="nil"/>
              <w:left w:val="nil"/>
              <w:bottom w:val="single" w:sz="4" w:space="0" w:color="auto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BA7BFE">
              <w:rPr>
                <w:rFonts w:ascii="Times New Roman" w:hAnsi="Times New Roman"/>
                <w:b/>
                <w:sz w:val="24"/>
              </w:rPr>
              <w:t>Parameter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A7BFE">
              <w:rPr>
                <w:rFonts w:ascii="Times New Roman" w:hAnsi="Times New Roman"/>
                <w:b/>
                <w:sz w:val="24"/>
              </w:rPr>
              <w:t>HR (95%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A7BFE">
              <w:rPr>
                <w:rFonts w:ascii="Times New Roman" w:hAnsi="Times New Roman"/>
                <w:b/>
                <w:sz w:val="24"/>
              </w:rPr>
              <w:t>CI)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302D46">
              <w:rPr>
                <w:rFonts w:ascii="Times New Roman" w:hAnsi="Times New Roman"/>
                <w:b/>
                <w:i/>
                <w:sz w:val="24"/>
              </w:rPr>
              <w:t>p</w:t>
            </w:r>
            <w:r w:rsidRPr="00BA7BFE">
              <w:rPr>
                <w:rFonts w:ascii="Times New Roman" w:hAnsi="Times New Roman"/>
                <w:b/>
                <w:sz w:val="24"/>
              </w:rPr>
              <w:t>-value</w:t>
            </w:r>
          </w:p>
        </w:tc>
      </w:tr>
      <w:tr w:rsidR="00D11A90" w:rsidRPr="00BA7BFE">
        <w:tc>
          <w:tcPr>
            <w:tcW w:w="95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1B2C2C">
              <w:rPr>
                <w:rFonts w:ascii="Times New Roman" w:hAnsi="Times New Roman"/>
                <w:b/>
                <w:sz w:val="24"/>
              </w:rPr>
              <w:t>CHA</w:t>
            </w:r>
            <w:r w:rsidRPr="001B2C2C">
              <w:rPr>
                <w:rFonts w:ascii="Times New Roman" w:hAnsi="Times New Roman"/>
                <w:b/>
                <w:sz w:val="24"/>
                <w:vertAlign w:val="subscript"/>
              </w:rPr>
              <w:t>2</w:t>
            </w:r>
            <w:r w:rsidRPr="001B2C2C">
              <w:rPr>
                <w:rFonts w:ascii="Times New Roman" w:hAnsi="Times New Roman"/>
                <w:b/>
                <w:sz w:val="24"/>
              </w:rPr>
              <w:t>DS</w:t>
            </w:r>
            <w:r w:rsidRPr="001B2C2C">
              <w:rPr>
                <w:rFonts w:ascii="Times New Roman" w:hAnsi="Times New Roman"/>
                <w:b/>
                <w:sz w:val="24"/>
                <w:vertAlign w:val="subscript"/>
              </w:rPr>
              <w:t>2</w:t>
            </w:r>
            <w:r w:rsidRPr="001B2C2C">
              <w:rPr>
                <w:rFonts w:ascii="Times New Roman" w:hAnsi="Times New Roman"/>
                <w:b/>
                <w:sz w:val="24"/>
              </w:rPr>
              <w:t>-VASc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Factors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Age (per decade)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1.05 (0.72, 1.53)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0.82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Diabetes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1.37 (0.51, 3.67)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0.53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Hypertension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1.27 (0.57, 2.86)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0.56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Vascular Disease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0.44 (0.13, 1.48)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0.19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Heart Failure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1.34 (0.53, 3.36)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0.53</w:t>
            </w:r>
          </w:p>
        </w:tc>
      </w:tr>
      <w:tr w:rsidR="00D11A90" w:rsidRPr="00BA7BFE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</w:rPr>
            </w:pPr>
            <w:r w:rsidRPr="00D12289">
              <w:rPr>
                <w:rFonts w:ascii="Times New Roman" w:hAnsi="Times New Roman"/>
                <w:b/>
                <w:sz w:val="24"/>
              </w:rPr>
              <w:t>Other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Black vs. White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1.29 (0.57, 2.91)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0.55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Other vs. White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na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na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otal</w:t>
            </w:r>
            <w:r w:rsidRPr="00BA7BFE">
              <w:rPr>
                <w:rFonts w:ascii="Times New Roman" w:hAnsi="Times New Roman"/>
                <w:sz w:val="24"/>
              </w:rPr>
              <w:t xml:space="preserve"> Chol</w:t>
            </w:r>
            <w:r>
              <w:rPr>
                <w:rFonts w:ascii="Times New Roman" w:hAnsi="Times New Roman"/>
                <w:sz w:val="24"/>
              </w:rPr>
              <w:t>esterol</w:t>
            </w:r>
            <w:r w:rsidRPr="00BA7BFE">
              <w:rPr>
                <w:rFonts w:ascii="Times New Roman" w:hAnsi="Times New Roman"/>
                <w:sz w:val="24"/>
              </w:rPr>
              <w:t xml:space="preserve"> (/10 mg/dL)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1.01 (0.93, 1.09)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0.88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 xml:space="preserve">ow </w:t>
            </w:r>
            <w:r w:rsidRPr="00BA7BFE"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 xml:space="preserve">ensity </w:t>
            </w:r>
            <w:r w:rsidRPr="00BA7BFE"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ipoprotein</w:t>
            </w:r>
            <w:r w:rsidRPr="00BA7BFE">
              <w:rPr>
                <w:rFonts w:ascii="Times New Roman" w:hAnsi="Times New Roman"/>
                <w:sz w:val="24"/>
              </w:rPr>
              <w:t xml:space="preserve"> (/10 mg/dL)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1.07 (0.97, 1.17)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0.19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 xml:space="preserve">igh </w:t>
            </w:r>
            <w:r w:rsidRPr="00BA7BFE"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 xml:space="preserve">ensity </w:t>
            </w:r>
            <w:r w:rsidRPr="00BA7BFE"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ipoprotein</w:t>
            </w:r>
            <w:r w:rsidRPr="00BA7BFE">
              <w:rPr>
                <w:rFonts w:ascii="Times New Roman" w:hAnsi="Times New Roman"/>
                <w:sz w:val="24"/>
              </w:rPr>
              <w:t xml:space="preserve"> (/10 mg/dL)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0.77 (0.62, 0.96)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0.02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Triglyceride</w:t>
            </w:r>
            <w:r w:rsidRPr="00BA7BFE">
              <w:rPr>
                <w:rFonts w:ascii="Times New Roman" w:hAnsi="Times New Roman"/>
                <w:sz w:val="24"/>
              </w:rPr>
              <w:t xml:space="preserve"> (doubling)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1.16 (0.82, 1.63)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0.41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Smoking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0.81 (0.34, 1.95)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0.64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Illicit Drug Use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0.68 (0.29, 1.59)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0.38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Alcoholism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1.21 (0.54, 2.75)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0.64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 xml:space="preserve">ody </w:t>
            </w:r>
            <w:r w:rsidRPr="00BA7BFE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 xml:space="preserve">ass </w:t>
            </w:r>
            <w:r w:rsidRPr="00BA7BFE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ndex</w:t>
            </w:r>
            <w:r w:rsidRPr="00BA7BFE">
              <w:rPr>
                <w:rFonts w:ascii="Times New Roman" w:hAnsi="Times New Roman"/>
                <w:sz w:val="24"/>
              </w:rPr>
              <w:t xml:space="preserve"> (kg/m</w:t>
            </w:r>
            <w:r w:rsidRPr="00BA7BFE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BA7BF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1.07 (1.01, 1.13)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0.02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20-25 vs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BA7BFE">
              <w:rPr>
                <w:rFonts w:ascii="Times New Roman" w:hAnsi="Times New Roman"/>
                <w:sz w:val="24"/>
              </w:rPr>
              <w:t xml:space="preserve"> &lt;20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1.09 (0.22, 5.36)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0.91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25-30 vs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BA7BFE">
              <w:rPr>
                <w:rFonts w:ascii="Times New Roman" w:hAnsi="Times New Roman"/>
                <w:sz w:val="24"/>
              </w:rPr>
              <w:t xml:space="preserve"> &lt;20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3.06 (0.70, 13.36)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0.14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&gt;30 vs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BA7BFE">
              <w:rPr>
                <w:rFonts w:ascii="Times New Roman" w:hAnsi="Times New Roman"/>
                <w:sz w:val="24"/>
              </w:rPr>
              <w:t xml:space="preserve"> &lt;20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2.29 (0.43, 12.23)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0.33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Serum albumin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1.12 (0.85, 1.48)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0.41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3.5-4.0 vs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BA7BFE">
              <w:rPr>
                <w:rFonts w:ascii="Times New Roman" w:hAnsi="Times New Roman"/>
                <w:sz w:val="24"/>
              </w:rPr>
              <w:t xml:space="preserve"> &lt;3.5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1.27 (0.47, 3.40)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0.64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&gt;4.0 vs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BA7BFE">
              <w:rPr>
                <w:rFonts w:ascii="Times New Roman" w:hAnsi="Times New Roman"/>
                <w:sz w:val="24"/>
              </w:rPr>
              <w:t xml:space="preserve"> &lt;3.5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1.46 (0.53, 4.03)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0.47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Proteinuria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0.88 (0.35, 2.20)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0.79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eGFR (per </w:t>
            </w:r>
            <w:r w:rsidRPr="00BA7BFE">
              <w:rPr>
                <w:rFonts w:ascii="Times New Roman" w:hAnsi="Times New Roman"/>
                <w:sz w:val="24"/>
              </w:rPr>
              <w:t>10 ml/min decrease)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0.98 (0.86, 1.10)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0.72</w:t>
            </w:r>
          </w:p>
        </w:tc>
      </w:tr>
      <w:tr w:rsidR="00D11A90" w:rsidRPr="00BA7BFE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:rsidR="00D11A90" w:rsidRPr="00D12289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b/>
              </w:rPr>
            </w:pPr>
            <w:r w:rsidRPr="00D12289">
              <w:rPr>
                <w:rFonts w:ascii="Times New Roman" w:hAnsi="Times New Roman"/>
                <w:b/>
                <w:sz w:val="24"/>
              </w:rPr>
              <w:t>HIV</w:t>
            </w:r>
            <w:r>
              <w:rPr>
                <w:rFonts w:ascii="Times New Roman" w:hAnsi="Times New Roman"/>
                <w:b/>
                <w:sz w:val="24"/>
              </w:rPr>
              <w:t>-Related Factors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Current CD4 (doubling)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0.92 (0.80, 1.07)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0.28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Nadir CD4 (doubling)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0.94 (0.75, 1.20)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0.64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HIV Viral Load (tenfold)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1.24 (0.94, 1.64)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0.14</w:t>
            </w:r>
          </w:p>
        </w:tc>
      </w:tr>
      <w:tr w:rsidR="00D11A90" w:rsidRPr="00BA7BFE">
        <w:tc>
          <w:tcPr>
            <w:tcW w:w="4248" w:type="dxa"/>
            <w:tcBorders>
              <w:lef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ART use</w:t>
            </w:r>
            <w:r w:rsidR="003806B5">
              <w:rPr>
                <w:rFonts w:ascii="Times New Roman" w:hAnsi="Times New Roman"/>
                <w:sz w:val="24"/>
              </w:rPr>
              <w:t xml:space="preserve"> (current)</w:t>
            </w:r>
          </w:p>
        </w:tc>
        <w:tc>
          <w:tcPr>
            <w:tcW w:w="3240" w:type="dxa"/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0.98 (0.42, 2.28)</w:t>
            </w:r>
          </w:p>
        </w:tc>
        <w:tc>
          <w:tcPr>
            <w:tcW w:w="2088" w:type="dxa"/>
            <w:tcBorders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0.96</w:t>
            </w:r>
          </w:p>
        </w:tc>
      </w:tr>
      <w:tr w:rsidR="00D11A90" w:rsidRPr="00BA7BFE">
        <w:tc>
          <w:tcPr>
            <w:tcW w:w="4248" w:type="dxa"/>
            <w:tcBorders>
              <w:left w:val="nil"/>
              <w:bottom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epatitis C</w:t>
            </w:r>
          </w:p>
        </w:tc>
        <w:tc>
          <w:tcPr>
            <w:tcW w:w="3240" w:type="dxa"/>
            <w:tcBorders>
              <w:bottom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0.44 (0.15, 1.28)</w:t>
            </w:r>
          </w:p>
        </w:tc>
        <w:tc>
          <w:tcPr>
            <w:tcW w:w="2088" w:type="dxa"/>
            <w:tcBorders>
              <w:bottom w:val="nil"/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0.13</w:t>
            </w:r>
          </w:p>
        </w:tc>
      </w:tr>
      <w:tr w:rsidR="00D11A90" w:rsidRPr="00BA7BFE">
        <w:tc>
          <w:tcPr>
            <w:tcW w:w="4248" w:type="dxa"/>
            <w:tcBorders>
              <w:top w:val="nil"/>
              <w:left w:val="nil"/>
              <w:bottom w:val="single" w:sz="4" w:space="0" w:color="auto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 xml:space="preserve">epatitis B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0.25 (0.03, 1.85)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:rsidR="00D11A90" w:rsidRPr="00BA7BFE" w:rsidRDefault="00D11A90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7BFE">
              <w:rPr>
                <w:rFonts w:ascii="Times New Roman" w:hAnsi="Times New Roman"/>
                <w:sz w:val="24"/>
              </w:rPr>
              <w:t>0.17</w:t>
            </w:r>
          </w:p>
        </w:tc>
      </w:tr>
    </w:tbl>
    <w:p w:rsidR="00D11A90" w:rsidRDefault="00D11A90" w:rsidP="00D11A90">
      <w:pPr>
        <w:spacing w:after="0" w:line="480" w:lineRule="auto"/>
        <w:contextualSpacing/>
        <w:rPr>
          <w:rFonts w:ascii="Times New Roman" w:eastAsia="Arial" w:hAnsi="Times New Roman"/>
          <w:szCs w:val="20"/>
        </w:rPr>
      </w:pPr>
    </w:p>
    <w:p w:rsidR="00D11A90" w:rsidRDefault="00D11A90" w:rsidP="00D11A90">
      <w:pPr>
        <w:spacing w:after="0" w:line="480" w:lineRule="auto"/>
        <w:contextualSpacing/>
      </w:pPr>
      <w:r>
        <w:rPr>
          <w:rFonts w:ascii="Times New Roman" w:eastAsia="Arial" w:hAnsi="Times New Roman"/>
          <w:szCs w:val="20"/>
        </w:rPr>
        <w:t xml:space="preserve">ART = antiretroviral therapy; CI = confidence interval; </w:t>
      </w:r>
      <w:r w:rsidRPr="000D7BF1">
        <w:rPr>
          <w:rFonts w:ascii="Times New Roman" w:eastAsia="Arial" w:hAnsi="Times New Roman"/>
          <w:szCs w:val="20"/>
        </w:rPr>
        <w:t xml:space="preserve">eGFR = </w:t>
      </w:r>
      <w:r>
        <w:rPr>
          <w:rFonts w:ascii="Times New Roman" w:eastAsia="Arial" w:hAnsi="Times New Roman"/>
          <w:szCs w:val="20"/>
        </w:rPr>
        <w:t xml:space="preserve">estimated </w:t>
      </w:r>
      <w:r w:rsidRPr="000D7BF1">
        <w:rPr>
          <w:rFonts w:ascii="Times New Roman" w:eastAsia="Arial" w:hAnsi="Times New Roman"/>
          <w:szCs w:val="20"/>
        </w:rPr>
        <w:t xml:space="preserve">glomerular filtration </w:t>
      </w:r>
      <w:r>
        <w:rPr>
          <w:rFonts w:ascii="Times New Roman" w:eastAsia="Arial" w:hAnsi="Times New Roman"/>
          <w:szCs w:val="20"/>
        </w:rPr>
        <w:t>rate; HIV = human immunodeficiency virus; na = not applicable; vs. = versus</w:t>
      </w:r>
      <w:r w:rsidRPr="000D7BF1">
        <w:rPr>
          <w:rFonts w:ascii="Times New Roman" w:eastAsia="Arial" w:hAnsi="Times New Roman"/>
          <w:szCs w:val="20"/>
        </w:rPr>
        <w:t>.</w:t>
      </w:r>
    </w:p>
    <w:p w:rsidR="00D11A90" w:rsidRDefault="00D11A90" w:rsidP="00D11A90">
      <w:pPr>
        <w:spacing w:line="480" w:lineRule="auto"/>
        <w:contextualSpacing/>
        <w:rPr>
          <w:rFonts w:ascii="Times New Roman" w:hAnsi="Times New Roman" w:cs="Arial"/>
          <w:b/>
        </w:rPr>
      </w:pPr>
    </w:p>
    <w:p w:rsidR="00D11A90" w:rsidRDefault="00D11A90" w:rsidP="00D11A90">
      <w:pPr>
        <w:spacing w:line="480" w:lineRule="auto"/>
        <w:contextualSpacing/>
        <w:rPr>
          <w:rFonts w:ascii="Times New Roman" w:hAnsi="Times New Roman" w:cs="Arial"/>
          <w:b/>
        </w:rPr>
      </w:pPr>
    </w:p>
    <w:p w:rsidR="00D11A90" w:rsidRDefault="00D11A90" w:rsidP="00D11A90">
      <w:pPr>
        <w:spacing w:line="480" w:lineRule="auto"/>
        <w:contextualSpacing/>
        <w:rPr>
          <w:rFonts w:ascii="Times New Roman" w:hAnsi="Times New Roman" w:cs="Arial"/>
          <w:b/>
        </w:rPr>
      </w:pPr>
    </w:p>
    <w:p w:rsidR="00D11A90" w:rsidRDefault="00D11A90" w:rsidP="00D11A90">
      <w:pPr>
        <w:spacing w:line="480" w:lineRule="auto"/>
        <w:contextualSpacing/>
        <w:rPr>
          <w:rFonts w:ascii="Times New Roman" w:hAnsi="Times New Roman" w:cs="Arial"/>
          <w:b/>
        </w:rPr>
      </w:pPr>
    </w:p>
    <w:p w:rsidR="00D11A90" w:rsidRDefault="00D11A90" w:rsidP="00D11A90">
      <w:pPr>
        <w:spacing w:line="480" w:lineRule="auto"/>
        <w:contextualSpacing/>
        <w:rPr>
          <w:rFonts w:ascii="Times New Roman" w:hAnsi="Times New Roman" w:cs="Arial"/>
          <w:b/>
        </w:rPr>
      </w:pPr>
    </w:p>
    <w:p w:rsidR="004A7CF5" w:rsidRDefault="004A7CF5">
      <w:pPr>
        <w:rPr>
          <w:rFonts w:ascii="Times New Roman" w:eastAsia="Times New Roman" w:hAnsi="Times New Roman" w:cs="Arial"/>
          <w:color w:val="000000"/>
          <w:szCs w:val="20"/>
        </w:rPr>
      </w:pPr>
    </w:p>
    <w:p w:rsidR="004A7CF5" w:rsidRDefault="004A7CF5">
      <w:pPr>
        <w:rPr>
          <w:rFonts w:ascii="Times New Roman" w:eastAsia="Times New Roman" w:hAnsi="Times New Roman" w:cs="Arial"/>
          <w:color w:val="000000"/>
          <w:szCs w:val="20"/>
        </w:rPr>
      </w:pPr>
    </w:p>
    <w:p w:rsidR="004A7CF5" w:rsidRDefault="004A7CF5">
      <w:pPr>
        <w:rPr>
          <w:rFonts w:ascii="Times New Roman" w:eastAsia="Times New Roman" w:hAnsi="Times New Roman" w:cs="Arial"/>
          <w:color w:val="000000"/>
          <w:szCs w:val="20"/>
        </w:rPr>
      </w:pPr>
    </w:p>
    <w:p w:rsidR="004A7CF5" w:rsidRPr="000511BA" w:rsidRDefault="004A7CF5" w:rsidP="004A7CF5">
      <w:pPr>
        <w:spacing w:line="480" w:lineRule="auto"/>
        <w:contextualSpacing/>
        <w:rPr>
          <w:rFonts w:ascii="Times New Roman" w:hAnsi="Times New Roman" w:cs="Arial"/>
          <w:b/>
          <w:szCs w:val="20"/>
        </w:rPr>
      </w:pPr>
      <w:r>
        <w:rPr>
          <w:rFonts w:ascii="Times New Roman" w:hAnsi="Times New Roman" w:cs="Arial"/>
          <w:b/>
        </w:rPr>
        <w:t>Table 3. A</w:t>
      </w:r>
      <w:r w:rsidRPr="000511BA">
        <w:rPr>
          <w:rFonts w:ascii="Times New Roman" w:hAnsi="Times New Roman" w:cs="Arial"/>
          <w:b/>
        </w:rPr>
        <w:t>ssociations of demographic and baseline clinical characteristics with thromboembolic events</w:t>
      </w:r>
      <w:r>
        <w:rPr>
          <w:rFonts w:ascii="Times New Roman" w:hAnsi="Times New Roman" w:cs="Arial"/>
          <w:b/>
        </w:rPr>
        <w:t xml:space="preserve"> (including hemorrhagic strokes)</w:t>
      </w:r>
    </w:p>
    <w:tbl>
      <w:tblPr>
        <w:tblW w:w="13695" w:type="dxa"/>
        <w:tblInd w:w="93" w:type="dxa"/>
        <w:tblLayout w:type="fixed"/>
        <w:tblLook w:val="04A0"/>
      </w:tblPr>
      <w:tblGrid>
        <w:gridCol w:w="1815"/>
        <w:gridCol w:w="1530"/>
        <w:gridCol w:w="1530"/>
        <w:gridCol w:w="2340"/>
        <w:gridCol w:w="2160"/>
        <w:gridCol w:w="1080"/>
        <w:gridCol w:w="2160"/>
        <w:gridCol w:w="1080"/>
      </w:tblGrid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Event rate (95%</w:t>
            </w: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 xml:space="preserve"> </w:t>
            </w: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CI)</w:t>
            </w:r>
          </w:p>
        </w:tc>
        <w:tc>
          <w:tcPr>
            <w:tcW w:w="3240" w:type="dxa"/>
            <w:gridSpan w:val="2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U</w:t>
            </w:r>
            <w:r w:rsidRPr="000201B7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nadjusted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</w:tcPr>
          <w:p w:rsidR="004A7CF5" w:rsidRPr="00B57F1E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 xml:space="preserve">Adjusted </w:t>
            </w:r>
          </w:p>
        </w:tc>
      </w:tr>
      <w:tr w:rsidR="004A7CF5" w:rsidRPr="000511BA">
        <w:trPr>
          <w:trHeight w:val="300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Parameter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Level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N (%)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 xml:space="preserve"> (per 1000 PY</w:t>
            </w: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HR (95%</w:t>
            </w: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 xml:space="preserve"> </w:t>
            </w: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b/>
                <w:i/>
                <w:color w:val="000000"/>
                <w:szCs w:val="20"/>
              </w:rPr>
              <w:t>p</w:t>
            </w: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-value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HR (95%</w:t>
            </w: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 xml:space="preserve"> </w:t>
            </w: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b/>
                <w:i/>
                <w:color w:val="000000"/>
                <w:szCs w:val="20"/>
              </w:rPr>
              <w:t>p</w:t>
            </w: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-value</w:t>
            </w:r>
          </w:p>
        </w:tc>
      </w:tr>
      <w:tr w:rsidR="004A7CF5" w:rsidRPr="000511BA">
        <w:trPr>
          <w:trHeight w:val="300"/>
        </w:trPr>
        <w:tc>
          <w:tcPr>
            <w:tcW w:w="13695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7CF5" w:rsidRPr="002D3F61" w:rsidRDefault="004A7CF5" w:rsidP="00403481">
            <w:pPr>
              <w:spacing w:after="0" w:line="480" w:lineRule="auto"/>
              <w:contextualSpacing/>
              <w:rPr>
                <w:rFonts w:ascii="Times New Roman" w:hAnsi="Times New Roman" w:cs="Arial"/>
                <w:b/>
                <w:szCs w:val="20"/>
              </w:rPr>
            </w:pPr>
            <w:r w:rsidRPr="001B2C2C">
              <w:rPr>
                <w:rFonts w:ascii="Times New Roman" w:hAnsi="Times New Roman"/>
                <w:b/>
              </w:rPr>
              <w:t>CHA</w:t>
            </w:r>
            <w:r w:rsidRPr="001B2C2C">
              <w:rPr>
                <w:rFonts w:ascii="Times New Roman" w:hAnsi="Times New Roman"/>
                <w:b/>
                <w:vertAlign w:val="subscript"/>
              </w:rPr>
              <w:t>2</w:t>
            </w:r>
            <w:r w:rsidRPr="001B2C2C">
              <w:rPr>
                <w:rFonts w:ascii="Times New Roman" w:hAnsi="Times New Roman"/>
                <w:b/>
              </w:rPr>
              <w:t>DS</w:t>
            </w:r>
            <w:r w:rsidRPr="001B2C2C">
              <w:rPr>
                <w:rFonts w:ascii="Times New Roman" w:hAnsi="Times New Roman"/>
                <w:b/>
                <w:vertAlign w:val="subscript"/>
              </w:rPr>
              <w:t>2</w:t>
            </w:r>
            <w:r w:rsidRPr="001B2C2C">
              <w:rPr>
                <w:rFonts w:ascii="Times New Roman" w:hAnsi="Times New Roman"/>
                <w:b/>
              </w:rPr>
              <w:t>-VASc</w:t>
            </w:r>
            <w:r>
              <w:rPr>
                <w:rFonts w:ascii="Times New Roman" w:hAnsi="Times New Roman"/>
              </w:rPr>
              <w:t xml:space="preserve"> </w:t>
            </w:r>
            <w:r w:rsidRPr="002D3F61">
              <w:rPr>
                <w:rFonts w:ascii="Times New Roman" w:hAnsi="Times New Roman" w:cs="Arial"/>
                <w:b/>
                <w:szCs w:val="20"/>
              </w:rPr>
              <w:t>Factors</w:t>
            </w: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Age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per decade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1.05 (0.79, 1.41)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0.72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Gender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Female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 xml:space="preserve">0 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na</w:t>
            </w:r>
          </w:p>
        </w:tc>
        <w:tc>
          <w:tcPr>
            <w:tcW w:w="108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Male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36 (4.0%)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hAnsi="Times New Roman"/>
              </w:rPr>
              <w:t>8.5 (6.1, 11.8)</w:t>
            </w:r>
          </w:p>
        </w:tc>
        <w:tc>
          <w:tcPr>
            <w:tcW w:w="216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Diabetes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Yes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5 (2.6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7.2 (3.0, 17.2)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0.75 (0.29, 1.92)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0.55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No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31 (4.3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8.5 (6.0, 12.1)</w:t>
            </w:r>
          </w:p>
        </w:tc>
        <w:tc>
          <w:tcPr>
            <w:tcW w:w="216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reference</w:t>
            </w:r>
          </w:p>
        </w:tc>
        <w:tc>
          <w:tcPr>
            <w:tcW w:w="108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Hypertension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Yes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22 (4.7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9.4 (6.2, 14.3)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1.38 (0.71, 2.69)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0.35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No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14 (3.1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7.0 (4.2, 11.9)</w:t>
            </w:r>
          </w:p>
        </w:tc>
        <w:tc>
          <w:tcPr>
            <w:tcW w:w="216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reference</w:t>
            </w:r>
          </w:p>
        </w:tc>
        <w:tc>
          <w:tcPr>
            <w:tcW w:w="108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vMerge w:val="restart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Vascular Disease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Yes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6 (2.2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5.5 (2.5, 12.2)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0.55 (0.23, 1.31)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0.18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vMerge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No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30 (4.7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9.3 (6.5, 13.3)</w:t>
            </w:r>
          </w:p>
        </w:tc>
        <w:tc>
          <w:tcPr>
            <w:tcW w:w="216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reference</w:t>
            </w:r>
          </w:p>
        </w:tc>
        <w:tc>
          <w:tcPr>
            <w:tcW w:w="108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4A7CF5" w:rsidRPr="0041211C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E64D1D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Heart Failure</w:t>
            </w:r>
          </w:p>
        </w:tc>
        <w:tc>
          <w:tcPr>
            <w:tcW w:w="1530" w:type="dxa"/>
          </w:tcPr>
          <w:p w:rsidR="004A7CF5" w:rsidRPr="00E64D1D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E64D1D">
              <w:rPr>
                <w:rFonts w:ascii="Times New Roman" w:eastAsia="Times New Roman" w:hAnsi="Times New Roman" w:cs="Arial"/>
                <w:color w:val="000000"/>
                <w:szCs w:val="20"/>
              </w:rPr>
              <w:t>Yes</w:t>
            </w:r>
          </w:p>
        </w:tc>
        <w:tc>
          <w:tcPr>
            <w:tcW w:w="1530" w:type="dxa"/>
          </w:tcPr>
          <w:p w:rsidR="004A7CF5" w:rsidRPr="00E64D1D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E64D1D">
              <w:rPr>
                <w:rFonts w:ascii="Times New Roman" w:hAnsi="Times New Roman" w:cs="Arial"/>
                <w:szCs w:val="20"/>
              </w:rPr>
              <w:t>11 (5.1%)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E64D1D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E64D1D">
              <w:rPr>
                <w:rFonts w:ascii="Times New Roman" w:hAnsi="Times New Roman" w:cs="Arial"/>
                <w:szCs w:val="20"/>
              </w:rPr>
              <w:t>13.6 (7.5, 24.6)</w:t>
            </w:r>
          </w:p>
        </w:tc>
        <w:tc>
          <w:tcPr>
            <w:tcW w:w="2160" w:type="dxa"/>
          </w:tcPr>
          <w:p w:rsidR="004A7CF5" w:rsidRPr="00E64D1D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E64D1D">
              <w:rPr>
                <w:rFonts w:ascii="Times New Roman" w:hAnsi="Times New Roman" w:cs="Arial"/>
                <w:szCs w:val="20"/>
              </w:rPr>
              <w:t>1.54 (0.76, 3.11)</w:t>
            </w:r>
          </w:p>
        </w:tc>
        <w:tc>
          <w:tcPr>
            <w:tcW w:w="1080" w:type="dxa"/>
          </w:tcPr>
          <w:p w:rsidR="004A7CF5" w:rsidRPr="00E64D1D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E64D1D">
              <w:rPr>
                <w:rFonts w:ascii="Times New Roman" w:hAnsi="Times New Roman" w:cs="Arial"/>
                <w:szCs w:val="20"/>
              </w:rPr>
              <w:t>0.23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E64D1D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E64D1D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E64D1D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E64D1D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E64D1D">
              <w:rPr>
                <w:rFonts w:ascii="Times New Roman" w:eastAsia="Times New Roman" w:hAnsi="Times New Roman" w:cs="Arial"/>
                <w:color w:val="000000"/>
                <w:szCs w:val="20"/>
              </w:rPr>
              <w:t>No</w:t>
            </w:r>
          </w:p>
        </w:tc>
        <w:tc>
          <w:tcPr>
            <w:tcW w:w="1530" w:type="dxa"/>
          </w:tcPr>
          <w:p w:rsidR="004A7CF5" w:rsidRPr="00E64D1D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E64D1D">
              <w:rPr>
                <w:rFonts w:ascii="Times New Roman" w:hAnsi="Times New Roman" w:cs="Arial"/>
                <w:szCs w:val="20"/>
              </w:rPr>
              <w:t>25 (3.6%)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E64D1D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E64D1D">
              <w:rPr>
                <w:rFonts w:ascii="Times New Roman" w:hAnsi="Times New Roman" w:cs="Arial"/>
                <w:szCs w:val="20"/>
              </w:rPr>
              <w:t>7.1 (4.8, 10.5)</w:t>
            </w:r>
          </w:p>
        </w:tc>
        <w:tc>
          <w:tcPr>
            <w:tcW w:w="2160" w:type="dxa"/>
          </w:tcPr>
          <w:p w:rsidR="004A7CF5" w:rsidRPr="00E64D1D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E64D1D">
              <w:rPr>
                <w:rFonts w:ascii="Times New Roman" w:hAnsi="Times New Roman" w:cs="Arial"/>
                <w:szCs w:val="20"/>
              </w:rPr>
              <w:t>reference</w:t>
            </w:r>
          </w:p>
        </w:tc>
        <w:tc>
          <w:tcPr>
            <w:tcW w:w="1080" w:type="dxa"/>
          </w:tcPr>
          <w:p w:rsidR="004A7CF5" w:rsidRPr="00E64D1D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4A7CF5" w:rsidRPr="00E64D1D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E64D1D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3695" w:type="dxa"/>
            <w:gridSpan w:val="8"/>
            <w:shd w:val="clear" w:color="auto" w:fill="auto"/>
            <w:noWrap/>
            <w:vAlign w:val="bottom"/>
          </w:tcPr>
          <w:p w:rsidR="004A7CF5" w:rsidRPr="002D3F61" w:rsidRDefault="004A7CF5" w:rsidP="00403481">
            <w:pPr>
              <w:spacing w:after="0" w:line="480" w:lineRule="auto"/>
              <w:contextualSpacing/>
              <w:rPr>
                <w:rFonts w:ascii="Times New Roman" w:hAnsi="Times New Roman" w:cs="Arial"/>
                <w:b/>
                <w:szCs w:val="20"/>
              </w:rPr>
            </w:pPr>
            <w:r w:rsidRPr="002D3F61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 xml:space="preserve">Other </w:t>
            </w: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Race</w:t>
            </w:r>
          </w:p>
        </w:tc>
        <w:tc>
          <w:tcPr>
            <w:tcW w:w="153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Black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22 (5.3%)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10.5 (6.9, 15.9)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1.75 (0.88, 3.48)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0.11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2.17 (1.07, 4.42)</w:t>
            </w: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0.032</w:t>
            </w: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Other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1 (5.9%)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22.1 (3.0, 150.0)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2.91 (0.35, 24.2)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0.32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2.66 (0.32, 21.9)</w:t>
            </w: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0.36</w:t>
            </w: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White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13 (2.7%)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5.9 (3.4, 10.2)</w:t>
            </w:r>
          </w:p>
        </w:tc>
        <w:tc>
          <w:tcPr>
            <w:tcW w:w="216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reference</w:t>
            </w:r>
          </w:p>
        </w:tc>
        <w:tc>
          <w:tcPr>
            <w:tcW w:w="108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Total Cholesterol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Per 10 mg/dL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0.98 (0.91, 1.06)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0.60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 xml:space="preserve">Low Density Lipoprotein 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Per 10 mg/dL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1.02 (0.93, 1.11)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0.71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9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 xml:space="preserve">High Density Lipoprotein 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Per 10 mg/dL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0.73 (0.60, 0.90)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0.003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0.69 (0.55, 0.87)</w:t>
            </w: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0.001</w:t>
            </w:r>
          </w:p>
        </w:tc>
      </w:tr>
      <w:tr w:rsidR="004A7CF5" w:rsidRPr="000511BA">
        <w:trPr>
          <w:trHeight w:val="9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Triglyceride</w:t>
            </w: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s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Per doubling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0.85 (0.60, 1.20)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0.36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Smoking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Yes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11 (3.2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8.6 (4.8, 15.5)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0.95 (0.47, 1.93)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0.90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No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25 (4.4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8.2 (5.5, 12.1)</w:t>
            </w:r>
          </w:p>
        </w:tc>
        <w:tc>
          <w:tcPr>
            <w:tcW w:w="216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reference</w:t>
            </w:r>
          </w:p>
        </w:tc>
        <w:tc>
          <w:tcPr>
            <w:tcW w:w="108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Illicit drug use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Yes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13 (3.3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7.7 (4.5, 13.3)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0.81 (0.41, 1.60)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0.55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No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23 (4.5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8.7 (5.8, 13.1)</w:t>
            </w:r>
          </w:p>
        </w:tc>
        <w:tc>
          <w:tcPr>
            <w:tcW w:w="216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reference</w:t>
            </w:r>
          </w:p>
        </w:tc>
        <w:tc>
          <w:tcPr>
            <w:tcW w:w="108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Alcoholism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Yes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13 (4.1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10.0 (5.8, 17.2)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1.22 (0.62, 2.40)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0.56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No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23 (3.8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7.6 (5.0, 11.4)</w:t>
            </w:r>
          </w:p>
        </w:tc>
        <w:tc>
          <w:tcPr>
            <w:tcW w:w="216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reference</w:t>
            </w:r>
          </w:p>
        </w:tc>
        <w:tc>
          <w:tcPr>
            <w:tcW w:w="108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vMerge w:val="restart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Body Mass Index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Per kg/m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1.05 (1.00, 1.10)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0.042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vMerge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&lt;20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2 (1.6%)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4.2 (1.1, 16.9)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reference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20-25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12 (3.4%)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7.0 (4.0, 12.3)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2.19 (0.50, 9.6)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0.30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25-30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16 (5.7%)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11.3 (6.9, 18.4)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3.87 (0.91, 16.5)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0.067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&gt;30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6 (3.8%)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8.3 (3.7, 18.4)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2.79 (0.57, 13.6)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0.20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 xml:space="preserve">Serum Albumin </w:t>
            </w:r>
          </w:p>
        </w:tc>
        <w:tc>
          <w:tcPr>
            <w:tcW w:w="3060" w:type="dxa"/>
            <w:gridSpan w:val="2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Per 0.5 mg/dL decrease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1.07 (0.87, 1.33)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0.51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&lt;3.5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7.6 (4.0, 14.7)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reference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3.5-4.0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17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9.9 (6.1, 15.9)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1.67 (0.74, 3.75)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0.21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&gt;4.0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7.0 (3.8, 13.0)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1.25 (0.51, 3.08)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0.63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Proteinuria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Yes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8 (2.8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8.4 (4.2, 16.7)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0.77 (0.35, 1.67)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0.51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No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28 (4.5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8.3 (5.7, 12.0)</w:t>
            </w:r>
          </w:p>
        </w:tc>
        <w:tc>
          <w:tcPr>
            <w:tcW w:w="216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reference</w:t>
            </w:r>
          </w:p>
        </w:tc>
        <w:tc>
          <w:tcPr>
            <w:tcW w:w="108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eGFR</w:t>
            </w:r>
          </w:p>
        </w:tc>
        <w:tc>
          <w:tcPr>
            <w:tcW w:w="3060" w:type="dxa"/>
            <w:gridSpan w:val="2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per 10 ml/min decrease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0.96 (0.87, 1.07)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0.49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3695" w:type="dxa"/>
            <w:gridSpan w:val="8"/>
            <w:shd w:val="clear" w:color="auto" w:fill="auto"/>
            <w:noWrap/>
            <w:vAlign w:val="bottom"/>
          </w:tcPr>
          <w:p w:rsidR="004A7CF5" w:rsidRPr="002D3F61" w:rsidRDefault="004A7CF5" w:rsidP="00403481">
            <w:pPr>
              <w:spacing w:after="0" w:line="480" w:lineRule="auto"/>
              <w:contextualSpacing/>
              <w:rPr>
                <w:rFonts w:ascii="Times New Roman" w:hAnsi="Times New Roman" w:cs="Arial"/>
                <w:b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HIV-R</w:t>
            </w:r>
            <w:r w:rsidRPr="002D3F61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 xml:space="preserve">elated </w:t>
            </w: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F</w:t>
            </w:r>
            <w:r w:rsidRPr="002D3F61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actors</w:t>
            </w: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 xml:space="preserve">Current CD4 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Per doubling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0.91 (0.80, 1.02)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0.10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Nadir CD4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Per doubling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0.92 (0.79, 1.07)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0.29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 xml:space="preserve">HIV </w:t>
            </w: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Viral Load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Per 10-fold increase</w:t>
            </w:r>
          </w:p>
        </w:tc>
        <w:tc>
          <w:tcPr>
            <w:tcW w:w="153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1.14 (0.90, 1.43)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0.28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ART use</w:t>
            </w:r>
            <w:r w:rsidR="003806B5">
              <w:rPr>
                <w:rFonts w:ascii="Times New Roman" w:eastAsia="Times New Roman" w:hAnsi="Times New Roman" w:cs="Arial"/>
                <w:color w:val="000000"/>
                <w:szCs w:val="20"/>
              </w:rPr>
              <w:t xml:space="preserve"> (current)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Yes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24 (3.9%)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8.9 (6.0, 13.3)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0.71 (0.36, 1.39)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0.31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No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12 (4.1%)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7.3 (4.1, 12.8)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reference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Hepatitis C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Yes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7 (2.2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5.7 (2.7, 11.9)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0.57 (0.25, 1.30)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0.18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No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29 (4.9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9.3 (6.5, 13.4)</w:t>
            </w:r>
          </w:p>
        </w:tc>
        <w:tc>
          <w:tcPr>
            <w:tcW w:w="216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reference</w:t>
            </w:r>
          </w:p>
        </w:tc>
        <w:tc>
          <w:tcPr>
            <w:tcW w:w="1080" w:type="dxa"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Hepatitis B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Yes</w:t>
            </w:r>
          </w:p>
        </w:tc>
        <w:tc>
          <w:tcPr>
            <w:tcW w:w="153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5 (3.4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8.3 (3.4, 19.9)</w:t>
            </w:r>
          </w:p>
        </w:tc>
        <w:tc>
          <w:tcPr>
            <w:tcW w:w="216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0.94 (0.37, 2.42)</w:t>
            </w:r>
          </w:p>
        </w:tc>
        <w:tc>
          <w:tcPr>
            <w:tcW w:w="1080" w:type="dxa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0.90</w:t>
            </w:r>
          </w:p>
        </w:tc>
        <w:tc>
          <w:tcPr>
            <w:tcW w:w="216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</w:p>
        </w:tc>
      </w:tr>
      <w:tr w:rsidR="004A7CF5" w:rsidRPr="000511BA">
        <w:trPr>
          <w:trHeight w:val="300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31 (4.0</w:t>
            </w: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%)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 w:cs="Arial"/>
                <w:szCs w:val="20"/>
              </w:rPr>
            </w:pPr>
            <w:r w:rsidRPr="000511BA">
              <w:rPr>
                <w:rFonts w:ascii="Times New Roman" w:hAnsi="Times New Roman" w:cs="Arial"/>
                <w:szCs w:val="20"/>
              </w:rPr>
              <w:t>8.3 (5.8, 11.8)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reference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7CF5" w:rsidRPr="000511BA" w:rsidRDefault="004A7CF5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</w:p>
        </w:tc>
      </w:tr>
    </w:tbl>
    <w:p w:rsidR="004A7CF5" w:rsidRDefault="004A7CF5" w:rsidP="004A7CF5">
      <w:pPr>
        <w:spacing w:line="480" w:lineRule="auto"/>
        <w:contextualSpacing/>
        <w:rPr>
          <w:rFonts w:ascii="Times New Roman" w:eastAsia="Arial" w:hAnsi="Times New Roman" w:cs="Arial"/>
          <w:szCs w:val="20"/>
        </w:rPr>
      </w:pPr>
    </w:p>
    <w:p w:rsidR="004A7CF5" w:rsidRDefault="00A06968" w:rsidP="004A7CF5">
      <w:pPr>
        <w:spacing w:line="480" w:lineRule="auto"/>
        <w:contextualSpacing/>
        <w:rPr>
          <w:rFonts w:ascii="Times New Roman" w:eastAsia="Arial" w:hAnsi="Times New Roman" w:cs="Arial"/>
          <w:szCs w:val="20"/>
        </w:rPr>
      </w:pPr>
      <w:r>
        <w:rPr>
          <w:rFonts w:ascii="Times New Roman" w:eastAsia="Arial" w:hAnsi="Times New Roman" w:cs="Arial"/>
          <w:szCs w:val="20"/>
        </w:rPr>
        <w:t>There were 5 hemorrhagic strokes in addition to the 34 TE events in the primary analyses</w:t>
      </w:r>
      <w:r w:rsidR="00666A50">
        <w:rPr>
          <w:rFonts w:ascii="Times New Roman" w:eastAsia="Arial" w:hAnsi="Times New Roman" w:cs="Arial"/>
          <w:szCs w:val="20"/>
        </w:rPr>
        <w:t>, one of which was also coded as an ischemic stroke.</w:t>
      </w:r>
      <w:r>
        <w:rPr>
          <w:rFonts w:ascii="Times New Roman" w:eastAsia="Arial" w:hAnsi="Times New Roman" w:cs="Arial"/>
          <w:szCs w:val="20"/>
        </w:rPr>
        <w:t xml:space="preserve"> </w:t>
      </w:r>
      <w:r w:rsidR="004A7CF5">
        <w:rPr>
          <w:rFonts w:ascii="Times New Roman" w:eastAsia="Arial" w:hAnsi="Times New Roman" w:cs="Arial"/>
          <w:szCs w:val="20"/>
        </w:rPr>
        <w:t>ART = antiretroviral therapy; CI =confidence interval</w:t>
      </w:r>
      <w:r w:rsidR="004A7CF5" w:rsidRPr="000511BA">
        <w:rPr>
          <w:rFonts w:ascii="Times New Roman" w:eastAsia="Arial" w:hAnsi="Times New Roman" w:cs="Arial"/>
          <w:szCs w:val="20"/>
        </w:rPr>
        <w:t xml:space="preserve">; </w:t>
      </w:r>
      <w:r w:rsidR="004A7CF5">
        <w:rPr>
          <w:rFonts w:ascii="Times New Roman" w:eastAsia="Arial" w:hAnsi="Times New Roman" w:cs="Arial"/>
          <w:szCs w:val="20"/>
        </w:rPr>
        <w:t xml:space="preserve">eGFR = </w:t>
      </w:r>
      <w:r w:rsidR="004A7CF5" w:rsidRPr="000511BA">
        <w:rPr>
          <w:rFonts w:ascii="Times New Roman" w:eastAsia="Arial" w:hAnsi="Times New Roman" w:cs="Arial"/>
          <w:szCs w:val="20"/>
        </w:rPr>
        <w:t>estimated g</w:t>
      </w:r>
      <w:r w:rsidR="004A7CF5">
        <w:rPr>
          <w:rFonts w:ascii="Times New Roman" w:eastAsia="Arial" w:hAnsi="Times New Roman" w:cs="Arial"/>
          <w:szCs w:val="20"/>
        </w:rPr>
        <w:t>lomerular filtration rate</w:t>
      </w:r>
      <w:r w:rsidR="004A7CF5" w:rsidRPr="000511BA">
        <w:rPr>
          <w:rFonts w:ascii="Times New Roman" w:eastAsia="Arial" w:hAnsi="Times New Roman" w:cs="Arial"/>
          <w:szCs w:val="20"/>
        </w:rPr>
        <w:t xml:space="preserve">; </w:t>
      </w:r>
      <w:r w:rsidR="004A7CF5">
        <w:rPr>
          <w:rFonts w:ascii="Times New Roman" w:eastAsia="Arial" w:hAnsi="Times New Roman" w:cs="Arial"/>
          <w:szCs w:val="20"/>
        </w:rPr>
        <w:t>HIV = human immunodeficiency virus; HR = hazard ratio; na = not applicable; PY = person years.</w:t>
      </w:r>
    </w:p>
    <w:p w:rsidR="00C370D7" w:rsidRPr="000511BA" w:rsidRDefault="00C370D7" w:rsidP="00C370D7">
      <w:pPr>
        <w:spacing w:line="480" w:lineRule="auto"/>
        <w:contextualSpacing/>
        <w:rPr>
          <w:rFonts w:ascii="Times New Roman" w:hAnsi="Times New Roman" w:cs="Arial"/>
          <w:b/>
          <w:szCs w:val="20"/>
        </w:rPr>
      </w:pPr>
      <w:r>
        <w:rPr>
          <w:rFonts w:ascii="Times New Roman" w:hAnsi="Times New Roman" w:cs="Arial"/>
          <w:b/>
        </w:rPr>
        <w:t>Table 4.</w:t>
      </w:r>
      <w:r w:rsidRPr="000511BA">
        <w:rPr>
          <w:rFonts w:ascii="Times New Roman" w:hAnsi="Times New Roman" w:cs="Arial"/>
          <w:b/>
        </w:rPr>
        <w:t xml:space="preserve"> Association of warfarin use with thromboembolic events, with and without adjustment for </w:t>
      </w:r>
      <w:r w:rsidRPr="001B2C2C">
        <w:rPr>
          <w:rFonts w:ascii="Times New Roman" w:hAnsi="Times New Roman"/>
          <w:b/>
        </w:rPr>
        <w:t>CHA</w:t>
      </w:r>
      <w:r w:rsidRPr="001B2C2C">
        <w:rPr>
          <w:rFonts w:ascii="Times New Roman" w:hAnsi="Times New Roman"/>
          <w:b/>
          <w:vertAlign w:val="subscript"/>
        </w:rPr>
        <w:t>2</w:t>
      </w:r>
      <w:r w:rsidRPr="001B2C2C">
        <w:rPr>
          <w:rFonts w:ascii="Times New Roman" w:hAnsi="Times New Roman"/>
          <w:b/>
        </w:rPr>
        <w:t>DS</w:t>
      </w:r>
      <w:r w:rsidRPr="001B2C2C">
        <w:rPr>
          <w:rFonts w:ascii="Times New Roman" w:hAnsi="Times New Roman"/>
          <w:b/>
          <w:vertAlign w:val="subscript"/>
        </w:rPr>
        <w:t>2</w:t>
      </w:r>
      <w:r w:rsidRPr="001B2C2C">
        <w:rPr>
          <w:rFonts w:ascii="Times New Roman" w:hAnsi="Times New Roman"/>
          <w:b/>
        </w:rPr>
        <w:t>-VASc</w:t>
      </w:r>
      <w:r>
        <w:rPr>
          <w:rFonts w:ascii="Times New Roman" w:hAnsi="Times New Roman"/>
        </w:rPr>
        <w:t xml:space="preserve"> </w:t>
      </w:r>
      <w:r w:rsidRPr="000511BA">
        <w:rPr>
          <w:rFonts w:ascii="Times New Roman" w:hAnsi="Times New Roman" w:cs="Arial"/>
          <w:b/>
        </w:rPr>
        <w:t xml:space="preserve">score </w:t>
      </w:r>
      <w:r>
        <w:rPr>
          <w:rFonts w:ascii="Times New Roman" w:hAnsi="Times New Roman" w:cs="Arial"/>
          <w:b/>
        </w:rPr>
        <w:t>(including hemorrhagic strokes)</w:t>
      </w:r>
    </w:p>
    <w:tbl>
      <w:tblPr>
        <w:tblW w:w="13695" w:type="dxa"/>
        <w:tblInd w:w="93" w:type="dxa"/>
        <w:tblBorders>
          <w:bottom w:val="single" w:sz="4" w:space="0" w:color="auto"/>
        </w:tblBorders>
        <w:tblLayout w:type="fixed"/>
        <w:tblLook w:val="04A0"/>
      </w:tblPr>
      <w:tblGrid>
        <w:gridCol w:w="1725"/>
        <w:gridCol w:w="1620"/>
        <w:gridCol w:w="1980"/>
        <w:gridCol w:w="1080"/>
        <w:gridCol w:w="6210"/>
        <w:gridCol w:w="1080"/>
      </w:tblGrid>
      <w:tr w:rsidR="00C370D7" w:rsidRPr="000511BA">
        <w:trPr>
          <w:trHeight w:val="300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70D7" w:rsidRPr="000511BA" w:rsidRDefault="00C370D7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Parameter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Level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Unadjusted</w:t>
            </w:r>
          </w:p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HR (95%</w:t>
            </w: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 xml:space="preserve"> </w:t>
            </w: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i/>
                <w:color w:val="000000"/>
                <w:szCs w:val="20"/>
              </w:rPr>
              <w:t>p</w:t>
            </w: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-value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70D7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 xml:space="preserve">Multivariable </w:t>
            </w: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Adjusted</w:t>
            </w: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 xml:space="preserve"> Marginal Structural Model</w:t>
            </w: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 xml:space="preserve"> </w:t>
            </w:r>
          </w:p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HR (95%</w:t>
            </w:r>
            <w:r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 xml:space="preserve"> </w:t>
            </w: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i/>
                <w:color w:val="000000"/>
                <w:szCs w:val="20"/>
              </w:rPr>
              <w:t>p</w:t>
            </w:r>
            <w:r w:rsidRPr="000511BA">
              <w:rPr>
                <w:rFonts w:ascii="Times New Roman" w:eastAsia="Times New Roman" w:hAnsi="Times New Roman" w:cs="Arial"/>
                <w:b/>
                <w:color w:val="000000"/>
                <w:szCs w:val="20"/>
              </w:rPr>
              <w:t>-value</w:t>
            </w:r>
          </w:p>
        </w:tc>
      </w:tr>
      <w:tr w:rsidR="00C370D7" w:rsidRPr="000511BA">
        <w:trPr>
          <w:trHeight w:val="300"/>
        </w:trPr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70D7" w:rsidRPr="000511BA" w:rsidRDefault="00C370D7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Baseline warfarin use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Cs w:val="20"/>
              </w:rPr>
              <w:t>User vs. non-user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 (1.07, 4.26</w:t>
            </w:r>
            <w:r w:rsidRPr="000511BA"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</w:rPr>
            </w:pPr>
            <w:r w:rsidRPr="000511BA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2.49 (1.12, 5.52</w:t>
            </w:r>
            <w:r w:rsidRPr="000511BA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0511BA">
              <w:rPr>
                <w:rFonts w:ascii="Times New Roman" w:hAnsi="Times New Roman"/>
                <w:szCs w:val="20"/>
              </w:rPr>
              <w:t>0.0</w:t>
            </w:r>
            <w:r>
              <w:rPr>
                <w:rFonts w:ascii="Times New Roman" w:hAnsi="Times New Roman"/>
                <w:szCs w:val="20"/>
              </w:rPr>
              <w:t>25</w:t>
            </w:r>
          </w:p>
        </w:tc>
      </w:tr>
      <w:tr w:rsidR="00C370D7" w:rsidRPr="000511BA">
        <w:trPr>
          <w:trHeight w:val="300"/>
        </w:trPr>
        <w:tc>
          <w:tcPr>
            <w:tcW w:w="1725" w:type="dxa"/>
            <w:shd w:val="clear" w:color="auto" w:fill="auto"/>
            <w:noWrap/>
            <w:vAlign w:val="bottom"/>
          </w:tcPr>
          <w:p w:rsidR="00C370D7" w:rsidRPr="000511BA" w:rsidRDefault="00C370D7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Time-updated warfarin use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Yes vs. no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370D7" w:rsidRPr="000511BA" w:rsidRDefault="00C370D7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1.15 (0.52, 2.53</w:t>
            </w:r>
            <w:r w:rsidRPr="000511BA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0.73</w:t>
            </w:r>
          </w:p>
        </w:tc>
        <w:tc>
          <w:tcPr>
            <w:tcW w:w="6210" w:type="dxa"/>
            <w:shd w:val="clear" w:color="auto" w:fill="auto"/>
            <w:noWrap/>
            <w:vAlign w:val="bottom"/>
          </w:tcPr>
          <w:p w:rsidR="00C370D7" w:rsidRPr="000511BA" w:rsidRDefault="00C370D7" w:rsidP="00403481">
            <w:pPr>
              <w:spacing w:line="48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1.17 (0.48, 2.84)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0.73</w:t>
            </w:r>
          </w:p>
        </w:tc>
      </w:tr>
      <w:tr w:rsidR="00C370D7" w:rsidRPr="000511BA">
        <w:trPr>
          <w:trHeight w:val="300"/>
        </w:trPr>
        <w:tc>
          <w:tcPr>
            <w:tcW w:w="1725" w:type="dxa"/>
            <w:shd w:val="clear" w:color="auto" w:fill="auto"/>
            <w:noWrap/>
            <w:vAlign w:val="bottom"/>
          </w:tcPr>
          <w:p w:rsidR="00C370D7" w:rsidRPr="00327A04" w:rsidRDefault="00C370D7" w:rsidP="00403481">
            <w:pPr>
              <w:spacing w:after="0" w:line="480" w:lineRule="auto"/>
              <w:contextualSpacing/>
              <w:rPr>
                <w:rFonts w:ascii="Times New Roman" w:eastAsia="Times New Roman" w:hAnsi="Times New Roman" w:cs="Arial"/>
                <w:color w:val="000000"/>
                <w:szCs w:val="20"/>
                <w:vertAlign w:val="superscript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Current warfarin duration</w:t>
            </w:r>
            <w:r>
              <w:rPr>
                <w:rFonts w:ascii="Times New Roman" w:eastAsia="Times New Roman" w:hAnsi="Times New Roman" w:cs="Arial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Arial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 w:cs="Arial"/>
                <w:color w:val="000000"/>
                <w:szCs w:val="20"/>
              </w:rPr>
              <w:t>Per year of exposure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1.86 (0.48, 7.17)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0.3</w:t>
            </w:r>
            <w:r w:rsidRPr="000511BA">
              <w:rPr>
                <w:rFonts w:ascii="Times New Roman" w:eastAsia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6210" w:type="dxa"/>
            <w:shd w:val="clear" w:color="auto" w:fill="auto"/>
            <w:noWrap/>
            <w:vAlign w:val="center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E3627">
              <w:rPr>
                <w:rFonts w:ascii="Times New Roman" w:hAnsi="Times New Roman" w:cs="Times New Roman"/>
              </w:rPr>
              <w:t>1.15 (0.22, 5.91)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370D7" w:rsidRPr="000511BA" w:rsidRDefault="00C370D7" w:rsidP="00403481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0511BA">
              <w:rPr>
                <w:rFonts w:ascii="Times New Roman" w:eastAsia="Times New Roman" w:hAnsi="Times New Roman"/>
                <w:color w:val="000000"/>
                <w:szCs w:val="20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87</w:t>
            </w:r>
          </w:p>
        </w:tc>
      </w:tr>
    </w:tbl>
    <w:p w:rsidR="00C370D7" w:rsidRDefault="00C370D7" w:rsidP="00C370D7">
      <w:pPr>
        <w:spacing w:after="0" w:line="480" w:lineRule="auto"/>
        <w:contextualSpacing/>
        <w:rPr>
          <w:rFonts w:ascii="Times New Roman" w:eastAsia="Times New Roman" w:hAnsi="Times New Roman" w:cs="Arial"/>
          <w:color w:val="000000"/>
          <w:szCs w:val="20"/>
        </w:rPr>
      </w:pPr>
    </w:p>
    <w:p w:rsidR="00C370D7" w:rsidRPr="000C5561" w:rsidRDefault="00666A50" w:rsidP="00C370D7">
      <w:pPr>
        <w:spacing w:after="0" w:line="480" w:lineRule="auto"/>
        <w:contextualSpacing/>
        <w:rPr>
          <w:rFonts w:ascii="Times New Roman" w:eastAsia="Times New Roman" w:hAnsi="Times New Roman" w:cs="Arial"/>
          <w:b/>
          <w:color w:val="000000"/>
          <w:szCs w:val="20"/>
        </w:rPr>
      </w:pPr>
      <w:r>
        <w:rPr>
          <w:rFonts w:ascii="Times New Roman" w:eastAsia="Arial" w:hAnsi="Times New Roman" w:cs="Arial"/>
          <w:szCs w:val="20"/>
        </w:rPr>
        <w:t>There were 5 hemorrhagic strokes in addition to the 34 TE events in the primary analyses, one of which was also coded as an ischemic stroke</w:t>
      </w:r>
      <w:r w:rsidR="00A06968">
        <w:rPr>
          <w:rFonts w:ascii="Times New Roman" w:eastAsia="Arial" w:hAnsi="Times New Roman" w:cs="Arial"/>
          <w:szCs w:val="20"/>
        </w:rPr>
        <w:t xml:space="preserve">. </w:t>
      </w:r>
      <w:r w:rsidR="00C370D7">
        <w:rPr>
          <w:rFonts w:ascii="Times New Roman" w:eastAsia="Times New Roman" w:hAnsi="Times New Roman" w:cs="Arial"/>
          <w:color w:val="000000"/>
          <w:szCs w:val="20"/>
        </w:rPr>
        <w:t>Multivariable adjusted model controls for high density lipoprotein, race, heart failure, body mass index</w:t>
      </w:r>
      <w:r w:rsidR="00C370D7" w:rsidRPr="000C5561">
        <w:rPr>
          <w:rFonts w:ascii="Times New Roman" w:eastAsia="Times New Roman" w:hAnsi="Times New Roman" w:cs="Arial"/>
          <w:color w:val="000000"/>
          <w:szCs w:val="20"/>
        </w:rPr>
        <w:t xml:space="preserve">, </w:t>
      </w:r>
      <w:r w:rsidR="00C370D7">
        <w:rPr>
          <w:rFonts w:ascii="Times New Roman" w:eastAsia="Times New Roman" w:hAnsi="Times New Roman" w:cs="Arial"/>
          <w:color w:val="000000"/>
          <w:szCs w:val="20"/>
        </w:rPr>
        <w:t>and serum a</w:t>
      </w:r>
      <w:r w:rsidR="00C370D7" w:rsidRPr="000C5561">
        <w:rPr>
          <w:rFonts w:ascii="Times New Roman" w:eastAsia="Times New Roman" w:hAnsi="Times New Roman" w:cs="Arial"/>
          <w:color w:val="000000"/>
          <w:szCs w:val="20"/>
        </w:rPr>
        <w:t>lbumin</w:t>
      </w:r>
      <w:r w:rsidR="00C370D7">
        <w:rPr>
          <w:rFonts w:ascii="Times New Roman" w:eastAsia="Times New Roman" w:hAnsi="Times New Roman" w:cs="Arial"/>
          <w:color w:val="000000"/>
          <w:szCs w:val="20"/>
        </w:rPr>
        <w:t>.</w:t>
      </w:r>
      <w:r w:rsidR="00C370D7">
        <w:rPr>
          <w:rFonts w:ascii="Times New Roman" w:eastAsia="Times New Roman" w:hAnsi="Times New Roman" w:cs="Arial"/>
          <w:b/>
          <w:color w:val="000000"/>
          <w:szCs w:val="20"/>
        </w:rPr>
        <w:t xml:space="preserve"> </w:t>
      </w:r>
      <w:r w:rsidR="00C370D7">
        <w:rPr>
          <w:rFonts w:ascii="Times New Roman" w:eastAsia="Times New Roman" w:hAnsi="Times New Roman" w:cs="Arial"/>
          <w:color w:val="000000"/>
          <w:szCs w:val="20"/>
          <w:vertAlign w:val="superscript"/>
        </w:rPr>
        <w:t>a</w:t>
      </w:r>
      <w:r w:rsidR="00C370D7">
        <w:rPr>
          <w:rFonts w:ascii="Times New Roman" w:eastAsia="Times New Roman" w:hAnsi="Times New Roman" w:cs="Arial"/>
          <w:color w:val="000000"/>
          <w:szCs w:val="20"/>
        </w:rPr>
        <w:t xml:space="preserve">Defined as duration of use among current warfarin users. CI = </w:t>
      </w:r>
      <w:r w:rsidR="00C370D7">
        <w:rPr>
          <w:rFonts w:ascii="Times New Roman" w:eastAsia="Arial" w:hAnsi="Times New Roman" w:cs="Arial"/>
          <w:szCs w:val="20"/>
        </w:rPr>
        <w:t>confidence interval</w:t>
      </w:r>
      <w:r w:rsidR="00C370D7" w:rsidRPr="000511BA">
        <w:rPr>
          <w:rFonts w:ascii="Times New Roman" w:eastAsia="Arial" w:hAnsi="Times New Roman" w:cs="Arial"/>
          <w:szCs w:val="20"/>
        </w:rPr>
        <w:t xml:space="preserve">; </w:t>
      </w:r>
      <w:r w:rsidR="00C370D7">
        <w:rPr>
          <w:rFonts w:ascii="Times New Roman" w:eastAsia="Arial" w:hAnsi="Times New Roman" w:cs="Arial"/>
          <w:szCs w:val="20"/>
        </w:rPr>
        <w:t>HR = hazard ratio; vs. = versus</w:t>
      </w:r>
      <w:r w:rsidR="00C370D7" w:rsidRPr="000511BA">
        <w:rPr>
          <w:rFonts w:ascii="Times New Roman" w:eastAsia="Arial" w:hAnsi="Times New Roman" w:cs="Arial"/>
          <w:szCs w:val="20"/>
        </w:rPr>
        <w:t>.</w:t>
      </w:r>
    </w:p>
    <w:p w:rsidR="00403481" w:rsidRDefault="00403481"/>
    <w:sectPr w:rsidR="00403481" w:rsidSect="00403481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31264B"/>
    <w:multiLevelType w:val="hybridMultilevel"/>
    <w:tmpl w:val="94A4BFE8"/>
    <w:lvl w:ilvl="0" w:tplc="88746510"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1A3B"/>
    <w:multiLevelType w:val="hybridMultilevel"/>
    <w:tmpl w:val="ABC63C2E"/>
    <w:lvl w:ilvl="0" w:tplc="556A4BF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A2E6A"/>
    <w:multiLevelType w:val="hybridMultilevel"/>
    <w:tmpl w:val="B3E2748C"/>
    <w:lvl w:ilvl="0" w:tplc="1D2A32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71A37"/>
    <w:multiLevelType w:val="hybridMultilevel"/>
    <w:tmpl w:val="86D662CA"/>
    <w:lvl w:ilvl="0" w:tplc="3F1A30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86BFD"/>
    <w:multiLevelType w:val="hybridMultilevel"/>
    <w:tmpl w:val="0A10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11A90"/>
    <w:rsid w:val="00230FE7"/>
    <w:rsid w:val="0025397F"/>
    <w:rsid w:val="00262F2B"/>
    <w:rsid w:val="003806B5"/>
    <w:rsid w:val="00403481"/>
    <w:rsid w:val="004128EC"/>
    <w:rsid w:val="004A7CF5"/>
    <w:rsid w:val="005A7B7C"/>
    <w:rsid w:val="00666A50"/>
    <w:rsid w:val="00947B7C"/>
    <w:rsid w:val="009C315B"/>
    <w:rsid w:val="00A06968"/>
    <w:rsid w:val="00B81928"/>
    <w:rsid w:val="00BE6D7A"/>
    <w:rsid w:val="00C3597D"/>
    <w:rsid w:val="00C370D7"/>
    <w:rsid w:val="00C55A9C"/>
    <w:rsid w:val="00C64471"/>
    <w:rsid w:val="00D11A90"/>
    <w:rsid w:val="00D81489"/>
    <w:rsid w:val="00EE6D4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90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A90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D11A90"/>
  </w:style>
  <w:style w:type="table" w:styleId="TableGrid">
    <w:name w:val="Table Grid"/>
    <w:basedOn w:val="TableNormal"/>
    <w:uiPriority w:val="59"/>
    <w:rsid w:val="00D11A9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A90"/>
    <w:pPr>
      <w:ind w:left="720"/>
      <w:contextualSpacing/>
    </w:pPr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90"/>
    <w:pPr>
      <w:spacing w:after="0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90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rsid w:val="00D11A90"/>
  </w:style>
  <w:style w:type="character" w:styleId="CommentReference">
    <w:name w:val="annotation reference"/>
    <w:basedOn w:val="DefaultParagraphFont"/>
    <w:uiPriority w:val="99"/>
    <w:semiHidden/>
    <w:unhideWhenUsed/>
    <w:rsid w:val="00D11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A9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11A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A90"/>
  </w:style>
  <w:style w:type="character" w:styleId="PageNumber">
    <w:name w:val="page number"/>
    <w:basedOn w:val="DefaultParagraphFont"/>
    <w:uiPriority w:val="99"/>
    <w:semiHidden/>
    <w:unhideWhenUsed/>
    <w:rsid w:val="00D11A90"/>
  </w:style>
  <w:style w:type="paragraph" w:styleId="Footer">
    <w:name w:val="footer"/>
    <w:basedOn w:val="Normal"/>
    <w:link w:val="FooterChar"/>
    <w:uiPriority w:val="99"/>
    <w:semiHidden/>
    <w:unhideWhenUsed/>
    <w:rsid w:val="00D11A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A90"/>
  </w:style>
  <w:style w:type="paragraph" w:styleId="Revision">
    <w:name w:val="Revision"/>
    <w:hidden/>
    <w:rsid w:val="00D11A90"/>
  </w:style>
  <w:style w:type="paragraph" w:customStyle="1" w:styleId="EndNoteBibliography">
    <w:name w:val="EndNote Bibliography"/>
    <w:basedOn w:val="Normal"/>
    <w:link w:val="EndNoteBibliographyChar"/>
    <w:rsid w:val="00D11A90"/>
    <w:pPr>
      <w:spacing w:after="0"/>
    </w:pPr>
    <w:rPr>
      <w:rFonts w:ascii="Cambria" w:eastAsiaTheme="minorEastAsia" w:hAnsi="Cambria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11A90"/>
    <w:rPr>
      <w:rFonts w:ascii="Cambria" w:eastAsiaTheme="minorEastAsia" w:hAnsi="Cambria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1114</Words>
  <Characters>6355</Characters>
  <Application>Microsoft Word 12.1.0</Application>
  <DocSecurity>0</DocSecurity>
  <Lines>52</Lines>
  <Paragraphs>12</Paragraphs>
  <ScaleCrop>false</ScaleCrop>
  <LinksUpToDate>false</LinksUpToDate>
  <CharactersWithSpaces>7804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Chau</dc:creator>
  <cp:keywords/>
  <cp:lastModifiedBy>Katherine Chau</cp:lastModifiedBy>
  <cp:revision>11</cp:revision>
  <dcterms:created xsi:type="dcterms:W3CDTF">2017-04-17T05:17:00Z</dcterms:created>
  <dcterms:modified xsi:type="dcterms:W3CDTF">2017-04-26T04:39:00Z</dcterms:modified>
</cp:coreProperties>
</file>