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3206" w14:textId="6271FCA6" w:rsidR="004B208C" w:rsidRPr="0081480E" w:rsidRDefault="004B208C" w:rsidP="004B208C">
      <w:pPr>
        <w:pStyle w:val="NoSpacing"/>
        <w:spacing w:line="480" w:lineRule="auto"/>
        <w:jc w:val="center"/>
        <w:rPr>
          <w:rFonts w:cstheme="minorHAnsi"/>
          <w:b/>
          <w:sz w:val="24"/>
          <w:szCs w:val="24"/>
        </w:rPr>
      </w:pPr>
      <w:r w:rsidRPr="000502FF">
        <w:rPr>
          <w:rFonts w:cstheme="minorHAnsi"/>
          <w:b/>
          <w:sz w:val="24"/>
          <w:szCs w:val="24"/>
        </w:rPr>
        <w:t>Impact of 13-Valent Pneumococcal Conjugate Vaccine on Invasive Pneumococcal Disease Among Adults with HIV — United States, 2008–2018</w:t>
      </w:r>
    </w:p>
    <w:p w14:paraId="4D4DE88A" w14:textId="0715701A" w:rsidR="008510CB" w:rsidRDefault="002230AB" w:rsidP="004B208C">
      <w:pPr>
        <w:jc w:val="center"/>
        <w:rPr>
          <w:b/>
          <w:bCs/>
        </w:rPr>
      </w:pPr>
      <w:r w:rsidRPr="002230AB">
        <w:rPr>
          <w:b/>
          <w:bCs/>
        </w:rPr>
        <w:t>Supplemental Digital Content</w:t>
      </w:r>
    </w:p>
    <w:p w14:paraId="5C7A3FEE" w14:textId="69996898" w:rsidR="002230AB" w:rsidRDefault="002230AB" w:rsidP="006C27B8">
      <w:pPr>
        <w:rPr>
          <w:b/>
          <w:bCs/>
        </w:rPr>
      </w:pPr>
    </w:p>
    <w:p w14:paraId="3D4E8D40" w14:textId="737C0F35" w:rsidR="006C27B8" w:rsidRDefault="006C27B8" w:rsidP="006C27B8">
      <w:pPr>
        <w:rPr>
          <w:b/>
          <w:bCs/>
        </w:rPr>
      </w:pPr>
      <w:r>
        <w:rPr>
          <w:b/>
          <w:bCs/>
        </w:rPr>
        <w:t>Methods</w:t>
      </w:r>
    </w:p>
    <w:p w14:paraId="0C2FE4D4" w14:textId="7FF4E58A" w:rsidR="00894A22" w:rsidRDefault="00894A22" w:rsidP="00BB56F0">
      <w:pPr>
        <w:spacing w:line="480" w:lineRule="auto"/>
        <w:rPr>
          <w:i/>
          <w:iCs/>
        </w:rPr>
      </w:pPr>
      <w:r>
        <w:rPr>
          <w:i/>
          <w:iCs/>
        </w:rPr>
        <w:t>Surveillance methods</w:t>
      </w:r>
    </w:p>
    <w:p w14:paraId="7116CE2D" w14:textId="4C037F00" w:rsidR="00894A22" w:rsidRPr="00894A22" w:rsidRDefault="00FE244A" w:rsidP="00BB56F0">
      <w:pPr>
        <w:spacing w:line="480" w:lineRule="auto"/>
      </w:pPr>
      <w:r w:rsidRPr="00833FD4">
        <w:rPr>
          <w:rFonts w:cstheme="minorHAnsi"/>
        </w:rPr>
        <w:t>IPD cases were identified through the Active Bacterial Core surveillance (ABCs), an active, laboratory- and population-based surveillance platform for invasive bacterial diseases in select counties of 10 states across the United States (California: 3 county Bay area; Colorado: 5 county Denver area; Georgia: 20 county Atlanta area; Maryland: 6 county Baltimore area; New York: 7 county Rochester area and 8 county Albany area; Oregon: 3 county Portland area; Tennessee: 20 urban counties; Connecticut, Minnesota, New Mexico: the entire state)</w:t>
      </w:r>
      <w:r w:rsidRPr="00833FD4">
        <w:rPr>
          <w:rFonts w:cstheme="minorHAnsi"/>
        </w:rPr>
        <w:fldChar w:fldCharType="begin"/>
      </w:r>
      <w:r w:rsidR="00277B0F">
        <w:rPr>
          <w:rFonts w:cstheme="minorHAnsi"/>
        </w:rPr>
        <w:instrText xml:space="preserve"> ADDIN EN.CITE &lt;EndNote&gt;&lt;Cite&gt;&lt;Author&gt;Centers for Disease Control and Prevention&lt;/Author&gt;&lt;RecNum&gt;4428&lt;/RecNum&gt;&lt;DisplayText&gt;&lt;style face="superscript"&gt;1&lt;/style&gt;&lt;/DisplayText&gt;&lt;record&gt;&lt;rec-number&gt;4428&lt;/rec-number&gt;&lt;foreign-keys&gt;&lt;key app="EN" db-id="afetea9agxzptlept09ve2dkreax9rt99td0" timestamp="1598346618"&gt;4428&lt;/key&gt;&lt;/foreign-keys&gt;&lt;ref-type name="Web Page"&gt;12&lt;/ref-type&gt;&lt;contributors&gt;&lt;authors&gt;&lt;author&gt;Centers for Disease Control and Prevention,&lt;/author&gt;&lt;/authors&gt;&lt;/contributors&gt;&lt;titles&gt;&lt;title&gt;Surveillance Population&lt;/title&gt;&lt;secondary-title&gt;Active Bacterial Core surveillance (ABCs)&lt;/secondary-title&gt;&lt;/titles&gt;&lt;volume&gt;2020&lt;/volume&gt;&lt;number&gt;August 25&lt;/number&gt;&lt;dates&gt;&lt;/dates&gt;&lt;urls&gt;&lt;related-urls&gt;&lt;url&gt;https://www.cdc.gov/abcs/methodology/surv-pop.html&lt;/url&gt;&lt;/related-urls&gt;&lt;/urls&gt;&lt;/record&gt;&lt;/Cite&gt;&lt;/EndNote&gt;</w:instrText>
      </w:r>
      <w:r w:rsidRPr="00833FD4">
        <w:rPr>
          <w:rFonts w:cstheme="minorHAnsi"/>
        </w:rPr>
        <w:fldChar w:fldCharType="separate"/>
      </w:r>
      <w:r w:rsidR="00277B0F" w:rsidRPr="00277B0F">
        <w:rPr>
          <w:rFonts w:cstheme="minorHAnsi"/>
          <w:noProof/>
          <w:vertAlign w:val="superscript"/>
        </w:rPr>
        <w:t>1</w:t>
      </w:r>
      <w:r w:rsidRPr="00833FD4">
        <w:rPr>
          <w:rFonts w:cstheme="minorHAnsi"/>
        </w:rPr>
        <w:fldChar w:fldCharType="end"/>
      </w:r>
      <w:r w:rsidR="000D65E5">
        <w:rPr>
          <w:rFonts w:cstheme="minorHAnsi"/>
        </w:rPr>
        <w:t xml:space="preserve">. Since the </w:t>
      </w:r>
      <w:r w:rsidR="00277B0F">
        <w:rPr>
          <w:rFonts w:cstheme="minorHAnsi"/>
        </w:rPr>
        <w:t>surveillance areas changed over time</w:t>
      </w:r>
      <w:r w:rsidR="00277B0F">
        <w:rPr>
          <w:rFonts w:cstheme="minorHAnsi"/>
        </w:rPr>
        <w:fldChar w:fldCharType="begin"/>
      </w:r>
      <w:r w:rsidR="00277B0F">
        <w:rPr>
          <w:rFonts w:cstheme="minorHAnsi"/>
        </w:rPr>
        <w:instrText xml:space="preserve"> ADDIN EN.CITE &lt;EndNote&gt;&lt;Cite&gt;&lt;Author&gt;Centers for Disease Control and Prevention&lt;/Author&gt;&lt;RecNum&gt;4428&lt;/RecNum&gt;&lt;DisplayText&gt;&lt;style face="superscript"&gt;1&lt;/style&gt;&lt;/DisplayText&gt;&lt;record&gt;&lt;rec-number&gt;4428&lt;/rec-number&gt;&lt;foreign-keys&gt;&lt;key app="EN" db-id="afetea9agxzptlept09ve2dkreax9rt99td0" timestamp="1598346618"&gt;4428&lt;/key&gt;&lt;/foreign-keys&gt;&lt;ref-type name="Web Page"&gt;12&lt;/ref-type&gt;&lt;contributors&gt;&lt;authors&gt;&lt;author&gt;Centers for Disease Control and Prevention,&lt;/author&gt;&lt;/authors&gt;&lt;/contributors&gt;&lt;titles&gt;&lt;title&gt;Surveillance Population&lt;/title&gt;&lt;secondary-title&gt;Active Bacterial Core surveillance (ABCs)&lt;/secondary-title&gt;&lt;/titles&gt;&lt;volume&gt;2020&lt;/volume&gt;&lt;number&gt;August 25&lt;/number&gt;&lt;dates&gt;&lt;/dates&gt;&lt;urls&gt;&lt;related-urls&gt;&lt;url&gt;https://www.cdc.gov/abcs/methodology/surv-pop.html&lt;/url&gt;&lt;/related-urls&gt;&lt;/urls&gt;&lt;/record&gt;&lt;/Cite&gt;&lt;/EndNote&gt;</w:instrText>
      </w:r>
      <w:r w:rsidR="00277B0F">
        <w:rPr>
          <w:rFonts w:cstheme="minorHAnsi"/>
        </w:rPr>
        <w:fldChar w:fldCharType="separate"/>
      </w:r>
      <w:r w:rsidR="00277B0F" w:rsidRPr="00277B0F">
        <w:rPr>
          <w:rFonts w:cstheme="minorHAnsi"/>
          <w:noProof/>
          <w:vertAlign w:val="superscript"/>
        </w:rPr>
        <w:t>1</w:t>
      </w:r>
      <w:r w:rsidR="00277B0F">
        <w:rPr>
          <w:rFonts w:cstheme="minorHAnsi"/>
        </w:rPr>
        <w:fldChar w:fldCharType="end"/>
      </w:r>
      <w:r w:rsidR="00277B0F">
        <w:rPr>
          <w:rFonts w:cstheme="minorHAnsi"/>
        </w:rPr>
        <w:t xml:space="preserve">, we </w:t>
      </w:r>
      <w:r w:rsidR="00475405">
        <w:rPr>
          <w:rFonts w:cstheme="minorHAnsi"/>
        </w:rPr>
        <w:t xml:space="preserve">included cases reported </w:t>
      </w:r>
      <w:r w:rsidR="00BE529A">
        <w:rPr>
          <w:rFonts w:cstheme="minorHAnsi"/>
        </w:rPr>
        <w:t xml:space="preserve">among adults aged ≥19 years old residing in </w:t>
      </w:r>
      <w:r w:rsidR="00593F84">
        <w:rPr>
          <w:rFonts w:cstheme="minorHAnsi"/>
        </w:rPr>
        <w:t>areas</w:t>
      </w:r>
      <w:r w:rsidR="00863C35">
        <w:rPr>
          <w:rFonts w:cstheme="minorHAnsi"/>
        </w:rPr>
        <w:t xml:space="preserve"> that were part of the surveillance catchment</w:t>
      </w:r>
      <w:r w:rsidR="00593F84">
        <w:rPr>
          <w:rFonts w:cstheme="minorHAnsi"/>
        </w:rPr>
        <w:t xml:space="preserve"> area </w:t>
      </w:r>
      <w:r w:rsidR="00AA16E8">
        <w:rPr>
          <w:rFonts w:cstheme="minorHAnsi"/>
        </w:rPr>
        <w:t>during</w:t>
      </w:r>
      <w:r w:rsidR="009670AC">
        <w:rPr>
          <w:rFonts w:cstheme="minorHAnsi"/>
        </w:rPr>
        <w:t xml:space="preserve"> 2008–2018 </w:t>
      </w:r>
      <w:r w:rsidR="00D150C0">
        <w:rPr>
          <w:rFonts w:cstheme="minorHAnsi"/>
        </w:rPr>
        <w:t>and report</w:t>
      </w:r>
      <w:r w:rsidR="006D6E8C">
        <w:rPr>
          <w:rFonts w:cstheme="minorHAnsi"/>
        </w:rPr>
        <w:t xml:space="preserve"> HIV status of the cases</w:t>
      </w:r>
      <w:r w:rsidR="00D150C0">
        <w:rPr>
          <w:rFonts w:cstheme="minorHAnsi"/>
        </w:rPr>
        <w:t xml:space="preserve"> </w:t>
      </w:r>
      <w:r w:rsidR="009B571F">
        <w:rPr>
          <w:rFonts w:cstheme="minorHAnsi"/>
        </w:rPr>
        <w:t>(</w:t>
      </w:r>
      <w:r w:rsidR="009670AC" w:rsidRPr="00833FD4">
        <w:rPr>
          <w:rFonts w:cstheme="minorHAnsi"/>
        </w:rPr>
        <w:t xml:space="preserve">California: </w:t>
      </w:r>
      <w:r w:rsidR="009B571F">
        <w:rPr>
          <w:rFonts w:cstheme="minorHAnsi"/>
        </w:rPr>
        <w:t>1</w:t>
      </w:r>
      <w:r w:rsidR="009670AC" w:rsidRPr="00833FD4">
        <w:rPr>
          <w:rFonts w:cstheme="minorHAnsi"/>
        </w:rPr>
        <w:t xml:space="preserve"> county; Colorado: 5 county Denver area; Georgia: 20 county Atlanta area; Maryland: 6 county Baltimore area; Oregon: 3 county Portland area; Tennessee: </w:t>
      </w:r>
      <w:r w:rsidR="00B9557E">
        <w:rPr>
          <w:rFonts w:cstheme="minorHAnsi"/>
        </w:rPr>
        <w:t>11</w:t>
      </w:r>
      <w:r w:rsidR="009670AC" w:rsidRPr="00833FD4">
        <w:rPr>
          <w:rFonts w:cstheme="minorHAnsi"/>
        </w:rPr>
        <w:t xml:space="preserve"> counties; Connecticut, Minnesota, New Mexico: the entire state</w:t>
      </w:r>
      <w:r w:rsidR="001F7180">
        <w:rPr>
          <w:rFonts w:cstheme="minorHAnsi"/>
        </w:rPr>
        <w:t xml:space="preserve">). </w:t>
      </w:r>
    </w:p>
    <w:p w14:paraId="7960529F" w14:textId="66EF7A33" w:rsidR="006C27B8" w:rsidRDefault="00DC0794" w:rsidP="00BB56F0">
      <w:pPr>
        <w:spacing w:line="480" w:lineRule="auto"/>
        <w:rPr>
          <w:i/>
          <w:iCs/>
        </w:rPr>
      </w:pPr>
      <w:r w:rsidRPr="00DC0794">
        <w:rPr>
          <w:i/>
          <w:iCs/>
        </w:rPr>
        <w:t>Statistical methods</w:t>
      </w:r>
    </w:p>
    <w:p w14:paraId="628926EA" w14:textId="3A811002" w:rsidR="00277B0F" w:rsidRDefault="005B7EE1" w:rsidP="00BB56F0">
      <w:pPr>
        <w:spacing w:line="480" w:lineRule="auto"/>
        <w:rPr>
          <w:sz w:val="24"/>
          <w:szCs w:val="24"/>
        </w:rPr>
      </w:pPr>
      <w:r w:rsidRPr="17739B3A">
        <w:rPr>
          <w:sz w:val="24"/>
          <w:szCs w:val="24"/>
        </w:rPr>
        <w:t xml:space="preserve">Information on persons with diagnosed HIV infection is reported by health departments to the National HIV Surveillance System of the CDC from all 50 states, the District of Columbia, and 6 U.S. dependent areas (American Samoa, Guam, the Northern Mariana Islands, Puerto Rico, the Republic of Palau, and the U.S. Virgin Islands). After removal of personally identifiable information, data are submitted to CDC. The number of </w:t>
      </w:r>
      <w:r w:rsidR="0081650D">
        <w:rPr>
          <w:sz w:val="24"/>
          <w:szCs w:val="24"/>
        </w:rPr>
        <w:t>PWH</w:t>
      </w:r>
      <w:r w:rsidRPr="17739B3A">
        <w:rPr>
          <w:sz w:val="24"/>
          <w:szCs w:val="24"/>
        </w:rPr>
        <w:t xml:space="preserve"> in the ABCs catchment area for a particular year was based on the place of residence at the time of HIV diagnosis.</w:t>
      </w:r>
    </w:p>
    <w:p w14:paraId="4BC019E8" w14:textId="398EB73F" w:rsidR="00A30557" w:rsidRPr="007D31FD" w:rsidRDefault="008B5321" w:rsidP="00A30557">
      <w:pPr>
        <w:spacing w:line="480" w:lineRule="auto"/>
        <w:rPr>
          <w:rFonts w:cstheme="minorHAnsi"/>
        </w:rPr>
      </w:pPr>
      <w:r>
        <w:rPr>
          <w:sz w:val="24"/>
          <w:szCs w:val="24"/>
        </w:rPr>
        <w:lastRenderedPageBreak/>
        <w:t xml:space="preserve">Race and ethnicity groups were assigned by first identifying </w:t>
      </w:r>
      <w:r w:rsidR="007F0B3D">
        <w:rPr>
          <w:sz w:val="24"/>
          <w:szCs w:val="24"/>
        </w:rPr>
        <w:t xml:space="preserve">those with </w:t>
      </w:r>
      <w:r w:rsidR="00402B1B">
        <w:rPr>
          <w:sz w:val="24"/>
          <w:szCs w:val="24"/>
        </w:rPr>
        <w:t xml:space="preserve">Hispanic ethnicity. </w:t>
      </w:r>
      <w:r w:rsidR="00802F9C">
        <w:rPr>
          <w:sz w:val="24"/>
          <w:szCs w:val="24"/>
        </w:rPr>
        <w:t xml:space="preserve">Those who were not Hispanic </w:t>
      </w:r>
      <w:r w:rsidR="008C0645">
        <w:rPr>
          <w:sz w:val="24"/>
          <w:szCs w:val="24"/>
        </w:rPr>
        <w:t xml:space="preserve">(including those with unknown or missing ethnicity) </w:t>
      </w:r>
      <w:r w:rsidR="00802F9C">
        <w:rPr>
          <w:sz w:val="24"/>
          <w:szCs w:val="24"/>
        </w:rPr>
        <w:t xml:space="preserve">were categorized by their </w:t>
      </w:r>
      <w:r w:rsidR="00D360A5">
        <w:rPr>
          <w:sz w:val="24"/>
          <w:szCs w:val="24"/>
        </w:rPr>
        <w:t xml:space="preserve">race. </w:t>
      </w:r>
      <w:r w:rsidR="00A30557" w:rsidRPr="007D31FD">
        <w:rPr>
          <w:rFonts w:cstheme="minorHAnsi"/>
        </w:rPr>
        <w:t>For analyses involving serotype, we assumed that cases without serotype information had the same distribution of PCV13-type, PPSV23 unique type, or NVT as cases with serotype information.</w:t>
      </w:r>
      <w:r w:rsidR="00A30557" w:rsidRPr="00C615A4">
        <w:rPr>
          <w:rFonts w:cstheme="minorHAnsi"/>
        </w:rPr>
        <w:t xml:space="preserve"> </w:t>
      </w:r>
      <w:r w:rsidR="00A30557" w:rsidRPr="007D31FD">
        <w:rPr>
          <w:rFonts w:cstheme="minorHAnsi"/>
        </w:rPr>
        <w:t xml:space="preserve">For analyses involving race and ethnicity, we assumed that the distribution among patients missing these data was the same as among patients with known race and ethnicity. For both assumptions, simple proportions were used to </w:t>
      </w:r>
      <w:r w:rsidR="00340019">
        <w:rPr>
          <w:rFonts w:cstheme="minorHAnsi"/>
        </w:rPr>
        <w:t>fill in</w:t>
      </w:r>
      <w:r w:rsidR="00A30557" w:rsidRPr="007D31FD">
        <w:rPr>
          <w:rFonts w:cstheme="minorHAnsi"/>
        </w:rPr>
        <w:t xml:space="preserve"> missing data</w:t>
      </w:r>
      <w:r w:rsidR="003A1BCE">
        <w:rPr>
          <w:rFonts w:cstheme="minorHAnsi"/>
        </w:rPr>
        <w:t xml:space="preserve">, </w:t>
      </w:r>
      <w:r w:rsidR="00340019">
        <w:rPr>
          <w:rFonts w:cstheme="minorHAnsi"/>
        </w:rPr>
        <w:t xml:space="preserve">imputing missing serotype first, followed by </w:t>
      </w:r>
      <w:r w:rsidR="00295BA4">
        <w:rPr>
          <w:rFonts w:cstheme="minorHAnsi"/>
        </w:rPr>
        <w:t xml:space="preserve">race and ethnicity. </w:t>
      </w:r>
    </w:p>
    <w:p w14:paraId="044FEABB" w14:textId="23AEC987" w:rsidR="00B01637" w:rsidRDefault="00B01637" w:rsidP="00BB56F0">
      <w:pPr>
        <w:spacing w:line="480" w:lineRule="auto"/>
        <w:rPr>
          <w:sz w:val="24"/>
          <w:szCs w:val="24"/>
        </w:rPr>
      </w:pPr>
    </w:p>
    <w:p w14:paraId="163E32C2" w14:textId="77777777" w:rsidR="00277B0F" w:rsidRDefault="00277B0F" w:rsidP="006C27B8">
      <w:pPr>
        <w:rPr>
          <w:sz w:val="24"/>
          <w:szCs w:val="24"/>
        </w:rPr>
      </w:pPr>
    </w:p>
    <w:p w14:paraId="6300BC12" w14:textId="4447B4CA" w:rsidR="00277B0F" w:rsidRPr="00277B0F" w:rsidRDefault="00277B0F" w:rsidP="00277B0F">
      <w:pPr>
        <w:pStyle w:val="EndNoteBibliography"/>
      </w:pPr>
      <w:r>
        <w:fldChar w:fldCharType="begin"/>
      </w:r>
      <w:r>
        <w:instrText xml:space="preserve"> ADDIN EN.REFLIST </w:instrText>
      </w:r>
      <w:r>
        <w:fldChar w:fldCharType="separate"/>
      </w:r>
      <w:r w:rsidRPr="00277B0F">
        <w:t>1.</w:t>
      </w:r>
      <w:r w:rsidRPr="00277B0F">
        <w:tab/>
        <w:t xml:space="preserve">Centers for Disease Control and Prevention. Surveillance Population. Accessed August 25, 2020. </w:t>
      </w:r>
      <w:hyperlink r:id="rId9" w:history="1">
        <w:r w:rsidRPr="00277B0F">
          <w:rPr>
            <w:rStyle w:val="Hyperlink"/>
          </w:rPr>
          <w:t>https://www.cdc.gov/abcs/methodology/surv-pop.html</w:t>
        </w:r>
      </w:hyperlink>
    </w:p>
    <w:p w14:paraId="7FCB68E5" w14:textId="671EA831" w:rsidR="00DC0794" w:rsidRPr="00DC0794" w:rsidRDefault="00277B0F" w:rsidP="006C27B8">
      <w:r>
        <w:fldChar w:fldCharType="end"/>
      </w:r>
    </w:p>
    <w:sectPr w:rsidR="00DC0794" w:rsidRPr="00DC0794" w:rsidSect="008E307E">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E42D" w14:textId="77777777" w:rsidR="00545869" w:rsidRDefault="00545869" w:rsidP="006A0782">
      <w:pPr>
        <w:spacing w:after="0" w:line="240" w:lineRule="auto"/>
      </w:pPr>
      <w:r>
        <w:separator/>
      </w:r>
    </w:p>
  </w:endnote>
  <w:endnote w:type="continuationSeparator" w:id="0">
    <w:p w14:paraId="5E8FB336" w14:textId="77777777" w:rsidR="00545869" w:rsidRDefault="00545869" w:rsidP="006A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0F2F" w14:textId="77777777" w:rsidR="00545869" w:rsidRDefault="00545869" w:rsidP="006A0782">
      <w:pPr>
        <w:spacing w:after="0" w:line="240" w:lineRule="auto"/>
      </w:pPr>
      <w:r>
        <w:separator/>
      </w:r>
    </w:p>
  </w:footnote>
  <w:footnote w:type="continuationSeparator" w:id="0">
    <w:p w14:paraId="184A2F04" w14:textId="77777777" w:rsidR="00545869" w:rsidRDefault="00545869" w:rsidP="006A0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etea9agxzptlept09ve2dkreax9rt99td0&quot;&gt;Pneumococcal Database-Converted&lt;record-ids&gt;&lt;item&gt;4428&lt;/item&gt;&lt;/record-ids&gt;&lt;/item&gt;&lt;/Libraries&gt;"/>
  </w:docVars>
  <w:rsids>
    <w:rsidRoot w:val="006A0782"/>
    <w:rsid w:val="00067C7F"/>
    <w:rsid w:val="000825CF"/>
    <w:rsid w:val="000A4BBC"/>
    <w:rsid w:val="000D65E5"/>
    <w:rsid w:val="001B3AE5"/>
    <w:rsid w:val="001F7180"/>
    <w:rsid w:val="00206145"/>
    <w:rsid w:val="002230AB"/>
    <w:rsid w:val="00277B0F"/>
    <w:rsid w:val="00295BA4"/>
    <w:rsid w:val="002A7174"/>
    <w:rsid w:val="002E2B61"/>
    <w:rsid w:val="002E3788"/>
    <w:rsid w:val="00340019"/>
    <w:rsid w:val="003A1BCE"/>
    <w:rsid w:val="00402B1B"/>
    <w:rsid w:val="00475405"/>
    <w:rsid w:val="004A4E0A"/>
    <w:rsid w:val="004B208C"/>
    <w:rsid w:val="004E3235"/>
    <w:rsid w:val="00545869"/>
    <w:rsid w:val="00593F84"/>
    <w:rsid w:val="005B7EE1"/>
    <w:rsid w:val="00645E06"/>
    <w:rsid w:val="006A0782"/>
    <w:rsid w:val="006C27B8"/>
    <w:rsid w:val="006D6E8C"/>
    <w:rsid w:val="006E34B4"/>
    <w:rsid w:val="0070199D"/>
    <w:rsid w:val="007F0B3D"/>
    <w:rsid w:val="00802F9C"/>
    <w:rsid w:val="0081650D"/>
    <w:rsid w:val="008510CB"/>
    <w:rsid w:val="00863C35"/>
    <w:rsid w:val="00894A22"/>
    <w:rsid w:val="00896364"/>
    <w:rsid w:val="008B5321"/>
    <w:rsid w:val="008C0645"/>
    <w:rsid w:val="008E04DA"/>
    <w:rsid w:val="008E307E"/>
    <w:rsid w:val="00964FE5"/>
    <w:rsid w:val="009670AC"/>
    <w:rsid w:val="009B571F"/>
    <w:rsid w:val="00A0778B"/>
    <w:rsid w:val="00A30557"/>
    <w:rsid w:val="00AA16E8"/>
    <w:rsid w:val="00B01637"/>
    <w:rsid w:val="00B06758"/>
    <w:rsid w:val="00B9557E"/>
    <w:rsid w:val="00BA0FFC"/>
    <w:rsid w:val="00BB56F0"/>
    <w:rsid w:val="00BE529A"/>
    <w:rsid w:val="00C627BE"/>
    <w:rsid w:val="00D150C0"/>
    <w:rsid w:val="00D360A5"/>
    <w:rsid w:val="00DC0794"/>
    <w:rsid w:val="00F54F37"/>
    <w:rsid w:val="00F92752"/>
    <w:rsid w:val="00FB2478"/>
    <w:rsid w:val="00FE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885DB"/>
  <w15:chartTrackingRefBased/>
  <w15:docId w15:val="{264FFE57-532B-4C9B-BC0B-BA5A00FC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8C"/>
    <w:rPr>
      <w:rFonts w:ascii="Segoe UI" w:hAnsi="Segoe UI" w:cs="Segoe UI"/>
      <w:sz w:val="18"/>
      <w:szCs w:val="18"/>
    </w:rPr>
  </w:style>
  <w:style w:type="paragraph" w:styleId="NoSpacing">
    <w:name w:val="No Spacing"/>
    <w:link w:val="NoSpacingChar"/>
    <w:uiPriority w:val="1"/>
    <w:qFormat/>
    <w:rsid w:val="004B208C"/>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4B208C"/>
    <w:rPr>
      <w:rFonts w:eastAsiaTheme="minorHAnsi"/>
      <w:lang w:eastAsia="en-US"/>
    </w:rPr>
  </w:style>
  <w:style w:type="character" w:styleId="LineNumber">
    <w:name w:val="line number"/>
    <w:basedOn w:val="DefaultParagraphFont"/>
    <w:uiPriority w:val="99"/>
    <w:semiHidden/>
    <w:unhideWhenUsed/>
    <w:rsid w:val="008E307E"/>
  </w:style>
  <w:style w:type="paragraph" w:customStyle="1" w:styleId="EndNoteBibliographyTitle">
    <w:name w:val="EndNote Bibliography Title"/>
    <w:basedOn w:val="Normal"/>
    <w:link w:val="EndNoteBibliographyTitleChar"/>
    <w:rsid w:val="00277B0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77B0F"/>
    <w:rPr>
      <w:rFonts w:ascii="Calibri" w:hAnsi="Calibri" w:cs="Calibri"/>
      <w:noProof/>
    </w:rPr>
  </w:style>
  <w:style w:type="paragraph" w:customStyle="1" w:styleId="EndNoteBibliography">
    <w:name w:val="EndNote Bibliography"/>
    <w:basedOn w:val="Normal"/>
    <w:link w:val="EndNoteBibliographyChar"/>
    <w:rsid w:val="00277B0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77B0F"/>
    <w:rPr>
      <w:rFonts w:ascii="Calibri" w:hAnsi="Calibri" w:cs="Calibri"/>
      <w:noProof/>
    </w:rPr>
  </w:style>
  <w:style w:type="character" w:styleId="Hyperlink">
    <w:name w:val="Hyperlink"/>
    <w:basedOn w:val="DefaultParagraphFont"/>
    <w:uiPriority w:val="99"/>
    <w:unhideWhenUsed/>
    <w:rsid w:val="00277B0F"/>
    <w:rPr>
      <w:color w:val="0563C1" w:themeColor="hyperlink"/>
      <w:u w:val="single"/>
    </w:rPr>
  </w:style>
  <w:style w:type="character" w:styleId="UnresolvedMention">
    <w:name w:val="Unresolved Mention"/>
    <w:basedOn w:val="DefaultParagraphFont"/>
    <w:uiPriority w:val="99"/>
    <w:semiHidden/>
    <w:unhideWhenUsed/>
    <w:rsid w:val="00277B0F"/>
    <w:rPr>
      <w:color w:val="605E5C"/>
      <w:shd w:val="clear" w:color="auto" w:fill="E1DFDD"/>
    </w:rPr>
  </w:style>
  <w:style w:type="character" w:styleId="CommentReference">
    <w:name w:val="annotation reference"/>
    <w:basedOn w:val="DefaultParagraphFont"/>
    <w:uiPriority w:val="99"/>
    <w:semiHidden/>
    <w:unhideWhenUsed/>
    <w:rsid w:val="00A30557"/>
    <w:rPr>
      <w:sz w:val="16"/>
      <w:szCs w:val="16"/>
    </w:rPr>
  </w:style>
  <w:style w:type="paragraph" w:styleId="CommentText">
    <w:name w:val="annotation text"/>
    <w:basedOn w:val="Normal"/>
    <w:link w:val="CommentTextChar"/>
    <w:uiPriority w:val="99"/>
    <w:unhideWhenUsed/>
    <w:rsid w:val="00A30557"/>
    <w:pPr>
      <w:spacing w:after="0" w:line="240" w:lineRule="auto"/>
    </w:pPr>
    <w:rPr>
      <w:rFonts w:ascii="Calibri" w:eastAsia="MS Mincho" w:hAnsi="Calibri" w:cs="Times New Roman"/>
      <w:sz w:val="20"/>
      <w:szCs w:val="20"/>
      <w:lang w:eastAsia="en-US"/>
    </w:rPr>
  </w:style>
  <w:style w:type="character" w:customStyle="1" w:styleId="CommentTextChar">
    <w:name w:val="Comment Text Char"/>
    <w:basedOn w:val="DefaultParagraphFont"/>
    <w:link w:val="CommentText"/>
    <w:uiPriority w:val="99"/>
    <w:rsid w:val="00A30557"/>
    <w:rPr>
      <w:rFonts w:ascii="Calibri" w:eastAsia="MS Mincho"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dc.gov/abcs/methodology/surv-p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3" ma:contentTypeDescription="Create a new document." ma:contentTypeScope="" ma:versionID="09773d2c64594a42a85632748cee848a">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ca709d30c15cbae0c92cb8163e56e89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2AF14-683A-400A-8B65-B168E9B670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07D095-4A13-4901-A952-CFE42B0298FD}">
  <ds:schemaRefs>
    <ds:schemaRef ds:uri="http://schemas.microsoft.com/sharepoint/v3/contenttype/forms"/>
  </ds:schemaRefs>
</ds:datastoreItem>
</file>

<file path=customXml/itemProps3.xml><?xml version="1.0" encoding="utf-8"?>
<ds:datastoreItem xmlns:ds="http://schemas.openxmlformats.org/officeDocument/2006/customXml" ds:itemID="{2ED60BFD-A28C-41EF-97AB-0A8320E5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Miwako (CDC/DDID/NCIRD/DBD)</dc:creator>
  <cp:keywords/>
  <dc:description/>
  <cp:lastModifiedBy>Kobayashi, Miwako (CDC/DDID/NCIRD/DBD)</cp:lastModifiedBy>
  <cp:revision>2</cp:revision>
  <dcterms:created xsi:type="dcterms:W3CDTF">2021-10-19T02:10:00Z</dcterms:created>
  <dcterms:modified xsi:type="dcterms:W3CDTF">2021-10-19T02:10:00Z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etDate">
    <vt:lpwstr>2020-12-29T03:57:00Z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ec2e24b0-e99f-485a-85c7-23e8a4f637e8</vt:lpwstr>
  </property>
  <property fmtid="{D5CDD505-2E9C-101B-9397-08002B2CF9AE}" pid="9" name="MSIP_Label_7b94a7b8-f06c-4dfe-bdcc-9b548fd58c31_ContentBits">
    <vt:lpwstr>0</vt:lpwstr>
  </property>
</Properties>
</file>