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3F" w:rsidRDefault="00024C3F" w:rsidP="00024C3F">
      <w:pPr>
        <w:rPr>
          <w:rFonts w:ascii="Calibri" w:eastAsia="Calibri" w:hAnsi="Calibri" w:cs="Times New Roman"/>
          <w:lang w:val="en-US"/>
        </w:rPr>
      </w:pPr>
      <w:bookmarkStart w:id="0" w:name="_GoBack"/>
      <w:bookmarkEnd w:id="0"/>
      <w:r w:rsidRPr="00024C3F">
        <w:rPr>
          <w:rFonts w:ascii="Calibri" w:eastAsia="Calibri" w:hAnsi="Calibri" w:cs="Times New Roman"/>
          <w:b/>
          <w:lang w:val="en-US"/>
        </w:rPr>
        <w:t>Supplementary Figure S1:</w:t>
      </w:r>
      <w:r w:rsidRPr="00024C3F">
        <w:rPr>
          <w:rFonts w:ascii="Calibri" w:eastAsia="Calibri" w:hAnsi="Calibri" w:cs="Times New Roman"/>
          <w:lang w:val="en-US"/>
        </w:rPr>
        <w:t xml:space="preserve"> Peri- and postmenopausal trends of patients with active non-injection drug use (non-IDU) during eight years before and after menopause onset.</w:t>
      </w:r>
    </w:p>
    <w:p w:rsidR="00024C3F" w:rsidRDefault="00024C3F" w:rsidP="00024C3F">
      <w:pPr>
        <w:rPr>
          <w:rFonts w:ascii="Calibri" w:eastAsia="Calibri" w:hAnsi="Calibri" w:cs="Times New Roman"/>
          <w:lang w:val="en-US"/>
        </w:rPr>
      </w:pPr>
    </w:p>
    <w:p w:rsidR="00024C3F" w:rsidRPr="00024C3F" w:rsidRDefault="00024C3F" w:rsidP="00024C3F">
      <w:pPr>
        <w:rPr>
          <w:rFonts w:ascii="Calibri" w:eastAsia="Calibri" w:hAnsi="Calibri" w:cs="Times New Roman"/>
          <w:lang w:val="en-US"/>
        </w:rPr>
      </w:pPr>
      <w:r>
        <w:rPr>
          <w:rFonts w:ascii="Calibri" w:eastAsia="Calibri" w:hAnsi="Calibri" w:cs="Times New Roman"/>
          <w:noProof/>
          <w:lang w:val="en-US"/>
        </w:rPr>
        <w:drawing>
          <wp:inline distT="0" distB="0" distL="0" distR="0" wp14:anchorId="4F6A47BF">
            <wp:extent cx="2451100" cy="245110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1100" cy="2451100"/>
                    </a:xfrm>
                    <a:prstGeom prst="rect">
                      <a:avLst/>
                    </a:prstGeom>
                    <a:noFill/>
                  </pic:spPr>
                </pic:pic>
              </a:graphicData>
            </a:graphic>
          </wp:inline>
        </w:drawing>
      </w:r>
    </w:p>
    <w:p w:rsidR="003C6AB8" w:rsidRDefault="003C6AB8" w:rsidP="003C6AB8">
      <w:pPr>
        <w:rPr>
          <w:lang w:val="en-US"/>
        </w:rPr>
      </w:pPr>
      <w:r w:rsidRPr="003C6AB8">
        <w:rPr>
          <w:b/>
          <w:lang w:val="en-US"/>
        </w:rPr>
        <w:t>Supplementary Figure</w:t>
      </w:r>
      <w:r w:rsidR="00024C3F">
        <w:rPr>
          <w:b/>
          <w:lang w:val="en-US"/>
        </w:rPr>
        <w:t xml:space="preserve"> S2</w:t>
      </w:r>
      <w:r w:rsidRPr="003C6AB8">
        <w:rPr>
          <w:b/>
          <w:lang w:val="en-US"/>
        </w:rPr>
        <w:t>:</w:t>
      </w:r>
      <w:r w:rsidRPr="003C6AB8">
        <w:rPr>
          <w:lang w:val="en-US"/>
        </w:rPr>
        <w:t xml:space="preserve"> Peri- and postmenopausal trends in viral (non)suppression in women with depression (B.), women being in psychiatric care (C.) and women with active injection drug use (D.) during eight years before and after menopause onset.</w:t>
      </w:r>
    </w:p>
    <w:p w:rsidR="003C6AB8" w:rsidRPr="003C6AB8" w:rsidRDefault="003C6AB8" w:rsidP="003C6AB8">
      <w:pPr>
        <w:rPr>
          <w:lang w:val="en-US"/>
        </w:rPr>
      </w:pPr>
    </w:p>
    <w:p w:rsidR="003C6AB8" w:rsidRDefault="003C6AB8">
      <w:pPr>
        <w:rPr>
          <w:lang w:val="en-US"/>
        </w:rPr>
      </w:pPr>
      <w:r>
        <w:rPr>
          <w:noProof/>
          <w:lang w:val="en-US"/>
        </w:rPr>
        <w:drawing>
          <wp:inline distT="0" distB="0" distL="0" distR="0" wp14:anchorId="31071FED">
            <wp:extent cx="5761355" cy="340804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3408045"/>
                    </a:xfrm>
                    <a:prstGeom prst="rect">
                      <a:avLst/>
                    </a:prstGeom>
                    <a:noFill/>
                  </pic:spPr>
                </pic:pic>
              </a:graphicData>
            </a:graphic>
          </wp:inline>
        </w:drawing>
      </w:r>
    </w:p>
    <w:p w:rsidR="003C6AB8" w:rsidRPr="003C6AB8" w:rsidRDefault="003C6AB8">
      <w:pPr>
        <w:rPr>
          <w:sz w:val="20"/>
          <w:lang w:val="en-US"/>
        </w:rPr>
      </w:pPr>
      <w:r w:rsidRPr="003C6AB8">
        <w:rPr>
          <w:sz w:val="20"/>
          <w:lang w:val="en-US"/>
        </w:rPr>
        <w:t xml:space="preserve">Rate of events over time (black solid), point-wise 95% confidence intervals (grey), fitted cubic spline (6 knots, yellow, orange, grey and blue dashed with 95% confidence intervals shaded), interrupted time series for </w:t>
      </w:r>
      <w:proofErr w:type="spellStart"/>
      <w:r w:rsidRPr="003C6AB8">
        <w:rPr>
          <w:sz w:val="20"/>
          <w:lang w:val="en-US"/>
        </w:rPr>
        <w:t>peri</w:t>
      </w:r>
      <w:proofErr w:type="spellEnd"/>
      <w:r w:rsidRPr="003C6AB8">
        <w:rPr>
          <w:sz w:val="20"/>
          <w:lang w:val="en-US"/>
        </w:rPr>
        <w:t>- (red) and post-menopause (blue).</w:t>
      </w:r>
    </w:p>
    <w:sectPr w:rsidR="003C6AB8" w:rsidRPr="003C6A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C7"/>
    <w:rsid w:val="00024C3F"/>
    <w:rsid w:val="000B220C"/>
    <w:rsid w:val="001C43EA"/>
    <w:rsid w:val="00263BE7"/>
    <w:rsid w:val="003C6AB8"/>
    <w:rsid w:val="003E165B"/>
    <w:rsid w:val="005A1125"/>
    <w:rsid w:val="006D645F"/>
    <w:rsid w:val="00714EF9"/>
    <w:rsid w:val="00A41AC5"/>
    <w:rsid w:val="00B374D5"/>
    <w:rsid w:val="00D209B3"/>
    <w:rsid w:val="00E275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56CAC-8170-4B06-8783-DCFC630B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Insel Gruppe</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Hachfeld, Anna</dc:creator>
  <cp:keywords/>
  <dc:description/>
  <cp:lastModifiedBy>Laura Anderson</cp:lastModifiedBy>
  <cp:revision>3</cp:revision>
  <dcterms:created xsi:type="dcterms:W3CDTF">2022-12-19T17:47:00Z</dcterms:created>
  <dcterms:modified xsi:type="dcterms:W3CDTF">2022-12-19T17:49:00Z</dcterms:modified>
</cp:coreProperties>
</file>