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59" w:before="0" w:after="160"/>
        <w:rPr>
          <w:rFonts w:ascii="Calibri" w:hAnsi="Calibri" w:eastAsia="Calibri" w:cs="Times New Roman"/>
          <w:sz w:val="24"/>
          <w:lang w:val="en-GB"/>
        </w:rPr>
      </w:pPr>
      <w:r>
        <w:rPr>
          <w:rFonts w:eastAsia="Calibri" w:cs="Times New Roman"/>
          <w:b/>
          <w:sz w:val="24"/>
          <w:lang w:val="en-GB"/>
        </w:rPr>
        <w:t>Supplementary Table</w:t>
      </w:r>
      <w:r>
        <w:rPr>
          <w:rFonts w:eastAsia="Calibri" w:cs="Times New Roman"/>
          <w:sz w:val="24"/>
          <w:lang w:val="en-GB"/>
        </w:rPr>
        <w:t>: Characteristics of women at time of menopause</w:t>
      </w:r>
    </w:p>
    <w:tbl>
      <w:tblPr>
        <w:tblStyle w:val="Tabellenraster1"/>
        <w:tblW w:w="56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5"/>
        <w:gridCol w:w="1559"/>
      </w:tblGrid>
      <w:tr>
        <w:trPr>
          <w:trHeight w:val="264" w:hRule="atLeast"/>
        </w:trPr>
        <w:tc>
          <w:tcPr>
            <w:tcW w:w="5664" w:type="dxa"/>
            <w:gridSpan w:val="2"/>
            <w:tcBorders/>
            <w:shd w:color="auto" w:fill="FFD9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b/>
                <w:b/>
                <w:lang w:val="en-US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en-US" w:eastAsia="en-US" w:bidi="ar-SA"/>
              </w:rPr>
              <w:t>Women at time of menopause n= 1130</w:t>
            </w:r>
          </w:p>
        </w:tc>
      </w:tr>
      <w:tr>
        <w:trPr>
          <w:trHeight w:val="264" w:hRule="atLeast"/>
        </w:trPr>
        <w:tc>
          <w:tcPr>
            <w:tcW w:w="4105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Median age at menopause (interquartile range)</w:t>
            </w:r>
          </w:p>
        </w:tc>
        <w:tc>
          <w:tcPr>
            <w:tcW w:w="1559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50 [32, 55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]</w:t>
            </w:r>
          </w:p>
        </w:tc>
      </w:tr>
      <w:tr>
        <w:trPr>
          <w:trHeight w:val="254" w:hRule="atLeast"/>
        </w:trPr>
        <w:tc>
          <w:tcPr>
            <w:tcW w:w="4105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 xml:space="preserve">Early menopause (&lt;45yrs) </w:t>
            </w:r>
          </w:p>
        </w:tc>
        <w:tc>
          <w:tcPr>
            <w:tcW w:w="1559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115 (10%)</w:t>
            </w:r>
          </w:p>
        </w:tc>
      </w:tr>
      <w:tr>
        <w:trPr>
          <w:trHeight w:val="264" w:hRule="atLeast"/>
        </w:trPr>
        <w:tc>
          <w:tcPr>
            <w:tcW w:w="4105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Premature ovarian insufficiency (&lt;40 yrs)</w:t>
            </w:r>
          </w:p>
        </w:tc>
        <w:tc>
          <w:tcPr>
            <w:tcW w:w="1559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23 (2%)</w:t>
            </w:r>
          </w:p>
        </w:tc>
      </w:tr>
      <w:tr>
        <w:trPr>
          <w:trHeight w:val="264" w:hRule="atLeast"/>
        </w:trPr>
        <w:tc>
          <w:tcPr>
            <w:tcW w:w="5664" w:type="dxa"/>
            <w:gridSpan w:val="2"/>
            <w:tcBorders/>
            <w:shd w:color="auto" w:fill="FFE5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en-US" w:eastAsia="en-US" w:bidi="ar-SA"/>
              </w:rPr>
              <w:t>Demographic and clinical characteristics</w:t>
            </w:r>
          </w:p>
        </w:tc>
      </w:tr>
      <w:tr>
        <w:trPr>
          <w:trHeight w:val="264" w:hRule="atLeast"/>
        </w:trPr>
        <w:tc>
          <w:tcPr>
            <w:tcW w:w="5664" w:type="dxa"/>
            <w:gridSpan w:val="2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b/>
                <w:b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Ethnicity</w:t>
            </w:r>
          </w:p>
        </w:tc>
      </w:tr>
      <w:tr>
        <w:trPr>
          <w:trHeight w:val="264" w:hRule="atLeast"/>
        </w:trPr>
        <w:tc>
          <w:tcPr>
            <w:tcW w:w="4105" w:type="dxa"/>
            <w:tcBorders/>
            <w:shd w:color="auto" w:fill="FFF2CC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Times New Roman" w:cs="Calibri"/>
                <w:sz w:val="24"/>
                <w:szCs w:val="24"/>
                <w:lang w:val="en-US" w:eastAsia="de-CH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val="en-US" w:eastAsia="de-CH" w:bidi="ar-SA"/>
              </w:rPr>
              <w:t>Caucasian</w:t>
            </w:r>
          </w:p>
        </w:tc>
        <w:tc>
          <w:tcPr>
            <w:tcW w:w="1559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753 (67%)</w:t>
            </w:r>
          </w:p>
        </w:tc>
      </w:tr>
      <w:tr>
        <w:trPr>
          <w:trHeight w:val="264" w:hRule="atLeast"/>
        </w:trPr>
        <w:tc>
          <w:tcPr>
            <w:tcW w:w="4105" w:type="dxa"/>
            <w:tcBorders/>
            <w:shd w:color="auto" w:fill="FFF2CC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Times New Roman" w:cs="Calibri"/>
                <w:sz w:val="24"/>
                <w:szCs w:val="24"/>
                <w:lang w:val="en-US" w:eastAsia="de-CH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val="en-US" w:eastAsia="de-CH" w:bidi="ar-SA"/>
              </w:rPr>
              <w:t>Black</w:t>
            </w:r>
          </w:p>
        </w:tc>
        <w:tc>
          <w:tcPr>
            <w:tcW w:w="1559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279 (25%)</w:t>
            </w:r>
          </w:p>
        </w:tc>
      </w:tr>
      <w:tr>
        <w:trPr>
          <w:trHeight w:val="264" w:hRule="atLeast"/>
        </w:trPr>
        <w:tc>
          <w:tcPr>
            <w:tcW w:w="4105" w:type="dxa"/>
            <w:tcBorders/>
            <w:shd w:color="auto" w:fill="FFF2CC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Times New Roman" w:cs="Calibri"/>
                <w:sz w:val="24"/>
                <w:szCs w:val="24"/>
                <w:lang w:val="en-US" w:eastAsia="de-CH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val="en-US" w:eastAsia="de-CH" w:bidi="ar-SA"/>
              </w:rPr>
              <w:t>Other</w:t>
            </w:r>
          </w:p>
        </w:tc>
        <w:tc>
          <w:tcPr>
            <w:tcW w:w="1559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98 (9%)</w:t>
            </w:r>
          </w:p>
        </w:tc>
      </w:tr>
      <w:tr>
        <w:trPr>
          <w:trHeight w:val="264" w:hRule="atLeast"/>
        </w:trPr>
        <w:tc>
          <w:tcPr>
            <w:tcW w:w="4105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Calibri" w:hAnsi="Calibri" w:eastAsia="Times New Roman" w:cs="Calibri"/>
                <w:highlight w:val="yellow"/>
                <w:lang w:val="it-IT" w:eastAsia="de-CH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it-IT" w:eastAsia="de-CH" w:bidi="ar-SA"/>
              </w:rPr>
              <w:t xml:space="preserve">HIV RNA (copies/ml), </w:t>
            </w:r>
            <w:r>
              <w:rPr>
                <w:rFonts w:eastAsia="Times New Roman" w:cs="Calibri"/>
                <w:kern w:val="0"/>
                <w:sz w:val="22"/>
                <w:szCs w:val="22"/>
                <w:lang w:val="en-US" w:eastAsia="de-CH" w:bidi="ar-SA"/>
              </w:rPr>
              <w:t>median [IQR]</w:t>
            </w:r>
          </w:p>
        </w:tc>
        <w:tc>
          <w:tcPr>
            <w:tcW w:w="1559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highlight w:val="yellow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0 [0, 0]</w:t>
            </w:r>
          </w:p>
        </w:tc>
      </w:tr>
      <w:tr>
        <w:trPr>
          <w:trHeight w:val="264" w:hRule="atLeast"/>
        </w:trPr>
        <w:tc>
          <w:tcPr>
            <w:tcW w:w="4105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Suppressed HIV-RNA (&lt;50 copies/ml)</w:t>
            </w:r>
          </w:p>
        </w:tc>
        <w:tc>
          <w:tcPr>
            <w:tcW w:w="1559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975 (87%)</w:t>
            </w:r>
          </w:p>
        </w:tc>
      </w:tr>
      <w:tr>
        <w:trPr>
          <w:trHeight w:val="264" w:hRule="atLeast"/>
        </w:trPr>
        <w:tc>
          <w:tcPr>
            <w:tcW w:w="4105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CD4 count (/μl), median [IQR]</w:t>
            </w:r>
          </w:p>
        </w:tc>
        <w:tc>
          <w:tcPr>
            <w:tcW w:w="1559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highlight w:val="yellow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613 [423, 824]</w:t>
            </w:r>
          </w:p>
        </w:tc>
      </w:tr>
      <w:tr>
        <w:trPr>
          <w:trHeight w:val="263" w:hRule="atLeast"/>
        </w:trPr>
        <w:tc>
          <w:tcPr>
            <w:tcW w:w="4105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CD4 count &lt;200/μl</w:t>
            </w:r>
          </w:p>
        </w:tc>
        <w:tc>
          <w:tcPr>
            <w:tcW w:w="1559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58 (5%)</w:t>
            </w:r>
          </w:p>
        </w:tc>
      </w:tr>
      <w:tr>
        <w:trPr>
          <w:trHeight w:val="264" w:hRule="atLeast"/>
        </w:trPr>
        <w:tc>
          <w:tcPr>
            <w:tcW w:w="4105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Depression and/or being in psychiatric care</w:t>
            </w:r>
          </w:p>
        </w:tc>
        <w:tc>
          <w:tcPr>
            <w:tcW w:w="1559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300 (27%)</w:t>
            </w:r>
          </w:p>
        </w:tc>
      </w:tr>
      <w:tr>
        <w:trPr>
          <w:trHeight w:val="264" w:hRule="atLeast"/>
        </w:trPr>
        <w:tc>
          <w:tcPr>
            <w:tcW w:w="4105" w:type="dxa"/>
            <w:tcBorders/>
            <w:shd w:color="auto" w:fill="FFF2CC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Times New Roman" w:cs="Calibri"/>
                <w:sz w:val="24"/>
                <w:szCs w:val="24"/>
                <w:lang w:val="en-US" w:eastAsia="de-CH"/>
              </w:rPr>
            </w:pPr>
            <w:r>
              <w:rPr>
                <w:rFonts w:eastAsia="Times New Roman" w:cs="Calibri"/>
                <w:kern w:val="0"/>
                <w:szCs w:val="24"/>
                <w:lang w:val="en-US" w:eastAsia="de-CH" w:bidi="ar-SA"/>
              </w:rPr>
              <w:t>Depression</w:t>
            </w:r>
          </w:p>
        </w:tc>
        <w:tc>
          <w:tcPr>
            <w:tcW w:w="1559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257 (23%)</w:t>
            </w:r>
          </w:p>
        </w:tc>
      </w:tr>
      <w:tr>
        <w:trPr>
          <w:trHeight w:val="264" w:hRule="atLeast"/>
        </w:trPr>
        <w:tc>
          <w:tcPr>
            <w:tcW w:w="4105" w:type="dxa"/>
            <w:tcBorders/>
            <w:shd w:color="auto" w:fill="FFF2CC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Times New Roman" w:cs="Calibri"/>
                <w:szCs w:val="24"/>
                <w:lang w:val="en-US" w:eastAsia="de-CH"/>
              </w:rPr>
            </w:pPr>
            <w:r>
              <w:rPr>
                <w:rFonts w:eastAsia="Times New Roman" w:cs="Calibri"/>
                <w:kern w:val="0"/>
                <w:sz w:val="22"/>
                <w:szCs w:val="24"/>
                <w:lang w:val="en-US" w:eastAsia="de-CH" w:bidi="ar-SA"/>
              </w:rPr>
              <w:t>Psychiatric care</w:t>
            </w:r>
          </w:p>
        </w:tc>
        <w:tc>
          <w:tcPr>
            <w:tcW w:w="1559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168 (15%)</w:t>
            </w:r>
          </w:p>
        </w:tc>
      </w:tr>
      <w:tr>
        <w:trPr>
          <w:trHeight w:val="264" w:hRule="atLeast"/>
        </w:trPr>
        <w:tc>
          <w:tcPr>
            <w:tcW w:w="4105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Active IDU</w:t>
            </w:r>
          </w:p>
        </w:tc>
        <w:tc>
          <w:tcPr>
            <w:tcW w:w="1559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 xml:space="preserve">33 (3%) </w:t>
            </w:r>
          </w:p>
        </w:tc>
      </w:tr>
      <w:tr>
        <w:trPr>
          <w:trHeight w:val="264" w:hRule="atLeast"/>
        </w:trPr>
        <w:tc>
          <w:tcPr>
            <w:tcW w:w="4105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highlight w:val="yellow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Active Non IDU</w:t>
            </w:r>
          </w:p>
        </w:tc>
        <w:tc>
          <w:tcPr>
            <w:tcW w:w="1559" w:type="dxa"/>
            <w:tcBorders/>
            <w:shd w:color="auto" w:fill="FFF2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  <w:highlight w:val="yellow"/>
                <w:lang w:val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173 (15%)</w:t>
            </w:r>
          </w:p>
        </w:tc>
      </w:tr>
    </w:tbl>
    <w:p>
      <w:pPr>
        <w:pStyle w:val="Normal"/>
        <w:spacing w:before="0" w:after="200"/>
        <w:rPr>
          <w:lang w:val="en-GB"/>
        </w:rPr>
      </w:pPr>
      <w:r>
        <w:rPr>
          <w:lang w:val="en-GB"/>
        </w:rPr>
        <w:t>IDU: Injection Drug Use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uiPriority w:val="39"/>
    <w:rsid w:val="008a60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">
    <w:name w:val="Table Grid"/>
    <w:basedOn w:val="NormaleTabelle"/>
    <w:uiPriority w:val="59"/>
    <w:rsid w:val="008a60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111</Words>
  <Characters>574</Characters>
  <CharactersWithSpaces>647</CharactersWithSpaces>
  <Paragraphs>35</Paragraphs>
  <Company>Insel Gruppe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2023-01-22T20:29:00Z</dcterms:created>
  <dc:creator>Hachfeld, Anna</dc:creator>
  <dc:description/>
  <dc:language>en-IN</dc:language>
  <cp:lastModifiedBy>Hachfeld, Anna</cp:lastModifiedBy>
  <dcterms:modified xsi:type="dcterms:W3CDTF">2023-01-22T20:29:00Z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Insel Gruppe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