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4FEB" w14:textId="56661CE1" w:rsidR="00F25D65" w:rsidRPr="003122FD" w:rsidRDefault="00F25D65">
      <w:pPr>
        <w:rPr>
          <w:sz w:val="28"/>
          <w:szCs w:val="28"/>
        </w:rPr>
      </w:pPr>
    </w:p>
    <w:p w14:paraId="4DCEF54A" w14:textId="266ED9CA" w:rsidR="00203DF7" w:rsidRDefault="00203DF7" w:rsidP="0020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1: COVID-19 Ambulatory Triage Protocol</w:t>
      </w:r>
    </w:p>
    <w:p w14:paraId="2F7DC500" w14:textId="77777777" w:rsidR="00203DF7" w:rsidRDefault="00203DF7" w:rsidP="00203DF7">
      <w:pPr>
        <w:rPr>
          <w:b/>
          <w:sz w:val="28"/>
          <w:szCs w:val="28"/>
        </w:rPr>
      </w:pPr>
    </w:p>
    <w:p w14:paraId="5F2CE364" w14:textId="6C27F9DF" w:rsidR="00203DF7" w:rsidRDefault="00203DF7" w:rsidP="00203DF7">
      <w:pPr>
        <w:rPr>
          <w:sz w:val="24"/>
          <w:szCs w:val="24"/>
        </w:rPr>
      </w:pPr>
      <w:r>
        <w:rPr>
          <w:sz w:val="24"/>
          <w:szCs w:val="24"/>
        </w:rPr>
        <w:t>This document describes the approach that we took to determining which patients needed an in-person visit at CCF clinic, and which patients could be mana</w:t>
      </w:r>
      <w:r w:rsidR="00076082">
        <w:rPr>
          <w:sz w:val="24"/>
          <w:szCs w:val="24"/>
        </w:rPr>
        <w:t>ged by telemedicine alone. This</w:t>
      </w:r>
      <w:r>
        <w:rPr>
          <w:sz w:val="24"/>
          <w:szCs w:val="24"/>
        </w:rPr>
        <w:t xml:space="preserve"> </w:t>
      </w:r>
      <w:r w:rsidR="00076082">
        <w:rPr>
          <w:sz w:val="24"/>
          <w:szCs w:val="24"/>
        </w:rPr>
        <w:t>protocol was</w:t>
      </w:r>
      <w:r>
        <w:rPr>
          <w:sz w:val="24"/>
          <w:szCs w:val="24"/>
        </w:rPr>
        <w:t xml:space="preserve"> based on the guidelines disseminated by our hospital system and medical school, while also </w:t>
      </w:r>
      <w:proofErr w:type="gramStart"/>
      <w:r>
        <w:rPr>
          <w:sz w:val="24"/>
          <w:szCs w:val="24"/>
        </w:rPr>
        <w:t>taking into account</w:t>
      </w:r>
      <w:proofErr w:type="gramEnd"/>
      <w:r>
        <w:rPr>
          <w:sz w:val="24"/>
          <w:szCs w:val="24"/>
        </w:rPr>
        <w:t xml:space="preserve"> the capabilities of our practice.</w:t>
      </w:r>
      <w:r w:rsidR="002E3B8C">
        <w:rPr>
          <w:sz w:val="24"/>
          <w:szCs w:val="24"/>
        </w:rPr>
        <w:t xml:space="preserve"> These guidelines were current as of March-May 2020, when testing resources were still limited. Subsequent testing guidelines evolved significantly after this time period. </w:t>
      </w:r>
    </w:p>
    <w:p w14:paraId="1D404A61" w14:textId="77777777" w:rsidR="00203DF7" w:rsidRPr="003122FD" w:rsidRDefault="00203DF7" w:rsidP="00203DF7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3122FD">
        <w:rPr>
          <w:b/>
          <w:sz w:val="24"/>
          <w:szCs w:val="24"/>
        </w:rPr>
        <w:lastRenderedPageBreak/>
        <w:t xml:space="preserve">COVID-19 Ambulatory Testing and Management Guidelines </w:t>
      </w:r>
    </w:p>
    <w:p w14:paraId="46723F75" w14:textId="39CADAB4" w:rsidR="00203DF7" w:rsidRDefault="002E3B8C" w:rsidP="00203DF7">
      <w:pPr>
        <w:rPr>
          <w:sz w:val="24"/>
          <w:szCs w:val="24"/>
        </w:rPr>
      </w:pPr>
      <w:r>
        <w:rPr>
          <w:sz w:val="24"/>
          <w:szCs w:val="24"/>
        </w:rPr>
        <w:t>(WCIMA guidelines based on NYP/WCM/CU guidelines)</w:t>
      </w:r>
    </w:p>
    <w:p w14:paraId="16C25F33" w14:textId="77777777" w:rsidR="002E3B8C" w:rsidRDefault="002E3B8C" w:rsidP="00203DF7">
      <w:pPr>
        <w:rPr>
          <w:sz w:val="24"/>
          <w:szCs w:val="24"/>
        </w:rPr>
      </w:pPr>
    </w:p>
    <w:p w14:paraId="104A7FCE" w14:textId="77777777" w:rsidR="002E3B8C" w:rsidRPr="003122FD" w:rsidRDefault="002E3B8C" w:rsidP="00203DF7">
      <w:pPr>
        <w:rPr>
          <w:sz w:val="24"/>
          <w:szCs w:val="24"/>
        </w:rPr>
      </w:pPr>
    </w:p>
    <w:p w14:paraId="6480B5C8" w14:textId="77777777" w:rsidR="00203DF7" w:rsidRPr="003122FD" w:rsidRDefault="00203DF7" w:rsidP="00203DF7">
      <w:pPr>
        <w:rPr>
          <w:b/>
          <w:sz w:val="24"/>
          <w:szCs w:val="24"/>
        </w:rPr>
      </w:pPr>
      <w:r w:rsidRPr="003122FD">
        <w:rPr>
          <w:b/>
          <w:sz w:val="24"/>
          <w:szCs w:val="24"/>
          <w:u w:val="single"/>
        </w:rPr>
        <w:t>Clinical Scenarios</w:t>
      </w:r>
      <w:r w:rsidRPr="003122FD">
        <w:rPr>
          <w:b/>
          <w:sz w:val="24"/>
          <w:szCs w:val="24"/>
        </w:rPr>
        <w:t xml:space="preserve">: </w:t>
      </w:r>
    </w:p>
    <w:p w14:paraId="38CAA75A" w14:textId="77777777" w:rsidR="00203DF7" w:rsidRPr="003122FD" w:rsidRDefault="00203DF7" w:rsidP="00203DF7">
      <w:pPr>
        <w:rPr>
          <w:sz w:val="24"/>
          <w:szCs w:val="24"/>
        </w:rPr>
      </w:pPr>
    </w:p>
    <w:p w14:paraId="5182FE89" w14:textId="77777777" w:rsidR="00203DF7" w:rsidRDefault="00203DF7" w:rsidP="00203DF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>Asymptomatic patients without exposure to</w:t>
      </w:r>
      <w:r>
        <w:rPr>
          <w:sz w:val="24"/>
          <w:szCs w:val="24"/>
        </w:rPr>
        <w:t xml:space="preserve"> confirmed COVID patient or PUI</w:t>
      </w:r>
      <w:r>
        <w:rPr>
          <w:rStyle w:val="FootnoteReference"/>
          <w:sz w:val="24"/>
          <w:szCs w:val="24"/>
        </w:rPr>
        <w:footnoteReference w:id="1"/>
      </w:r>
      <w:r w:rsidRPr="003122FD">
        <w:rPr>
          <w:sz w:val="24"/>
          <w:szCs w:val="24"/>
        </w:rPr>
        <w:t xml:space="preserve"> </w:t>
      </w:r>
    </w:p>
    <w:p w14:paraId="296BBB9E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Do not test for COVID </w:t>
      </w:r>
    </w:p>
    <w:p w14:paraId="25095AD1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If becomes symptomatic, see scenarios 3-5. </w:t>
      </w:r>
    </w:p>
    <w:p w14:paraId="72EDC32A" w14:textId="77777777" w:rsidR="00203DF7" w:rsidRPr="003122FD" w:rsidRDefault="00203DF7" w:rsidP="00203DF7">
      <w:pPr>
        <w:rPr>
          <w:sz w:val="24"/>
          <w:szCs w:val="24"/>
        </w:rPr>
      </w:pPr>
    </w:p>
    <w:p w14:paraId="266507CA" w14:textId="77777777" w:rsidR="00203DF7" w:rsidRDefault="00203DF7" w:rsidP="00203DF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>Asy</w:t>
      </w:r>
      <w:r>
        <w:rPr>
          <w:sz w:val="24"/>
          <w:szCs w:val="24"/>
        </w:rPr>
        <w:t>mptomatic patient with exposure</w:t>
      </w:r>
      <w:r>
        <w:rPr>
          <w:rStyle w:val="FootnoteReference"/>
          <w:sz w:val="24"/>
          <w:szCs w:val="24"/>
        </w:rPr>
        <w:footnoteReference w:id="2"/>
      </w:r>
      <w:r w:rsidRPr="003122FD">
        <w:rPr>
          <w:sz w:val="24"/>
          <w:szCs w:val="24"/>
        </w:rPr>
        <w:t xml:space="preserve"> to confirmed COVID patient or PUI </w:t>
      </w:r>
    </w:p>
    <w:p w14:paraId="0CE888A8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Do not test for COVID </w:t>
      </w:r>
    </w:p>
    <w:p w14:paraId="4FCF5851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Quarantine for 14 days (using CDC guidance) </w:t>
      </w:r>
    </w:p>
    <w:p w14:paraId="607BF99C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If becomes symptomatic, see scenarios 3-5. </w:t>
      </w:r>
    </w:p>
    <w:p w14:paraId="0F23BBE1" w14:textId="77777777" w:rsidR="00203DF7" w:rsidRDefault="00203DF7" w:rsidP="00203DF7">
      <w:pPr>
        <w:pStyle w:val="ListParagraph"/>
        <w:rPr>
          <w:sz w:val="24"/>
          <w:szCs w:val="24"/>
        </w:rPr>
      </w:pPr>
    </w:p>
    <w:p w14:paraId="68EB50EC" w14:textId="77777777" w:rsidR="00203DF7" w:rsidRDefault="00203DF7" w:rsidP="00203DF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Low risk patient (without significant comorbidities, under age 65) with mild symptoms (typical URI </w:t>
      </w:r>
      <w:proofErr w:type="spellStart"/>
      <w:r w:rsidRPr="003122FD">
        <w:rPr>
          <w:sz w:val="24"/>
          <w:szCs w:val="24"/>
        </w:rPr>
        <w:t>sx</w:t>
      </w:r>
      <w:proofErr w:type="spellEnd"/>
      <w:r w:rsidRPr="003122FD">
        <w:rPr>
          <w:sz w:val="24"/>
          <w:szCs w:val="24"/>
        </w:rPr>
        <w:t xml:space="preserve">, fever less than 102, no shortness of breath) </w:t>
      </w:r>
    </w:p>
    <w:p w14:paraId="268C51B1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Do not test for COVID </w:t>
      </w:r>
    </w:p>
    <w:p w14:paraId="7026B29D" w14:textId="26386B5B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Manage symptomatically </w:t>
      </w:r>
      <w:r>
        <w:rPr>
          <w:sz w:val="24"/>
          <w:szCs w:val="24"/>
        </w:rPr>
        <w:t>at home through telemedicine</w:t>
      </w:r>
    </w:p>
    <w:p w14:paraId="179F1D89" w14:textId="4491BE25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Isolate at home</w:t>
      </w:r>
    </w:p>
    <w:p w14:paraId="4E3CC4D8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If significant worsening, see scenario 4. </w:t>
      </w:r>
    </w:p>
    <w:p w14:paraId="0C587587" w14:textId="77777777" w:rsidR="00203DF7" w:rsidRPr="003122FD" w:rsidRDefault="00203DF7" w:rsidP="00203DF7">
      <w:pPr>
        <w:pStyle w:val="ListParagraph"/>
        <w:rPr>
          <w:sz w:val="24"/>
          <w:szCs w:val="24"/>
        </w:rPr>
      </w:pPr>
    </w:p>
    <w:p w14:paraId="38A17477" w14:textId="77777777" w:rsidR="00203DF7" w:rsidRDefault="00203DF7" w:rsidP="00203DF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Low risk patient (without significant comorbidities, under age 65) with moderate-severe symptoms (fever &gt;102, cough, SOB, GI symptoms, </w:t>
      </w:r>
      <w:proofErr w:type="spellStart"/>
      <w:r w:rsidRPr="003122FD">
        <w:rPr>
          <w:sz w:val="24"/>
          <w:szCs w:val="24"/>
        </w:rPr>
        <w:t>etc</w:t>
      </w:r>
      <w:proofErr w:type="spellEnd"/>
      <w:r w:rsidRPr="003122FD">
        <w:rPr>
          <w:sz w:val="24"/>
          <w:szCs w:val="24"/>
        </w:rPr>
        <w:t xml:space="preserve">) </w:t>
      </w:r>
    </w:p>
    <w:p w14:paraId="24FDCA74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Consider empiric treatment for influenza or pneumonia (if visit is via video or phone) </w:t>
      </w:r>
    </w:p>
    <w:p w14:paraId="374C9A16" w14:textId="78BBE435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Isolate at home</w:t>
      </w:r>
      <w:r w:rsidRPr="003122FD">
        <w:rPr>
          <w:sz w:val="24"/>
          <w:szCs w:val="24"/>
        </w:rPr>
        <w:t xml:space="preserve"> </w:t>
      </w:r>
    </w:p>
    <w:p w14:paraId="10BFFE95" w14:textId="744876E2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>Consider in</w:t>
      </w:r>
      <w:r w:rsidR="00076082">
        <w:rPr>
          <w:sz w:val="24"/>
          <w:szCs w:val="24"/>
        </w:rPr>
        <w:t>-person</w:t>
      </w:r>
      <w:r w:rsidRPr="003122FD">
        <w:rPr>
          <w:sz w:val="24"/>
          <w:szCs w:val="24"/>
        </w:rPr>
        <w:t xml:space="preserve"> evaluation </w:t>
      </w:r>
      <w:r w:rsidR="00076082">
        <w:rPr>
          <w:sz w:val="24"/>
          <w:szCs w:val="24"/>
        </w:rPr>
        <w:t xml:space="preserve">in CCF clinic, </w:t>
      </w:r>
      <w:r w:rsidRPr="003122FD">
        <w:rPr>
          <w:sz w:val="24"/>
          <w:szCs w:val="24"/>
        </w:rPr>
        <w:t xml:space="preserve">including diagnostic testing with rapid flu test, respiratory viral panel, labs, CXR and COVID </w:t>
      </w:r>
      <w:r w:rsidR="00076082">
        <w:rPr>
          <w:sz w:val="24"/>
          <w:szCs w:val="24"/>
        </w:rPr>
        <w:t xml:space="preserve">PCR </w:t>
      </w:r>
      <w:r w:rsidRPr="003122FD">
        <w:rPr>
          <w:sz w:val="24"/>
          <w:szCs w:val="24"/>
        </w:rPr>
        <w:t>testing</w:t>
      </w:r>
      <w:r w:rsidR="00076082">
        <w:rPr>
          <w:sz w:val="24"/>
          <w:szCs w:val="24"/>
        </w:rPr>
        <w:t>, as clinically indicated</w:t>
      </w:r>
      <w:r w:rsidRPr="003122FD">
        <w:rPr>
          <w:sz w:val="24"/>
          <w:szCs w:val="24"/>
        </w:rPr>
        <w:t xml:space="preserve">. </w:t>
      </w:r>
    </w:p>
    <w:p w14:paraId="309663A3" w14:textId="77777777" w:rsidR="00203DF7" w:rsidRPr="003122FD" w:rsidRDefault="00203DF7" w:rsidP="00203DF7">
      <w:pPr>
        <w:pStyle w:val="ListParagraph"/>
        <w:rPr>
          <w:sz w:val="24"/>
          <w:szCs w:val="24"/>
        </w:rPr>
      </w:pPr>
    </w:p>
    <w:p w14:paraId="14791EF6" w14:textId="77777777" w:rsidR="00203DF7" w:rsidRDefault="00203DF7" w:rsidP="00203DF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High risk patients (65 and over, COPD, diabetes, cardiac disease, immunocompromised) with mild symptoms </w:t>
      </w:r>
    </w:p>
    <w:p w14:paraId="05A5866F" w14:textId="77777777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 xml:space="preserve">Consider empiric treatment for influenza or pneumonia (if visit is via video or via phone). </w:t>
      </w:r>
    </w:p>
    <w:p w14:paraId="3A22F33E" w14:textId="55FCC26E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Isolate at home</w:t>
      </w:r>
    </w:p>
    <w:p w14:paraId="44B43DEA" w14:textId="77777777" w:rsidR="00076082" w:rsidRDefault="00076082" w:rsidP="00076082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t>Consider in</w:t>
      </w:r>
      <w:r>
        <w:rPr>
          <w:sz w:val="24"/>
          <w:szCs w:val="24"/>
        </w:rPr>
        <w:t>-person</w:t>
      </w:r>
      <w:r w:rsidRPr="003122FD">
        <w:rPr>
          <w:sz w:val="24"/>
          <w:szCs w:val="24"/>
        </w:rPr>
        <w:t xml:space="preserve"> evaluation </w:t>
      </w:r>
      <w:r>
        <w:rPr>
          <w:sz w:val="24"/>
          <w:szCs w:val="24"/>
        </w:rPr>
        <w:t xml:space="preserve">in CCF clinic, </w:t>
      </w:r>
      <w:r w:rsidRPr="003122FD">
        <w:rPr>
          <w:sz w:val="24"/>
          <w:szCs w:val="24"/>
        </w:rPr>
        <w:t xml:space="preserve">including diagnostic testing with rapid flu test, respiratory viral panel, labs, CXR and COVID </w:t>
      </w:r>
      <w:r>
        <w:rPr>
          <w:sz w:val="24"/>
          <w:szCs w:val="24"/>
        </w:rPr>
        <w:t xml:space="preserve">PCR </w:t>
      </w:r>
      <w:r w:rsidRPr="003122FD">
        <w:rPr>
          <w:sz w:val="24"/>
          <w:szCs w:val="24"/>
        </w:rPr>
        <w:t>testing</w:t>
      </w:r>
      <w:r>
        <w:rPr>
          <w:sz w:val="24"/>
          <w:szCs w:val="24"/>
        </w:rPr>
        <w:t>, as clinically indicated</w:t>
      </w:r>
      <w:r w:rsidRPr="003122FD">
        <w:rPr>
          <w:sz w:val="24"/>
          <w:szCs w:val="24"/>
        </w:rPr>
        <w:t xml:space="preserve">. </w:t>
      </w:r>
    </w:p>
    <w:p w14:paraId="794A77FE" w14:textId="4929930D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Frequent telemedicine</w:t>
      </w:r>
      <w:r w:rsidRPr="003122FD">
        <w:rPr>
          <w:sz w:val="24"/>
          <w:szCs w:val="24"/>
        </w:rPr>
        <w:t xml:space="preserve"> check</w:t>
      </w:r>
      <w:r w:rsidR="002E3B8C">
        <w:rPr>
          <w:sz w:val="24"/>
          <w:szCs w:val="24"/>
        </w:rPr>
        <w:t>-</w:t>
      </w:r>
      <w:r w:rsidRPr="003122FD">
        <w:rPr>
          <w:sz w:val="24"/>
          <w:szCs w:val="24"/>
        </w:rPr>
        <w:t>in</w:t>
      </w:r>
      <w:r w:rsidR="002E3B8C">
        <w:rPr>
          <w:sz w:val="24"/>
          <w:szCs w:val="24"/>
        </w:rPr>
        <w:t>s</w:t>
      </w:r>
      <w:r w:rsidRPr="003122FD">
        <w:rPr>
          <w:sz w:val="24"/>
          <w:szCs w:val="24"/>
        </w:rPr>
        <w:t xml:space="preserve"> to monitor for symptoms that would warrant revisit or referral to the ED. </w:t>
      </w:r>
    </w:p>
    <w:p w14:paraId="38EA39CB" w14:textId="77777777" w:rsidR="00203DF7" w:rsidRDefault="00203DF7" w:rsidP="00203DF7">
      <w:pPr>
        <w:pStyle w:val="ListParagraph"/>
        <w:rPr>
          <w:sz w:val="24"/>
          <w:szCs w:val="24"/>
        </w:rPr>
      </w:pPr>
    </w:p>
    <w:p w14:paraId="3C2F327D" w14:textId="77777777" w:rsidR="00717296" w:rsidRPr="003122FD" w:rsidRDefault="00717296" w:rsidP="00203DF7">
      <w:pPr>
        <w:pStyle w:val="ListParagraph"/>
        <w:rPr>
          <w:sz w:val="24"/>
          <w:szCs w:val="24"/>
        </w:rPr>
      </w:pPr>
    </w:p>
    <w:p w14:paraId="0CB7F797" w14:textId="77777777" w:rsidR="00203DF7" w:rsidRDefault="00203DF7" w:rsidP="00203DF7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3122FD">
        <w:rPr>
          <w:sz w:val="24"/>
          <w:szCs w:val="24"/>
        </w:rPr>
        <w:lastRenderedPageBreak/>
        <w:t xml:space="preserve">High risk patient with moderate-severe symptoms (fever &gt; 102, cough, SOB) </w:t>
      </w:r>
    </w:p>
    <w:p w14:paraId="08A22357" w14:textId="2F348316" w:rsidR="00203DF7" w:rsidRDefault="00203DF7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If SOB, d</w:t>
      </w:r>
      <w:r w:rsidRPr="003122FD">
        <w:rPr>
          <w:sz w:val="24"/>
          <w:szCs w:val="24"/>
        </w:rPr>
        <w:t xml:space="preserve">irect to the ED. </w:t>
      </w:r>
    </w:p>
    <w:p w14:paraId="0C95A263" w14:textId="5AFB42C5" w:rsidR="00203DF7" w:rsidRDefault="002E3B8C" w:rsidP="00203DF7">
      <w:pPr>
        <w:pStyle w:val="ListParagraph"/>
        <w:numPr>
          <w:ilvl w:val="1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If not SOB, use clinical judgment to determine whether patient should come into CCF clinic or should be directed to the ED.</w:t>
      </w:r>
    </w:p>
    <w:p w14:paraId="5F3FC86B" w14:textId="77777777" w:rsidR="00203DF7" w:rsidRDefault="00203DF7" w:rsidP="00203DF7">
      <w:pPr>
        <w:rPr>
          <w:sz w:val="24"/>
          <w:szCs w:val="24"/>
        </w:rPr>
      </w:pPr>
    </w:p>
    <w:p w14:paraId="1EE41982" w14:textId="6226A6F2" w:rsidR="00585409" w:rsidRPr="00934301" w:rsidRDefault="00203DF7" w:rsidP="00076082">
      <w:pPr>
        <w:rPr>
          <w:sz w:val="24"/>
          <w:szCs w:val="24"/>
        </w:rPr>
      </w:pPr>
      <w:r w:rsidRPr="00592951">
        <w:rPr>
          <w:sz w:val="24"/>
          <w:szCs w:val="24"/>
        </w:rPr>
        <w:t xml:space="preserve">NOTE: If the patient does not otherwise meet eligibility for COVID testing but lives with a high-risk family member (age &gt; 65, COPD, cardiac disease, immunocompromised etc.) consider COVID testing only if it will impact patient management such as proper isolation from the family member and only if </w:t>
      </w:r>
      <w:r w:rsidR="00076082">
        <w:rPr>
          <w:sz w:val="24"/>
          <w:szCs w:val="24"/>
        </w:rPr>
        <w:t>supplies of</w:t>
      </w:r>
      <w:r w:rsidRPr="00592951">
        <w:rPr>
          <w:sz w:val="24"/>
          <w:szCs w:val="24"/>
        </w:rPr>
        <w:t xml:space="preserve"> PPE and/or testing supplies</w:t>
      </w:r>
      <w:r w:rsidR="00076082">
        <w:rPr>
          <w:sz w:val="24"/>
          <w:szCs w:val="24"/>
        </w:rPr>
        <w:t xml:space="preserve"> will allow</w:t>
      </w:r>
      <w:r w:rsidRPr="00592951">
        <w:rPr>
          <w:sz w:val="24"/>
          <w:szCs w:val="24"/>
        </w:rPr>
        <w:t xml:space="preserve">. </w:t>
      </w:r>
      <w:bookmarkStart w:id="0" w:name="_GoBack"/>
      <w:bookmarkEnd w:id="0"/>
    </w:p>
    <w:sectPr w:rsidR="00585409" w:rsidRPr="00934301">
      <w:pgSz w:w="12240" w:h="15840"/>
      <w:pgMar w:top="720" w:right="1080" w:bottom="4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74C0" w14:textId="77777777" w:rsidR="00025B4C" w:rsidRDefault="00025B4C">
      <w:pPr>
        <w:spacing w:line="240" w:lineRule="auto"/>
      </w:pPr>
      <w:r>
        <w:separator/>
      </w:r>
    </w:p>
  </w:endnote>
  <w:endnote w:type="continuationSeparator" w:id="0">
    <w:p w14:paraId="4E2A1A24" w14:textId="77777777" w:rsidR="00025B4C" w:rsidRDefault="00025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945A" w14:textId="77777777" w:rsidR="00025B4C" w:rsidRDefault="00025B4C">
      <w:pPr>
        <w:spacing w:line="240" w:lineRule="auto"/>
      </w:pPr>
      <w:r>
        <w:separator/>
      </w:r>
    </w:p>
  </w:footnote>
  <w:footnote w:type="continuationSeparator" w:id="0">
    <w:p w14:paraId="79699681" w14:textId="77777777" w:rsidR="00025B4C" w:rsidRDefault="00025B4C">
      <w:pPr>
        <w:spacing w:line="240" w:lineRule="auto"/>
      </w:pPr>
      <w:r>
        <w:continuationSeparator/>
      </w:r>
    </w:p>
  </w:footnote>
  <w:footnote w:id="1">
    <w:p w14:paraId="62145AB7" w14:textId="53248C82" w:rsidR="00203DF7" w:rsidRPr="00717296" w:rsidRDefault="00203DF7" w:rsidP="00717296">
      <w:pPr>
        <w:pStyle w:val="ListParagraph"/>
        <w:ind w:left="0"/>
        <w:rPr>
          <w:sz w:val="20"/>
          <w:szCs w:val="20"/>
        </w:rPr>
      </w:pPr>
      <w:r w:rsidRPr="002E3B8C">
        <w:rPr>
          <w:rStyle w:val="FootnoteReference"/>
          <w:sz w:val="20"/>
          <w:szCs w:val="20"/>
        </w:rPr>
        <w:footnoteRef/>
      </w:r>
      <w:r w:rsidRPr="002E3B8C">
        <w:rPr>
          <w:sz w:val="20"/>
          <w:szCs w:val="20"/>
        </w:rPr>
        <w:t xml:space="preserve"> Persons Under Investigation (or PUI) is defined as an individual who has undergone testing for COVID-19 </w:t>
      </w:r>
    </w:p>
  </w:footnote>
  <w:footnote w:id="2">
    <w:p w14:paraId="41E900C9" w14:textId="322F1425" w:rsidR="00203DF7" w:rsidRPr="002E3B8C" w:rsidRDefault="00203DF7" w:rsidP="00203DF7">
      <w:pPr>
        <w:pStyle w:val="ListParagraph"/>
        <w:ind w:left="0"/>
        <w:rPr>
          <w:sz w:val="20"/>
          <w:szCs w:val="20"/>
        </w:rPr>
      </w:pPr>
      <w:r w:rsidRPr="002E3B8C">
        <w:rPr>
          <w:rStyle w:val="FootnoteReference"/>
          <w:sz w:val="20"/>
          <w:szCs w:val="20"/>
        </w:rPr>
        <w:footnoteRef/>
      </w:r>
      <w:r w:rsidRPr="002E3B8C">
        <w:rPr>
          <w:sz w:val="20"/>
          <w:szCs w:val="20"/>
        </w:rPr>
        <w:t xml:space="preserve"> Exposure to a confirmed COVID patient requires close contact (within 6 feet) for prolonged period of time (lives with, shares office with, shares waiting area) </w:t>
      </w:r>
    </w:p>
    <w:p w14:paraId="22D004D9" w14:textId="77777777" w:rsidR="00203DF7" w:rsidRPr="00592951" w:rsidRDefault="00203DF7" w:rsidP="00203DF7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0000002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000000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1B52E1E"/>
    <w:multiLevelType w:val="multilevel"/>
    <w:tmpl w:val="FED85E4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2EE15D2"/>
    <w:multiLevelType w:val="multilevel"/>
    <w:tmpl w:val="79007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5A2F4F"/>
    <w:multiLevelType w:val="multilevel"/>
    <w:tmpl w:val="55E4A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6302F4"/>
    <w:multiLevelType w:val="multilevel"/>
    <w:tmpl w:val="0936CA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83E6C7B"/>
    <w:multiLevelType w:val="hybridMultilevel"/>
    <w:tmpl w:val="0BC2533C"/>
    <w:lvl w:ilvl="0" w:tplc="A07C2D50">
      <w:start w:val="1"/>
      <w:numFmt w:val="decimal"/>
      <w:lvlText w:val="%1."/>
      <w:lvlJc w:val="left"/>
      <w:pPr>
        <w:ind w:left="720" w:hanging="360"/>
      </w:pPr>
    </w:lvl>
    <w:lvl w:ilvl="1" w:tplc="A3E067F6">
      <w:start w:val="1"/>
      <w:numFmt w:val="lowerLetter"/>
      <w:lvlText w:val="%2."/>
      <w:lvlJc w:val="left"/>
      <w:pPr>
        <w:ind w:left="1440" w:hanging="360"/>
      </w:pPr>
    </w:lvl>
    <w:lvl w:ilvl="2" w:tplc="DBFC04F4">
      <w:start w:val="1"/>
      <w:numFmt w:val="lowerRoman"/>
      <w:lvlText w:val="%3."/>
      <w:lvlJc w:val="right"/>
      <w:pPr>
        <w:ind w:left="2160" w:hanging="180"/>
      </w:pPr>
    </w:lvl>
    <w:lvl w:ilvl="3" w:tplc="76646D3C">
      <w:start w:val="1"/>
      <w:numFmt w:val="decimal"/>
      <w:lvlText w:val="%4."/>
      <w:lvlJc w:val="left"/>
      <w:pPr>
        <w:ind w:left="2880" w:hanging="360"/>
      </w:pPr>
    </w:lvl>
    <w:lvl w:ilvl="4" w:tplc="30B28B1A">
      <w:start w:val="1"/>
      <w:numFmt w:val="lowerLetter"/>
      <w:lvlText w:val="%5."/>
      <w:lvlJc w:val="left"/>
      <w:pPr>
        <w:ind w:left="3600" w:hanging="360"/>
      </w:pPr>
    </w:lvl>
    <w:lvl w:ilvl="5" w:tplc="C90ED3DC">
      <w:start w:val="1"/>
      <w:numFmt w:val="lowerRoman"/>
      <w:lvlText w:val="%6."/>
      <w:lvlJc w:val="right"/>
      <w:pPr>
        <w:ind w:left="4320" w:hanging="180"/>
      </w:pPr>
    </w:lvl>
    <w:lvl w:ilvl="6" w:tplc="5C78054C">
      <w:start w:val="1"/>
      <w:numFmt w:val="decimal"/>
      <w:lvlText w:val="%7."/>
      <w:lvlJc w:val="left"/>
      <w:pPr>
        <w:ind w:left="5040" w:hanging="360"/>
      </w:pPr>
    </w:lvl>
    <w:lvl w:ilvl="7" w:tplc="83C0FC60">
      <w:start w:val="1"/>
      <w:numFmt w:val="lowerLetter"/>
      <w:lvlText w:val="%8."/>
      <w:lvlJc w:val="left"/>
      <w:pPr>
        <w:ind w:left="5760" w:hanging="360"/>
      </w:pPr>
    </w:lvl>
    <w:lvl w:ilvl="8" w:tplc="AEFC82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339EA"/>
    <w:multiLevelType w:val="multilevel"/>
    <w:tmpl w:val="03E2779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0EF45DB4"/>
    <w:multiLevelType w:val="hybridMultilevel"/>
    <w:tmpl w:val="94506320"/>
    <w:lvl w:ilvl="0" w:tplc="2264B4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C61F3"/>
    <w:multiLevelType w:val="multilevel"/>
    <w:tmpl w:val="EB9440C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16C2412E"/>
    <w:multiLevelType w:val="multilevel"/>
    <w:tmpl w:val="88EC49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178C0C22"/>
    <w:multiLevelType w:val="multilevel"/>
    <w:tmpl w:val="5438675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1B4131ED"/>
    <w:multiLevelType w:val="multilevel"/>
    <w:tmpl w:val="2A8492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CFD5AC1"/>
    <w:multiLevelType w:val="multilevel"/>
    <w:tmpl w:val="B7301D38"/>
    <w:lvl w:ilvl="0">
      <w:start w:val="1"/>
      <w:numFmt w:val="decimal"/>
      <w:lvlText w:val="%1)"/>
      <w:lvlJc w:val="left"/>
      <w:pPr>
        <w:ind w:left="45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DF14AA8"/>
    <w:multiLevelType w:val="multilevel"/>
    <w:tmpl w:val="C494D9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EC223D8"/>
    <w:multiLevelType w:val="multilevel"/>
    <w:tmpl w:val="BC4C2EC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215619FF"/>
    <w:multiLevelType w:val="hybridMultilevel"/>
    <w:tmpl w:val="94506320"/>
    <w:lvl w:ilvl="0" w:tplc="2264B4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221D7"/>
    <w:multiLevelType w:val="multilevel"/>
    <w:tmpl w:val="E2F0A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8AA44FC"/>
    <w:multiLevelType w:val="multilevel"/>
    <w:tmpl w:val="653C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9820D30"/>
    <w:multiLevelType w:val="multilevel"/>
    <w:tmpl w:val="1BFA88B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1" w15:restartNumberingAfterBreak="0">
    <w:nsid w:val="2ADF56D8"/>
    <w:multiLevelType w:val="multilevel"/>
    <w:tmpl w:val="B0A65A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ED843D1"/>
    <w:multiLevelType w:val="multilevel"/>
    <w:tmpl w:val="E42296D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3" w15:restartNumberingAfterBreak="0">
    <w:nsid w:val="31D2154E"/>
    <w:multiLevelType w:val="multilevel"/>
    <w:tmpl w:val="EADA5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64E03C6"/>
    <w:multiLevelType w:val="multilevel"/>
    <w:tmpl w:val="F74A6C1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39DC6DAD"/>
    <w:multiLevelType w:val="multilevel"/>
    <w:tmpl w:val="BA840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7F04E3"/>
    <w:multiLevelType w:val="multilevel"/>
    <w:tmpl w:val="35627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27B1828"/>
    <w:multiLevelType w:val="hybridMultilevel"/>
    <w:tmpl w:val="4566E930"/>
    <w:lvl w:ilvl="0" w:tplc="53A66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308B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4AAF7204"/>
    <w:multiLevelType w:val="multilevel"/>
    <w:tmpl w:val="AFD87DA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0" w15:restartNumberingAfterBreak="0">
    <w:nsid w:val="4CAB0129"/>
    <w:multiLevelType w:val="multilevel"/>
    <w:tmpl w:val="5B6CC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DE93434"/>
    <w:multiLevelType w:val="multilevel"/>
    <w:tmpl w:val="FC641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E2241A3"/>
    <w:multiLevelType w:val="multilevel"/>
    <w:tmpl w:val="A4FCB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A3268A"/>
    <w:multiLevelType w:val="multilevel"/>
    <w:tmpl w:val="66AEA6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B920E68"/>
    <w:multiLevelType w:val="multilevel"/>
    <w:tmpl w:val="B0D8D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7C640D"/>
    <w:multiLevelType w:val="multilevel"/>
    <w:tmpl w:val="4558C64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6" w15:restartNumberingAfterBreak="0">
    <w:nsid w:val="725D2A2A"/>
    <w:multiLevelType w:val="multilevel"/>
    <w:tmpl w:val="9CC0238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7" w15:restartNumberingAfterBreak="0">
    <w:nsid w:val="743C6FF9"/>
    <w:multiLevelType w:val="multilevel"/>
    <w:tmpl w:val="02FA7BD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2"/>
  </w:num>
  <w:num w:numId="2">
    <w:abstractNumId w:val="37"/>
  </w:num>
  <w:num w:numId="3">
    <w:abstractNumId w:val="3"/>
  </w:num>
  <w:num w:numId="4">
    <w:abstractNumId w:val="34"/>
  </w:num>
  <w:num w:numId="5">
    <w:abstractNumId w:val="16"/>
  </w:num>
  <w:num w:numId="6">
    <w:abstractNumId w:val="8"/>
  </w:num>
  <w:num w:numId="7">
    <w:abstractNumId w:val="32"/>
  </w:num>
  <w:num w:numId="8">
    <w:abstractNumId w:val="36"/>
  </w:num>
  <w:num w:numId="9">
    <w:abstractNumId w:val="6"/>
  </w:num>
  <w:num w:numId="10">
    <w:abstractNumId w:val="19"/>
  </w:num>
  <w:num w:numId="11">
    <w:abstractNumId w:val="13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21"/>
  </w:num>
  <w:num w:numId="20">
    <w:abstractNumId w:val="31"/>
  </w:num>
  <w:num w:numId="21">
    <w:abstractNumId w:val="24"/>
  </w:num>
  <w:num w:numId="22">
    <w:abstractNumId w:val="35"/>
  </w:num>
  <w:num w:numId="23">
    <w:abstractNumId w:val="4"/>
  </w:num>
  <w:num w:numId="24">
    <w:abstractNumId w:val="25"/>
  </w:num>
  <w:num w:numId="25">
    <w:abstractNumId w:val="22"/>
  </w:num>
  <w:num w:numId="26">
    <w:abstractNumId w:val="14"/>
  </w:num>
  <w:num w:numId="27">
    <w:abstractNumId w:val="20"/>
  </w:num>
  <w:num w:numId="28">
    <w:abstractNumId w:val="29"/>
  </w:num>
  <w:num w:numId="29">
    <w:abstractNumId w:val="33"/>
  </w:num>
  <w:num w:numId="30">
    <w:abstractNumId w:val="26"/>
  </w:num>
  <w:num w:numId="31">
    <w:abstractNumId w:val="9"/>
  </w:num>
  <w:num w:numId="32">
    <w:abstractNumId w:val="27"/>
  </w:num>
  <w:num w:numId="33">
    <w:abstractNumId w:val="17"/>
  </w:num>
  <w:num w:numId="34">
    <w:abstractNumId w:val="28"/>
  </w:num>
  <w:num w:numId="35">
    <w:abstractNumId w:val="0"/>
  </w:num>
  <w:num w:numId="36">
    <w:abstractNumId w:val="1"/>
  </w:num>
  <w:num w:numId="37">
    <w:abstractNumId w:val="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09"/>
    <w:rsid w:val="00025B4C"/>
    <w:rsid w:val="00076082"/>
    <w:rsid w:val="000810CC"/>
    <w:rsid w:val="0012382A"/>
    <w:rsid w:val="001E0B2F"/>
    <w:rsid w:val="00203DF7"/>
    <w:rsid w:val="002E3B8C"/>
    <w:rsid w:val="003122FD"/>
    <w:rsid w:val="003156A2"/>
    <w:rsid w:val="003635A1"/>
    <w:rsid w:val="00496848"/>
    <w:rsid w:val="004E6469"/>
    <w:rsid w:val="004F520D"/>
    <w:rsid w:val="00585409"/>
    <w:rsid w:val="00592951"/>
    <w:rsid w:val="006153E0"/>
    <w:rsid w:val="00644D8E"/>
    <w:rsid w:val="006E5D5E"/>
    <w:rsid w:val="006F02A3"/>
    <w:rsid w:val="00717296"/>
    <w:rsid w:val="00753EDF"/>
    <w:rsid w:val="00802D59"/>
    <w:rsid w:val="008B15EB"/>
    <w:rsid w:val="0092392D"/>
    <w:rsid w:val="00934301"/>
    <w:rsid w:val="009750AB"/>
    <w:rsid w:val="009A5F02"/>
    <w:rsid w:val="00A4506D"/>
    <w:rsid w:val="00A567EB"/>
    <w:rsid w:val="00A70382"/>
    <w:rsid w:val="00AA537A"/>
    <w:rsid w:val="00AC6E69"/>
    <w:rsid w:val="00AE27D9"/>
    <w:rsid w:val="00B36C97"/>
    <w:rsid w:val="00B47755"/>
    <w:rsid w:val="00BC181B"/>
    <w:rsid w:val="00EB09DC"/>
    <w:rsid w:val="00F25D65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29D8"/>
  <w15:docId w15:val="{EDA23A84-B67D-4888-B814-E8161212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2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295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9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9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6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3A27E80-801E-4964-A9DB-A85497B5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Gingras</dc:creator>
  <cp:lastModifiedBy>Umesh Singh1</cp:lastModifiedBy>
  <cp:revision>3</cp:revision>
  <dcterms:created xsi:type="dcterms:W3CDTF">2021-01-01T04:57:00Z</dcterms:created>
  <dcterms:modified xsi:type="dcterms:W3CDTF">2021-06-01T16:40:00Z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1325213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