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b/>
          <w:sz w:val="24"/>
          <w:szCs w:val="24"/>
        </w:rPr>
      </w:pPr>
      <w:r>
        <w:rPr>
          <w:rFonts w:ascii="Times New Roman" w:hAnsi="Times New Roman" w:cs="Times New Roman"/>
          <w:b/>
          <w:sz w:val="24"/>
          <w:szCs w:val="24"/>
        </w:rPr>
        <w:t>Prognostic value</w:t>
      </w:r>
      <w:r>
        <w:rPr>
          <w:rFonts w:ascii="Times New Roman" w:hAnsi="Times New Roman"/>
          <w:b/>
          <w:sz w:val="24"/>
          <w:szCs w:val="24"/>
        </w:rPr>
        <w:t xml:space="preserve"> of </w:t>
      </w:r>
      <w:r>
        <w:rPr>
          <w:rFonts w:ascii="Times New Roman" w:hAnsi="Times New Roman" w:cs="Times New Roman"/>
          <w:b/>
          <w:sz w:val="24"/>
          <w:szCs w:val="24"/>
        </w:rPr>
        <w:t xml:space="preserve">the radiomics-based model </w:t>
      </w:r>
      <w:r>
        <w:rPr>
          <w:rFonts w:ascii="Times New Roman" w:hAnsi="Times New Roman"/>
          <w:b/>
          <w:sz w:val="24"/>
          <w:szCs w:val="24"/>
        </w:rPr>
        <w:t xml:space="preserve">in the disease-free </w:t>
      </w:r>
      <w:r>
        <w:rPr>
          <w:rFonts w:ascii="Times New Roman" w:hAnsi="Times New Roman" w:cs="Times New Roman"/>
          <w:b/>
          <w:sz w:val="24"/>
          <w:szCs w:val="24"/>
        </w:rPr>
        <w:t xml:space="preserve">survival of </w:t>
      </w:r>
      <w:r>
        <w:rPr>
          <w:rFonts w:ascii="Times New Roman" w:hAnsi="Times New Roman"/>
          <w:b/>
          <w:sz w:val="24"/>
          <w:szCs w:val="24"/>
        </w:rPr>
        <w:t>pretreatment uveal melanoma</w:t>
      </w:r>
      <w:r>
        <w:rPr>
          <w:rFonts w:hint="eastAsia" w:ascii="Times New Roman" w:hAnsi="Times New Roman"/>
          <w:b/>
          <w:sz w:val="24"/>
          <w:szCs w:val="24"/>
        </w:rPr>
        <w:t>：an</w:t>
      </w:r>
      <w:r>
        <w:rPr>
          <w:rFonts w:ascii="Times New Roman" w:hAnsi="Times New Roman"/>
          <w:b/>
          <w:sz w:val="24"/>
          <w:szCs w:val="24"/>
        </w:rPr>
        <w:t xml:space="preserve"> initial result</w:t>
      </w:r>
    </w:p>
    <w:p/>
    <w:p/>
    <w:p>
      <w:pPr>
        <w:jc w:val="left"/>
        <w:rPr>
          <w:rFonts w:ascii="Times New Roman" w:hAnsi="Times New Roman" w:eastAsia="等线 Light"/>
          <w:b/>
          <w:bCs/>
          <w:sz w:val="24"/>
          <w:szCs w:val="24"/>
        </w:rPr>
      </w:pPr>
      <w:r>
        <w:rPr>
          <w:rFonts w:ascii="Times New Roman" w:hAnsi="Times New Roman" w:eastAsia="等线 Light"/>
          <w:b/>
          <w:bCs/>
          <w:sz w:val="24"/>
          <w:szCs w:val="24"/>
        </w:rPr>
        <w:t>Materials and methods</w:t>
      </w:r>
    </w:p>
    <w:p/>
    <w:p>
      <w:pPr>
        <w:jc w:val="left"/>
        <w:rPr>
          <w:rFonts w:ascii="Times New Roman" w:hAnsi="Times New Roman" w:eastAsia="等线 Light"/>
          <w:b/>
          <w:sz w:val="24"/>
          <w:szCs w:val="24"/>
        </w:rPr>
      </w:pPr>
      <w:r>
        <w:rPr>
          <w:rFonts w:ascii="Times New Roman" w:hAnsi="Times New Roman" w:eastAsia="等线 Light"/>
          <w:b/>
          <w:sz w:val="24"/>
          <w:szCs w:val="24"/>
        </w:rPr>
        <w:t>Image data acquisition</w:t>
      </w:r>
    </w:p>
    <w:p>
      <w:pPr>
        <w:jc w:val="left"/>
        <w:rPr>
          <w:rFonts w:ascii="Times New Roman" w:hAnsi="Times New Roman" w:eastAsia="等线 Light"/>
          <w:b/>
          <w:sz w:val="24"/>
          <w:szCs w:val="24"/>
        </w:rPr>
      </w:pPr>
    </w:p>
    <w:p>
      <w:pPr>
        <w:rPr>
          <w:rFonts w:ascii="Times New Roman" w:hAnsi="Times New Roman" w:eastAsia="等线 Light"/>
          <w:b/>
          <w:sz w:val="24"/>
          <w:szCs w:val="24"/>
        </w:rPr>
      </w:pPr>
      <w:r>
        <w:rPr>
          <w:rFonts w:ascii="Times New Roman" w:hAnsi="Times New Roman" w:eastAsia="等线 Light"/>
          <w:b/>
          <w:sz w:val="24"/>
          <w:szCs w:val="24"/>
        </w:rPr>
        <w:t>Table S1. MR scanning parameters</w:t>
      </w:r>
    </w:p>
    <w:p>
      <w:pPr>
        <w:rPr>
          <w:rFonts w:ascii="Times New Roman" w:hAnsi="Times New Roman"/>
          <w:b/>
          <w:bCs/>
          <w:sz w:val="20"/>
          <w:szCs w:val="20"/>
        </w:rPr>
      </w:pPr>
    </w:p>
    <w:tbl>
      <w:tblPr>
        <w:tblStyle w:val="5"/>
        <w:tblW w:w="10868" w:type="dxa"/>
        <w:tblInd w:w="-1843" w:type="dxa"/>
        <w:tblLayout w:type="fixed"/>
        <w:tblCellMar>
          <w:top w:w="0" w:type="dxa"/>
          <w:left w:w="108" w:type="dxa"/>
          <w:bottom w:w="0" w:type="dxa"/>
          <w:right w:w="108" w:type="dxa"/>
        </w:tblCellMar>
      </w:tblPr>
      <w:tblGrid>
        <w:gridCol w:w="1377"/>
        <w:gridCol w:w="1239"/>
        <w:gridCol w:w="825"/>
        <w:gridCol w:w="826"/>
        <w:gridCol w:w="891"/>
        <w:gridCol w:w="1035"/>
        <w:gridCol w:w="964"/>
        <w:gridCol w:w="825"/>
        <w:gridCol w:w="688"/>
        <w:gridCol w:w="1239"/>
        <w:gridCol w:w="959"/>
      </w:tblGrid>
      <w:tr>
        <w:tblPrEx>
          <w:tblCellMar>
            <w:top w:w="0" w:type="dxa"/>
            <w:left w:w="108" w:type="dxa"/>
            <w:bottom w:w="0" w:type="dxa"/>
            <w:right w:w="108" w:type="dxa"/>
          </w:tblCellMar>
        </w:tblPrEx>
        <w:trPr>
          <w:trHeight w:val="662" w:hRule="atLeast"/>
        </w:trPr>
        <w:tc>
          <w:tcPr>
            <w:tcW w:w="1377" w:type="dxa"/>
            <w:tcBorders>
              <w:top w:val="single" w:color="auto" w:sz="12" w:space="0"/>
              <w:left w:val="nil"/>
              <w:bottom w:val="single" w:color="auto" w:sz="4"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Scanner</w:t>
            </w:r>
          </w:p>
        </w:tc>
        <w:tc>
          <w:tcPr>
            <w:tcW w:w="1239" w:type="dxa"/>
            <w:tcBorders>
              <w:top w:val="single" w:color="auto" w:sz="12" w:space="0"/>
              <w:left w:val="nil"/>
              <w:bottom w:val="single" w:color="auto" w:sz="4" w:space="0"/>
              <w:right w:val="nil"/>
            </w:tcBorders>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Sequence</w:t>
            </w:r>
          </w:p>
        </w:tc>
        <w:tc>
          <w:tcPr>
            <w:tcW w:w="825" w:type="dxa"/>
            <w:tcBorders>
              <w:top w:val="single" w:color="auto" w:sz="12" w:space="0"/>
              <w:left w:val="nil"/>
              <w:bottom w:val="single" w:color="auto" w:sz="4"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TR</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(ms)</w:t>
            </w:r>
          </w:p>
        </w:tc>
        <w:tc>
          <w:tcPr>
            <w:tcW w:w="826" w:type="dxa"/>
            <w:tcBorders>
              <w:top w:val="single" w:color="auto" w:sz="12" w:space="0"/>
              <w:left w:val="nil"/>
              <w:bottom w:val="single" w:color="auto" w:sz="4"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TE</w:t>
            </w:r>
          </w:p>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(ms)</w:t>
            </w:r>
          </w:p>
        </w:tc>
        <w:tc>
          <w:tcPr>
            <w:tcW w:w="891" w:type="dxa"/>
            <w:tcBorders>
              <w:top w:val="single" w:color="auto" w:sz="12" w:space="0"/>
              <w:left w:val="nil"/>
              <w:bottom w:val="single" w:color="auto" w:sz="4"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FOV (cm)</w:t>
            </w:r>
          </w:p>
        </w:tc>
        <w:tc>
          <w:tcPr>
            <w:tcW w:w="1035" w:type="dxa"/>
            <w:tcBorders>
              <w:top w:val="single" w:color="auto" w:sz="12" w:space="0"/>
              <w:left w:val="nil"/>
              <w:bottom w:val="single" w:color="auto" w:sz="4" w:space="0"/>
              <w:right w:val="nil"/>
            </w:tcBorders>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Number</w:t>
            </w:r>
          </w:p>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 of slices</w:t>
            </w:r>
          </w:p>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(mm)</w:t>
            </w:r>
          </w:p>
        </w:tc>
        <w:tc>
          <w:tcPr>
            <w:tcW w:w="964" w:type="dxa"/>
            <w:tcBorders>
              <w:top w:val="single" w:color="auto" w:sz="12" w:space="0"/>
              <w:left w:val="nil"/>
              <w:bottom w:val="single" w:color="auto" w:sz="4" w:space="0"/>
              <w:right w:val="nil"/>
            </w:tcBorders>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Slice thickness</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(mm)</w:t>
            </w:r>
          </w:p>
        </w:tc>
        <w:tc>
          <w:tcPr>
            <w:tcW w:w="825" w:type="dxa"/>
            <w:tcBorders>
              <w:top w:val="single" w:color="auto" w:sz="12" w:space="0"/>
              <w:left w:val="nil"/>
              <w:bottom w:val="single" w:color="auto" w:sz="4" w:space="0"/>
              <w:right w:val="nil"/>
            </w:tcBorders>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Slice gap (mm)</w:t>
            </w:r>
          </w:p>
        </w:tc>
        <w:tc>
          <w:tcPr>
            <w:tcW w:w="688" w:type="dxa"/>
            <w:tcBorders>
              <w:top w:val="single" w:color="auto" w:sz="12" w:space="0"/>
              <w:left w:val="nil"/>
              <w:bottom w:val="single" w:color="auto" w:sz="4" w:space="0"/>
              <w:right w:val="nil"/>
            </w:tcBorders>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NEX</w:t>
            </w:r>
          </w:p>
        </w:tc>
        <w:tc>
          <w:tcPr>
            <w:tcW w:w="1239" w:type="dxa"/>
            <w:tcBorders>
              <w:top w:val="single" w:color="auto" w:sz="12" w:space="0"/>
              <w:left w:val="nil"/>
              <w:bottom w:val="single" w:color="auto" w:sz="4" w:space="0"/>
              <w:right w:val="nil"/>
            </w:tcBorders>
            <w:vAlign w:val="bottom"/>
          </w:tcPr>
          <w:p>
            <w:pPr>
              <w:widowControl/>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Acquisition</w:t>
            </w:r>
          </w:p>
          <w:p>
            <w:pPr>
              <w:widowControl/>
              <w:ind w:right="400"/>
              <w:jc w:val="righ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time (min)</w:t>
            </w:r>
          </w:p>
        </w:tc>
        <w:tc>
          <w:tcPr>
            <w:tcW w:w="959" w:type="dxa"/>
            <w:tcBorders>
              <w:top w:val="single" w:color="auto" w:sz="12" w:space="0"/>
              <w:left w:val="nil"/>
              <w:bottom w:val="single" w:color="auto" w:sz="4" w:space="0"/>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Matrix</w:t>
            </w:r>
          </w:p>
        </w:tc>
      </w:tr>
      <w:tr>
        <w:tblPrEx>
          <w:tblCellMar>
            <w:top w:w="0" w:type="dxa"/>
            <w:left w:w="108" w:type="dxa"/>
            <w:bottom w:w="0" w:type="dxa"/>
            <w:right w:w="108" w:type="dxa"/>
          </w:tblCellMar>
        </w:tblPrEx>
        <w:trPr>
          <w:trHeight w:val="233" w:hRule="atLeast"/>
        </w:trPr>
        <w:tc>
          <w:tcPr>
            <w:tcW w:w="1377" w:type="dxa"/>
            <w:vMerge w:val="restart"/>
            <w:tcBorders>
              <w:top w:val="nil"/>
              <w:left w:val="nil"/>
              <w:bottom w:val="nil"/>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Philips 3.0T</w:t>
            </w:r>
            <w:r>
              <w:rPr>
                <w:rFonts w:ascii="Times New Roman" w:hAnsi="Times New Roman" w:eastAsia="宋体" w:cs="Times New Roman"/>
                <w:color w:val="000000"/>
                <w:kern w:val="0"/>
                <w:szCs w:val="21"/>
              </w:rPr>
              <w:br w:type="textWrapping"/>
            </w:r>
            <w:r>
              <w:rPr>
                <w:rFonts w:ascii="Times New Roman" w:hAnsi="Times New Roman" w:eastAsia="宋体" w:cs="Times New Roman"/>
                <w:color w:val="000000"/>
                <w:kern w:val="0"/>
                <w:szCs w:val="21"/>
              </w:rPr>
              <w:t>(Ingenia)</w:t>
            </w:r>
          </w:p>
        </w:tc>
        <w:tc>
          <w:tcPr>
            <w:tcW w:w="1239" w:type="dxa"/>
            <w:tcBorders>
              <w:top w:val="single" w:color="auto" w:sz="4" w:space="0"/>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T1WI </w:t>
            </w:r>
          </w:p>
        </w:tc>
        <w:tc>
          <w:tcPr>
            <w:tcW w:w="825" w:type="dxa"/>
            <w:tcBorders>
              <w:top w:val="single" w:color="auto" w:sz="4" w:space="0"/>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456</w:t>
            </w:r>
          </w:p>
        </w:tc>
        <w:tc>
          <w:tcPr>
            <w:tcW w:w="826" w:type="dxa"/>
            <w:tcBorders>
              <w:top w:val="single" w:color="auto" w:sz="4" w:space="0"/>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9</w:t>
            </w:r>
          </w:p>
        </w:tc>
        <w:tc>
          <w:tcPr>
            <w:tcW w:w="891" w:type="dxa"/>
            <w:tcBorders>
              <w:top w:val="single" w:color="auto" w:sz="4" w:space="0"/>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single" w:color="auto" w:sz="4" w:space="0"/>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w:t>
            </w:r>
          </w:p>
        </w:tc>
        <w:tc>
          <w:tcPr>
            <w:tcW w:w="964" w:type="dxa"/>
            <w:tcBorders>
              <w:top w:val="single" w:color="auto" w:sz="4" w:space="0"/>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825" w:type="dxa"/>
            <w:tcBorders>
              <w:top w:val="single" w:color="auto" w:sz="4" w:space="0"/>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single" w:color="auto" w:sz="4" w:space="0"/>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single" w:color="auto" w:sz="4" w:space="0"/>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2'12</w:t>
            </w:r>
          </w:p>
        </w:tc>
        <w:tc>
          <w:tcPr>
            <w:tcW w:w="959" w:type="dxa"/>
            <w:tcBorders>
              <w:top w:val="single" w:color="auto" w:sz="4" w:space="0"/>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268×251</w:t>
            </w:r>
          </w:p>
        </w:tc>
      </w:tr>
      <w:tr>
        <w:tblPrEx>
          <w:tblCellMar>
            <w:top w:w="0" w:type="dxa"/>
            <w:left w:w="108" w:type="dxa"/>
            <w:bottom w:w="0" w:type="dxa"/>
            <w:right w:w="108" w:type="dxa"/>
          </w:tblCellMar>
        </w:tblPrEx>
        <w:trPr>
          <w:trHeight w:val="233"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T2WI </w:t>
            </w:r>
          </w:p>
        </w:tc>
        <w:tc>
          <w:tcPr>
            <w:tcW w:w="825" w:type="dxa"/>
            <w:tcBorders>
              <w:top w:val="nil"/>
              <w:left w:val="nil"/>
              <w:bottom w:val="nil"/>
              <w:right w:val="nil"/>
            </w:tcBorders>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1936</w:t>
            </w:r>
          </w:p>
        </w:tc>
        <w:tc>
          <w:tcPr>
            <w:tcW w:w="826" w:type="dxa"/>
            <w:tcBorders>
              <w:top w:val="nil"/>
              <w:left w:val="nil"/>
              <w:bottom w:val="nil"/>
              <w:right w:val="nil"/>
            </w:tcBorders>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90</w:t>
            </w:r>
          </w:p>
        </w:tc>
        <w:tc>
          <w:tcPr>
            <w:tcW w:w="891" w:type="dxa"/>
            <w:tcBorders>
              <w:top w:val="nil"/>
              <w:left w:val="nil"/>
              <w:bottom w:val="nil"/>
              <w:right w:val="nil"/>
            </w:tcBorders>
            <w:noWrap/>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w:t>
            </w:r>
          </w:p>
        </w:tc>
        <w:tc>
          <w:tcPr>
            <w:tcW w:w="964" w:type="dxa"/>
            <w:tcBorders>
              <w:top w:val="nil"/>
              <w:left w:val="nil"/>
              <w:bottom w:val="nil"/>
              <w:right w:val="nil"/>
            </w:tcBorders>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825" w:type="dxa"/>
            <w:tcBorders>
              <w:top w:val="nil"/>
              <w:left w:val="nil"/>
              <w:bottom w:val="nil"/>
              <w:right w:val="nil"/>
            </w:tcBorders>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2'31</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268×251</w:t>
            </w:r>
          </w:p>
        </w:tc>
      </w:tr>
      <w:tr>
        <w:tblPrEx>
          <w:tblCellMar>
            <w:top w:w="0" w:type="dxa"/>
            <w:left w:w="108" w:type="dxa"/>
            <w:bottom w:w="0" w:type="dxa"/>
            <w:right w:w="108" w:type="dxa"/>
          </w:tblCellMar>
        </w:tblPrEx>
        <w:trPr>
          <w:trHeight w:val="433"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axial </w:t>
            </w:r>
          </w:p>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T1WI FS</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478</w:t>
            </w:r>
          </w:p>
        </w:tc>
        <w:tc>
          <w:tcPr>
            <w:tcW w:w="826"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8</w:t>
            </w:r>
          </w:p>
        </w:tc>
        <w:tc>
          <w:tcPr>
            <w:tcW w:w="891"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18×20</w:t>
            </w:r>
          </w:p>
        </w:tc>
        <w:tc>
          <w:tcPr>
            <w:tcW w:w="103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w:t>
            </w:r>
          </w:p>
        </w:tc>
        <w:tc>
          <w:tcPr>
            <w:tcW w:w="964"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3'15</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300×250</w:t>
            </w:r>
          </w:p>
        </w:tc>
      </w:tr>
      <w:tr>
        <w:tblPrEx>
          <w:tblCellMar>
            <w:top w:w="0" w:type="dxa"/>
            <w:left w:w="108" w:type="dxa"/>
            <w:bottom w:w="0" w:type="dxa"/>
            <w:right w:w="108" w:type="dxa"/>
          </w:tblCellMar>
        </w:tblPrEx>
        <w:trPr>
          <w:trHeight w:val="653"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 coronal T1WI FS</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606</w:t>
            </w:r>
          </w:p>
        </w:tc>
        <w:tc>
          <w:tcPr>
            <w:tcW w:w="826"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7.6</w:t>
            </w:r>
          </w:p>
        </w:tc>
        <w:tc>
          <w:tcPr>
            <w:tcW w:w="891"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18×18</w:t>
            </w:r>
          </w:p>
        </w:tc>
        <w:tc>
          <w:tcPr>
            <w:tcW w:w="103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w:t>
            </w:r>
          </w:p>
        </w:tc>
        <w:tc>
          <w:tcPr>
            <w:tcW w:w="964"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3.2</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2'13</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256×240</w:t>
            </w:r>
          </w:p>
        </w:tc>
      </w:tr>
      <w:tr>
        <w:tblPrEx>
          <w:tblCellMar>
            <w:top w:w="0" w:type="dxa"/>
            <w:left w:w="108" w:type="dxa"/>
            <w:bottom w:w="0" w:type="dxa"/>
            <w:right w:w="108" w:type="dxa"/>
          </w:tblCellMar>
        </w:tblPrEx>
        <w:trPr>
          <w:trHeight w:val="870"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 oblique sagittal T1WI FS</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408</w:t>
            </w:r>
          </w:p>
        </w:tc>
        <w:tc>
          <w:tcPr>
            <w:tcW w:w="826"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6.5</w:t>
            </w:r>
          </w:p>
        </w:tc>
        <w:tc>
          <w:tcPr>
            <w:tcW w:w="891"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w:t>
            </w:r>
          </w:p>
        </w:tc>
        <w:tc>
          <w:tcPr>
            <w:tcW w:w="964"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2'13</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228×223</w:t>
            </w:r>
          </w:p>
        </w:tc>
      </w:tr>
      <w:tr>
        <w:tblPrEx>
          <w:tblCellMar>
            <w:top w:w="0" w:type="dxa"/>
            <w:left w:w="108" w:type="dxa"/>
            <w:bottom w:w="0" w:type="dxa"/>
            <w:right w:w="108" w:type="dxa"/>
          </w:tblCellMar>
        </w:tblPrEx>
        <w:trPr>
          <w:trHeight w:val="233" w:hRule="atLeast"/>
        </w:trPr>
        <w:tc>
          <w:tcPr>
            <w:tcW w:w="1377"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1239" w:type="dxa"/>
            <w:tcBorders>
              <w:top w:val="nil"/>
              <w:left w:val="nil"/>
              <w:bottom w:val="nil"/>
              <w:right w:val="nil"/>
            </w:tcBorders>
            <w:noWrap/>
            <w:vAlign w:val="center"/>
          </w:tcPr>
          <w:p>
            <w:pPr>
              <w:widowControl/>
              <w:jc w:val="left"/>
              <w:rPr>
                <w:rFonts w:ascii="Times New Roman" w:hAnsi="Times New Roman" w:eastAsia="宋体" w:cs="Times New Roman"/>
                <w:color w:val="000000"/>
                <w:kern w:val="0"/>
                <w:sz w:val="20"/>
                <w:szCs w:val="20"/>
              </w:rPr>
            </w:pPr>
          </w:p>
        </w:tc>
        <w:tc>
          <w:tcPr>
            <w:tcW w:w="825"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826"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891" w:type="dxa"/>
            <w:tcBorders>
              <w:top w:val="nil"/>
              <w:left w:val="nil"/>
              <w:bottom w:val="nil"/>
              <w:right w:val="nil"/>
            </w:tcBorders>
            <w:noWrap/>
            <w:vAlign w:val="center"/>
          </w:tcPr>
          <w:p>
            <w:pPr>
              <w:widowControl/>
              <w:jc w:val="left"/>
              <w:rPr>
                <w:rFonts w:ascii="Times New Roman" w:hAnsi="Times New Roman" w:eastAsia="宋体" w:cs="Times New Roman"/>
                <w:color w:val="000000"/>
                <w:kern w:val="0"/>
                <w:sz w:val="20"/>
                <w:szCs w:val="20"/>
              </w:rPr>
            </w:pPr>
          </w:p>
        </w:tc>
        <w:tc>
          <w:tcPr>
            <w:tcW w:w="1035"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964"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825"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688"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1239"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959" w:type="dxa"/>
            <w:tcBorders>
              <w:top w:val="nil"/>
              <w:left w:val="nil"/>
              <w:bottom w:val="nil"/>
              <w:right w:val="nil"/>
            </w:tcBorders>
            <w:noWrap/>
            <w:vAlign w:val="center"/>
          </w:tcPr>
          <w:p>
            <w:pPr>
              <w:widowControl/>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233" w:hRule="atLeast"/>
        </w:trPr>
        <w:tc>
          <w:tcPr>
            <w:tcW w:w="1377" w:type="dxa"/>
            <w:vMerge w:val="restart"/>
            <w:tcBorders>
              <w:top w:val="nil"/>
              <w:left w:val="nil"/>
              <w:bottom w:val="nil"/>
              <w:right w:val="nil"/>
            </w:tcBorders>
            <w:shd w:val="clear" w:color="auto" w:fill="E7E6E6"/>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GE 3.0T            (</w:t>
            </w:r>
            <w:bookmarkStart w:id="0" w:name="OLE_LINK1"/>
            <w:r>
              <w:rPr>
                <w:rFonts w:ascii="Times New Roman" w:hAnsi="Times New Roman" w:eastAsia="宋体" w:cs="Times New Roman"/>
                <w:color w:val="000000"/>
                <w:kern w:val="0"/>
                <w:szCs w:val="21"/>
              </w:rPr>
              <w:t>Signa HDxt</w:t>
            </w:r>
            <w:bookmarkEnd w:id="0"/>
            <w:r>
              <w:rPr>
                <w:rFonts w:ascii="Times New Roman" w:hAnsi="Times New Roman" w:eastAsia="宋体" w:cs="Times New Roman"/>
                <w:color w:val="000000"/>
                <w:kern w:val="0"/>
                <w:szCs w:val="21"/>
              </w:rPr>
              <w:t>)</w:t>
            </w:r>
          </w:p>
        </w:tc>
        <w:tc>
          <w:tcPr>
            <w:tcW w:w="123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T1WI </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w:t>
            </w:r>
          </w:p>
        </w:tc>
        <w:tc>
          <w:tcPr>
            <w:tcW w:w="826"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8</w:t>
            </w:r>
          </w:p>
        </w:tc>
        <w:tc>
          <w:tcPr>
            <w:tcW w:w="891"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12</w:t>
            </w:r>
          </w:p>
        </w:tc>
        <w:tc>
          <w:tcPr>
            <w:tcW w:w="964"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1'24</w:t>
            </w:r>
          </w:p>
        </w:tc>
        <w:tc>
          <w:tcPr>
            <w:tcW w:w="95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384×256</w:t>
            </w:r>
          </w:p>
        </w:tc>
      </w:tr>
      <w:tr>
        <w:tblPrEx>
          <w:tblCellMar>
            <w:top w:w="0" w:type="dxa"/>
            <w:left w:w="108" w:type="dxa"/>
            <w:bottom w:w="0" w:type="dxa"/>
            <w:right w:w="108" w:type="dxa"/>
          </w:tblCellMar>
        </w:tblPrEx>
        <w:trPr>
          <w:trHeight w:val="233"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T2WI </w:t>
            </w:r>
          </w:p>
        </w:tc>
        <w:tc>
          <w:tcPr>
            <w:tcW w:w="825" w:type="dxa"/>
            <w:tcBorders>
              <w:top w:val="nil"/>
              <w:left w:val="nil"/>
              <w:bottom w:val="nil"/>
              <w:right w:val="nil"/>
            </w:tcBorders>
            <w:shd w:val="clear" w:color="auto" w:fill="E7E6E6"/>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2280</w:t>
            </w:r>
          </w:p>
        </w:tc>
        <w:tc>
          <w:tcPr>
            <w:tcW w:w="826" w:type="dxa"/>
            <w:tcBorders>
              <w:top w:val="nil"/>
              <w:left w:val="nil"/>
              <w:bottom w:val="nil"/>
              <w:right w:val="nil"/>
            </w:tcBorders>
            <w:shd w:val="clear" w:color="auto" w:fill="E7E6E6"/>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120</w:t>
            </w:r>
          </w:p>
        </w:tc>
        <w:tc>
          <w:tcPr>
            <w:tcW w:w="891"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shd w:val="clear" w:color="auto" w:fill="E7E6E6"/>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12</w:t>
            </w:r>
          </w:p>
        </w:tc>
        <w:tc>
          <w:tcPr>
            <w:tcW w:w="964" w:type="dxa"/>
            <w:tcBorders>
              <w:top w:val="nil"/>
              <w:left w:val="nil"/>
              <w:bottom w:val="nil"/>
              <w:right w:val="nil"/>
            </w:tcBorders>
            <w:shd w:val="clear" w:color="auto" w:fill="E7E6E6"/>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w:t>
            </w:r>
          </w:p>
        </w:tc>
        <w:tc>
          <w:tcPr>
            <w:tcW w:w="825" w:type="dxa"/>
            <w:tcBorders>
              <w:top w:val="nil"/>
              <w:left w:val="nil"/>
              <w:bottom w:val="nil"/>
              <w:right w:val="nil"/>
            </w:tcBorders>
            <w:shd w:val="clear" w:color="auto" w:fill="E7E6E6"/>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shd w:val="clear" w:color="auto" w:fill="E7E6E6"/>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shd w:val="clear" w:color="auto" w:fill="E7E6E6"/>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1'13</w:t>
            </w:r>
          </w:p>
        </w:tc>
        <w:tc>
          <w:tcPr>
            <w:tcW w:w="95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384×256</w:t>
            </w:r>
          </w:p>
        </w:tc>
      </w:tr>
      <w:tr>
        <w:tblPrEx>
          <w:tblCellMar>
            <w:top w:w="0" w:type="dxa"/>
            <w:left w:w="108" w:type="dxa"/>
            <w:bottom w:w="0" w:type="dxa"/>
            <w:right w:w="108" w:type="dxa"/>
          </w:tblCellMar>
        </w:tblPrEx>
        <w:trPr>
          <w:trHeight w:val="653"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axial </w:t>
            </w:r>
          </w:p>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T1WI FS</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520</w:t>
            </w:r>
          </w:p>
        </w:tc>
        <w:tc>
          <w:tcPr>
            <w:tcW w:w="826"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11</w:t>
            </w:r>
          </w:p>
        </w:tc>
        <w:tc>
          <w:tcPr>
            <w:tcW w:w="891"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12</w:t>
            </w:r>
          </w:p>
        </w:tc>
        <w:tc>
          <w:tcPr>
            <w:tcW w:w="964"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3.5</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1239"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w:t>
            </w:r>
          </w:p>
        </w:tc>
        <w:tc>
          <w:tcPr>
            <w:tcW w:w="95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384×224</w:t>
            </w:r>
          </w:p>
        </w:tc>
      </w:tr>
      <w:tr>
        <w:tblPrEx>
          <w:tblCellMar>
            <w:top w:w="0" w:type="dxa"/>
            <w:left w:w="108" w:type="dxa"/>
            <w:bottom w:w="0" w:type="dxa"/>
            <w:right w:w="108" w:type="dxa"/>
          </w:tblCellMar>
        </w:tblPrEx>
        <w:trPr>
          <w:trHeight w:val="653"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 coronal T1WI FS</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420</w:t>
            </w:r>
          </w:p>
        </w:tc>
        <w:tc>
          <w:tcPr>
            <w:tcW w:w="826"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11</w:t>
            </w:r>
          </w:p>
        </w:tc>
        <w:tc>
          <w:tcPr>
            <w:tcW w:w="891"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22×16.5</w:t>
            </w:r>
          </w:p>
        </w:tc>
        <w:tc>
          <w:tcPr>
            <w:tcW w:w="103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w:t>
            </w:r>
          </w:p>
        </w:tc>
        <w:tc>
          <w:tcPr>
            <w:tcW w:w="964"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1239"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2'32</w:t>
            </w:r>
          </w:p>
        </w:tc>
        <w:tc>
          <w:tcPr>
            <w:tcW w:w="95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384×224</w:t>
            </w:r>
          </w:p>
        </w:tc>
      </w:tr>
      <w:tr>
        <w:tblPrEx>
          <w:tblCellMar>
            <w:top w:w="0" w:type="dxa"/>
            <w:left w:w="108" w:type="dxa"/>
            <w:bottom w:w="0" w:type="dxa"/>
            <w:right w:w="108" w:type="dxa"/>
          </w:tblCellMar>
        </w:tblPrEx>
        <w:trPr>
          <w:trHeight w:val="870" w:hRule="atLeast"/>
        </w:trPr>
        <w:tc>
          <w:tcPr>
            <w:tcW w:w="1377" w:type="dxa"/>
            <w:vMerge w:val="continue"/>
            <w:tcBorders>
              <w:top w:val="nil"/>
              <w:left w:val="nil"/>
              <w:bottom w:val="nil"/>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 oblique sagittal T1WI FS</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380</w:t>
            </w:r>
          </w:p>
        </w:tc>
        <w:tc>
          <w:tcPr>
            <w:tcW w:w="826"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11.5</w:t>
            </w:r>
          </w:p>
        </w:tc>
        <w:tc>
          <w:tcPr>
            <w:tcW w:w="891" w:type="dxa"/>
            <w:tcBorders>
              <w:top w:val="nil"/>
              <w:left w:val="nil"/>
              <w:bottom w:val="nil"/>
              <w:right w:val="nil"/>
            </w:tcBorders>
            <w:shd w:val="clear" w:color="auto" w:fill="E7E6E6"/>
            <w:noWrap/>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20×20</w:t>
            </w:r>
          </w:p>
        </w:tc>
        <w:tc>
          <w:tcPr>
            <w:tcW w:w="103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12</w:t>
            </w:r>
          </w:p>
        </w:tc>
        <w:tc>
          <w:tcPr>
            <w:tcW w:w="964"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825"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shd w:val="clear" w:color="auto" w:fill="E7E6E6"/>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1'12</w:t>
            </w:r>
          </w:p>
        </w:tc>
        <w:tc>
          <w:tcPr>
            <w:tcW w:w="959" w:type="dxa"/>
            <w:tcBorders>
              <w:top w:val="nil"/>
              <w:left w:val="nil"/>
              <w:bottom w:val="nil"/>
              <w:right w:val="nil"/>
            </w:tcBorders>
            <w:shd w:val="clear" w:color="auto" w:fill="E7E6E6"/>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320×256</w:t>
            </w:r>
          </w:p>
        </w:tc>
      </w:tr>
      <w:tr>
        <w:tblPrEx>
          <w:tblCellMar>
            <w:top w:w="0" w:type="dxa"/>
            <w:left w:w="108" w:type="dxa"/>
            <w:bottom w:w="0" w:type="dxa"/>
            <w:right w:w="108" w:type="dxa"/>
          </w:tblCellMar>
        </w:tblPrEx>
        <w:trPr>
          <w:trHeight w:val="233" w:hRule="atLeast"/>
        </w:trPr>
        <w:tc>
          <w:tcPr>
            <w:tcW w:w="1377"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1239" w:type="dxa"/>
            <w:tcBorders>
              <w:top w:val="nil"/>
              <w:left w:val="nil"/>
              <w:bottom w:val="nil"/>
              <w:right w:val="nil"/>
            </w:tcBorders>
            <w:noWrap/>
            <w:vAlign w:val="center"/>
          </w:tcPr>
          <w:p>
            <w:pPr>
              <w:widowControl/>
              <w:jc w:val="left"/>
              <w:rPr>
                <w:rFonts w:ascii="Times New Roman" w:hAnsi="Times New Roman" w:eastAsia="宋体" w:cs="Times New Roman"/>
                <w:color w:val="000000"/>
                <w:kern w:val="0"/>
                <w:sz w:val="20"/>
                <w:szCs w:val="20"/>
              </w:rPr>
            </w:pPr>
          </w:p>
        </w:tc>
        <w:tc>
          <w:tcPr>
            <w:tcW w:w="825"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826"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891" w:type="dxa"/>
            <w:tcBorders>
              <w:top w:val="nil"/>
              <w:left w:val="nil"/>
              <w:bottom w:val="nil"/>
              <w:right w:val="nil"/>
            </w:tcBorders>
            <w:noWrap/>
            <w:vAlign w:val="center"/>
          </w:tcPr>
          <w:p>
            <w:pPr>
              <w:widowControl/>
              <w:jc w:val="left"/>
              <w:rPr>
                <w:rFonts w:ascii="Times New Roman" w:hAnsi="Times New Roman" w:eastAsia="宋体" w:cs="Times New Roman"/>
                <w:color w:val="000000"/>
                <w:kern w:val="0"/>
                <w:sz w:val="20"/>
                <w:szCs w:val="20"/>
              </w:rPr>
            </w:pPr>
          </w:p>
        </w:tc>
        <w:tc>
          <w:tcPr>
            <w:tcW w:w="1035"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964"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825"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688"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1239" w:type="dxa"/>
            <w:tcBorders>
              <w:top w:val="nil"/>
              <w:left w:val="nil"/>
              <w:bottom w:val="nil"/>
              <w:right w:val="nil"/>
            </w:tcBorders>
            <w:noWrap/>
            <w:vAlign w:val="center"/>
          </w:tcPr>
          <w:p>
            <w:pPr>
              <w:widowControl/>
              <w:jc w:val="center"/>
              <w:rPr>
                <w:rFonts w:ascii="Times New Roman" w:hAnsi="Times New Roman" w:eastAsia="宋体" w:cs="Times New Roman"/>
                <w:color w:val="000000"/>
                <w:kern w:val="0"/>
                <w:sz w:val="20"/>
                <w:szCs w:val="20"/>
              </w:rPr>
            </w:pPr>
          </w:p>
        </w:tc>
        <w:tc>
          <w:tcPr>
            <w:tcW w:w="959" w:type="dxa"/>
            <w:tcBorders>
              <w:top w:val="nil"/>
              <w:left w:val="nil"/>
              <w:bottom w:val="nil"/>
              <w:right w:val="nil"/>
            </w:tcBorders>
            <w:noWrap/>
            <w:vAlign w:val="center"/>
          </w:tcPr>
          <w:p>
            <w:pPr>
              <w:widowControl/>
              <w:jc w:val="left"/>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233" w:hRule="atLeast"/>
        </w:trPr>
        <w:tc>
          <w:tcPr>
            <w:tcW w:w="1377" w:type="dxa"/>
            <w:vMerge w:val="restart"/>
            <w:tcBorders>
              <w:top w:val="nil"/>
              <w:left w:val="nil"/>
              <w:bottom w:val="single" w:color="000000" w:sz="12" w:space="0"/>
              <w:right w:val="nil"/>
            </w:tcBorders>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GE 1.5T            (Signa Highspeed)</w:t>
            </w: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T1WI</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w:t>
            </w:r>
          </w:p>
        </w:tc>
        <w:tc>
          <w:tcPr>
            <w:tcW w:w="826"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15</w:t>
            </w:r>
          </w:p>
        </w:tc>
        <w:tc>
          <w:tcPr>
            <w:tcW w:w="891"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15</w:t>
            </w:r>
          </w:p>
        </w:tc>
        <w:tc>
          <w:tcPr>
            <w:tcW w:w="964"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2'01</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288×256</w:t>
            </w:r>
          </w:p>
        </w:tc>
      </w:tr>
      <w:tr>
        <w:tblPrEx>
          <w:tblCellMar>
            <w:top w:w="0" w:type="dxa"/>
            <w:left w:w="108" w:type="dxa"/>
            <w:bottom w:w="0" w:type="dxa"/>
            <w:right w:w="108" w:type="dxa"/>
          </w:tblCellMar>
        </w:tblPrEx>
        <w:trPr>
          <w:trHeight w:val="233" w:hRule="atLeast"/>
        </w:trPr>
        <w:tc>
          <w:tcPr>
            <w:tcW w:w="1377" w:type="dxa"/>
            <w:vMerge w:val="continue"/>
            <w:tcBorders>
              <w:top w:val="nil"/>
              <w:left w:val="nil"/>
              <w:bottom w:val="single" w:color="000000" w:sz="12" w:space="0"/>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T2WI </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3000</w:t>
            </w:r>
          </w:p>
        </w:tc>
        <w:tc>
          <w:tcPr>
            <w:tcW w:w="826"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120</w:t>
            </w:r>
          </w:p>
        </w:tc>
        <w:tc>
          <w:tcPr>
            <w:tcW w:w="891"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15</w:t>
            </w:r>
          </w:p>
        </w:tc>
        <w:tc>
          <w:tcPr>
            <w:tcW w:w="964"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w:t>
            </w:r>
          </w:p>
        </w:tc>
        <w:tc>
          <w:tcPr>
            <w:tcW w:w="688"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2'10</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288×256</w:t>
            </w:r>
          </w:p>
        </w:tc>
      </w:tr>
      <w:tr>
        <w:tblPrEx>
          <w:tblCellMar>
            <w:top w:w="0" w:type="dxa"/>
            <w:left w:w="108" w:type="dxa"/>
            <w:bottom w:w="0" w:type="dxa"/>
            <w:right w:w="108" w:type="dxa"/>
          </w:tblCellMar>
        </w:tblPrEx>
        <w:trPr>
          <w:trHeight w:val="653" w:hRule="atLeast"/>
        </w:trPr>
        <w:tc>
          <w:tcPr>
            <w:tcW w:w="1377" w:type="dxa"/>
            <w:vMerge w:val="continue"/>
            <w:tcBorders>
              <w:top w:val="nil"/>
              <w:left w:val="nil"/>
              <w:bottom w:val="single" w:color="000000" w:sz="12" w:space="0"/>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w:t>
            </w:r>
            <w:r>
              <w:rPr>
                <w:rFonts w:ascii="Times New Roman" w:hAnsi="Times New Roman" w:eastAsia="宋体" w:cs="Times New Roman"/>
                <w:color w:val="000000"/>
                <w:kern w:val="0"/>
                <w:sz w:val="20"/>
                <w:szCs w:val="20"/>
              </w:rPr>
              <w:br w:type="textWrapping"/>
            </w:r>
            <w:r>
              <w:rPr>
                <w:rFonts w:ascii="Times New Roman" w:hAnsi="Times New Roman" w:eastAsia="宋体" w:cs="Times New Roman"/>
                <w:color w:val="000000"/>
                <w:kern w:val="0"/>
                <w:sz w:val="20"/>
                <w:szCs w:val="20"/>
              </w:rPr>
              <w:t xml:space="preserve">axial </w:t>
            </w:r>
          </w:p>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T1WI FS</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500</w:t>
            </w:r>
          </w:p>
        </w:tc>
        <w:tc>
          <w:tcPr>
            <w:tcW w:w="826"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w:t>
            </w:r>
          </w:p>
        </w:tc>
        <w:tc>
          <w:tcPr>
            <w:tcW w:w="891"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16×16</w:t>
            </w:r>
          </w:p>
        </w:tc>
        <w:tc>
          <w:tcPr>
            <w:tcW w:w="103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15</w:t>
            </w:r>
          </w:p>
        </w:tc>
        <w:tc>
          <w:tcPr>
            <w:tcW w:w="964"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3.2</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688"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2'35</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256×160</w:t>
            </w:r>
          </w:p>
        </w:tc>
      </w:tr>
      <w:tr>
        <w:tblPrEx>
          <w:tblCellMar>
            <w:top w:w="0" w:type="dxa"/>
            <w:left w:w="108" w:type="dxa"/>
            <w:bottom w:w="0" w:type="dxa"/>
            <w:right w:w="108" w:type="dxa"/>
          </w:tblCellMar>
        </w:tblPrEx>
        <w:trPr>
          <w:trHeight w:val="653" w:hRule="atLeast"/>
        </w:trPr>
        <w:tc>
          <w:tcPr>
            <w:tcW w:w="1377" w:type="dxa"/>
            <w:vMerge w:val="continue"/>
            <w:tcBorders>
              <w:top w:val="nil"/>
              <w:left w:val="nil"/>
              <w:bottom w:val="single" w:color="000000" w:sz="12" w:space="0"/>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 coronal T1WI FS</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560</w:t>
            </w:r>
          </w:p>
        </w:tc>
        <w:tc>
          <w:tcPr>
            <w:tcW w:w="826"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10</w:t>
            </w:r>
          </w:p>
        </w:tc>
        <w:tc>
          <w:tcPr>
            <w:tcW w:w="891"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20×20</w:t>
            </w:r>
          </w:p>
        </w:tc>
        <w:tc>
          <w:tcPr>
            <w:tcW w:w="103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w:t>
            </w:r>
          </w:p>
        </w:tc>
        <w:tc>
          <w:tcPr>
            <w:tcW w:w="964"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3.2</w:t>
            </w:r>
          </w:p>
        </w:tc>
        <w:tc>
          <w:tcPr>
            <w:tcW w:w="825"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688"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w:t>
            </w:r>
          </w:p>
        </w:tc>
        <w:tc>
          <w:tcPr>
            <w:tcW w:w="1239" w:type="dxa"/>
            <w:tcBorders>
              <w:top w:val="nil"/>
              <w:left w:val="nil"/>
              <w:bottom w:val="nil"/>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2'45</w:t>
            </w:r>
          </w:p>
        </w:tc>
        <w:tc>
          <w:tcPr>
            <w:tcW w:w="959" w:type="dxa"/>
            <w:tcBorders>
              <w:top w:val="nil"/>
              <w:left w:val="nil"/>
              <w:bottom w:val="nil"/>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256×160</w:t>
            </w:r>
          </w:p>
        </w:tc>
      </w:tr>
      <w:tr>
        <w:tblPrEx>
          <w:tblCellMar>
            <w:top w:w="0" w:type="dxa"/>
            <w:left w:w="108" w:type="dxa"/>
            <w:bottom w:w="0" w:type="dxa"/>
            <w:right w:w="108" w:type="dxa"/>
          </w:tblCellMar>
        </w:tblPrEx>
        <w:trPr>
          <w:trHeight w:val="662" w:hRule="atLeast"/>
        </w:trPr>
        <w:tc>
          <w:tcPr>
            <w:tcW w:w="1377" w:type="dxa"/>
            <w:vMerge w:val="continue"/>
            <w:tcBorders>
              <w:top w:val="nil"/>
              <w:left w:val="nil"/>
              <w:bottom w:val="single" w:color="000000" w:sz="12" w:space="0"/>
              <w:right w:val="nil"/>
            </w:tcBorders>
            <w:vAlign w:val="center"/>
          </w:tcPr>
          <w:p>
            <w:pPr>
              <w:widowControl/>
              <w:jc w:val="left"/>
              <w:rPr>
                <w:rFonts w:ascii="Times New Roman" w:hAnsi="Times New Roman" w:eastAsia="宋体" w:cs="Times New Roman"/>
                <w:color w:val="000000"/>
                <w:kern w:val="0"/>
                <w:szCs w:val="21"/>
              </w:rPr>
            </w:pPr>
          </w:p>
        </w:tc>
        <w:tc>
          <w:tcPr>
            <w:tcW w:w="1239" w:type="dxa"/>
            <w:tcBorders>
              <w:top w:val="nil"/>
              <w:left w:val="nil"/>
              <w:bottom w:val="single" w:color="auto" w:sz="12" w:space="0"/>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Postcontrast oblique sagittal T1WI FS</w:t>
            </w:r>
          </w:p>
        </w:tc>
        <w:tc>
          <w:tcPr>
            <w:tcW w:w="825" w:type="dxa"/>
            <w:tcBorders>
              <w:top w:val="nil"/>
              <w:left w:val="nil"/>
              <w:bottom w:val="single" w:color="auto" w:sz="12"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400</w:t>
            </w:r>
          </w:p>
        </w:tc>
        <w:tc>
          <w:tcPr>
            <w:tcW w:w="826" w:type="dxa"/>
            <w:tcBorders>
              <w:top w:val="nil"/>
              <w:left w:val="nil"/>
              <w:bottom w:val="single" w:color="auto" w:sz="12"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11</w:t>
            </w:r>
          </w:p>
        </w:tc>
        <w:tc>
          <w:tcPr>
            <w:tcW w:w="891" w:type="dxa"/>
            <w:tcBorders>
              <w:top w:val="nil"/>
              <w:left w:val="nil"/>
              <w:bottom w:val="single" w:color="auto" w:sz="12" w:space="0"/>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20×20</w:t>
            </w:r>
          </w:p>
        </w:tc>
        <w:tc>
          <w:tcPr>
            <w:tcW w:w="1035" w:type="dxa"/>
            <w:tcBorders>
              <w:top w:val="nil"/>
              <w:left w:val="nil"/>
              <w:bottom w:val="single" w:color="auto" w:sz="12"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20</w:t>
            </w:r>
          </w:p>
        </w:tc>
        <w:tc>
          <w:tcPr>
            <w:tcW w:w="964" w:type="dxa"/>
            <w:tcBorders>
              <w:top w:val="nil"/>
              <w:left w:val="nil"/>
              <w:bottom w:val="single" w:color="auto" w:sz="12"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3.2</w:t>
            </w:r>
          </w:p>
        </w:tc>
        <w:tc>
          <w:tcPr>
            <w:tcW w:w="825" w:type="dxa"/>
            <w:tcBorders>
              <w:top w:val="nil"/>
              <w:left w:val="nil"/>
              <w:bottom w:val="single" w:color="auto" w:sz="12"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w:t>
            </w:r>
          </w:p>
        </w:tc>
        <w:tc>
          <w:tcPr>
            <w:tcW w:w="688" w:type="dxa"/>
            <w:tcBorders>
              <w:top w:val="nil"/>
              <w:left w:val="nil"/>
              <w:bottom w:val="single" w:color="auto" w:sz="12"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w:t>
            </w:r>
          </w:p>
        </w:tc>
        <w:tc>
          <w:tcPr>
            <w:tcW w:w="1239" w:type="dxa"/>
            <w:tcBorders>
              <w:top w:val="nil"/>
              <w:left w:val="nil"/>
              <w:bottom w:val="single" w:color="auto" w:sz="12" w:space="0"/>
              <w:right w:val="nil"/>
            </w:tcBorders>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2'30</w:t>
            </w:r>
          </w:p>
        </w:tc>
        <w:tc>
          <w:tcPr>
            <w:tcW w:w="959" w:type="dxa"/>
            <w:tcBorders>
              <w:top w:val="nil"/>
              <w:left w:val="nil"/>
              <w:bottom w:val="single" w:color="auto" w:sz="12" w:space="0"/>
              <w:right w:val="nil"/>
            </w:tcBorders>
            <w:vAlign w:val="bottom"/>
          </w:tcPr>
          <w:p>
            <w:pPr>
              <w:widowControl/>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256×160</w:t>
            </w:r>
          </w:p>
        </w:tc>
      </w:tr>
    </w:tbl>
    <w:p>
      <w:pPr>
        <w:rPr>
          <w:rFonts w:ascii="Times New Roman" w:hAnsi="Times New Roman"/>
          <w:b/>
          <w:bCs/>
          <w:sz w:val="20"/>
          <w:szCs w:val="20"/>
        </w:rPr>
      </w:pPr>
    </w:p>
    <w:p>
      <w:pPr>
        <w:rPr>
          <w:rFonts w:ascii="Times New Roman" w:hAnsi="Times New Roman" w:eastAsia="宋体" w:cs="Times New Roman"/>
          <w:color w:val="000000"/>
          <w:kern w:val="0"/>
          <w:sz w:val="22"/>
        </w:rPr>
      </w:pPr>
      <w:r>
        <w:rPr>
          <w:rFonts w:ascii="Times New Roman" w:hAnsi="Times New Roman" w:eastAsia="宋体" w:cs="Times New Roman"/>
          <w:i/>
          <w:color w:val="000000"/>
          <w:sz w:val="22"/>
        </w:rPr>
        <w:t>Abbreviations</w:t>
      </w:r>
      <w:r>
        <w:rPr>
          <w:rFonts w:ascii="Times New Roman" w:hAnsi="Times New Roman" w:eastAsia="宋体" w:cs="Times New Roman"/>
          <w:color w:val="000000"/>
          <w:sz w:val="22"/>
        </w:rPr>
        <w:t xml:space="preserve">: </w:t>
      </w:r>
      <w:r>
        <w:rPr>
          <w:rFonts w:ascii="Times New Roman" w:hAnsi="Times New Roman" w:eastAsia="宋体" w:cs="Times New Roman"/>
          <w:color w:val="000000"/>
          <w:kern w:val="0"/>
          <w:sz w:val="22"/>
        </w:rPr>
        <w:t>FOV</w:t>
      </w:r>
      <w:r>
        <w:rPr>
          <w:rFonts w:hint="eastAsia" w:ascii="Times New Roman" w:hAnsi="Times New Roman" w:eastAsia="宋体" w:cs="Times New Roman"/>
          <w:color w:val="000000"/>
          <w:kern w:val="0"/>
          <w:sz w:val="22"/>
        </w:rPr>
        <w:t>,</w:t>
      </w:r>
      <w:r>
        <w:rPr>
          <w:rFonts w:ascii="Times New Roman" w:hAnsi="Times New Roman" w:eastAsia="宋体" w:cs="Times New Roman"/>
          <w:color w:val="000000"/>
          <w:kern w:val="0"/>
          <w:sz w:val="22"/>
        </w:rPr>
        <w:t xml:space="preserve"> field of view; TR</w:t>
      </w:r>
      <w:r>
        <w:rPr>
          <w:rFonts w:hint="eastAsia" w:ascii="Times New Roman" w:hAnsi="Times New Roman" w:eastAsia="宋体" w:cs="Times New Roman"/>
          <w:color w:val="000000"/>
          <w:kern w:val="0"/>
          <w:sz w:val="22"/>
        </w:rPr>
        <w:t>,</w:t>
      </w:r>
      <w:r>
        <w:rPr>
          <w:rFonts w:ascii="Times New Roman" w:hAnsi="Times New Roman" w:eastAsia="宋体" w:cs="Times New Roman"/>
          <w:color w:val="000000"/>
          <w:kern w:val="0"/>
          <w:sz w:val="22"/>
        </w:rPr>
        <w:t xml:space="preserve"> repetition time; TE</w:t>
      </w:r>
      <w:r>
        <w:rPr>
          <w:rFonts w:hint="eastAsia" w:ascii="Times New Roman" w:hAnsi="Times New Roman" w:eastAsia="宋体" w:cs="Times New Roman"/>
          <w:color w:val="000000"/>
          <w:kern w:val="0"/>
          <w:sz w:val="22"/>
        </w:rPr>
        <w:t>,</w:t>
      </w:r>
      <w:r>
        <w:rPr>
          <w:rFonts w:ascii="Times New Roman" w:hAnsi="Times New Roman" w:eastAsia="宋体" w:cs="Times New Roman"/>
          <w:color w:val="000000"/>
          <w:kern w:val="0"/>
          <w:sz w:val="22"/>
        </w:rPr>
        <w:t xml:space="preserve"> echo time</w:t>
      </w:r>
      <w:r>
        <w:rPr>
          <w:rFonts w:hint="eastAsia" w:ascii="Times New Roman" w:hAnsi="Times New Roman" w:eastAsia="宋体" w:cs="Times New Roman"/>
          <w:color w:val="000000"/>
          <w:kern w:val="0"/>
          <w:sz w:val="22"/>
        </w:rPr>
        <w:t xml:space="preserve">; </w:t>
      </w:r>
      <w:r>
        <w:rPr>
          <w:rFonts w:ascii="Times New Roman" w:hAnsi="Times New Roman" w:eastAsia="宋体" w:cs="Times New Roman"/>
          <w:color w:val="000000"/>
          <w:sz w:val="20"/>
          <w:szCs w:val="20"/>
        </w:rPr>
        <w:t>NEX number of excitations.</w:t>
      </w:r>
    </w:p>
    <w:p>
      <w:pPr>
        <w:rPr>
          <w:rFonts w:ascii="Times New Roman" w:hAnsi="Times New Roman" w:eastAsia="宋体" w:cs="Times New Roman"/>
          <w:color w:val="000000"/>
          <w:szCs w:val="21"/>
        </w:rPr>
      </w:pPr>
      <w:r>
        <w:rPr>
          <w:rFonts w:ascii="Times New Roman" w:hAnsi="Times New Roman" w:eastAsia="宋体" w:cs="Times New Roman"/>
          <w:color w:val="000000"/>
          <w:szCs w:val="21"/>
        </w:rPr>
        <w:t xml:space="preserve"> </w:t>
      </w:r>
    </w:p>
    <w:p>
      <w:pPr>
        <w:rPr>
          <w:rFonts w:ascii="Times New Roman" w:hAnsi="Times New Roman"/>
          <w:b/>
          <w:bCs/>
          <w:sz w:val="20"/>
          <w:szCs w:val="20"/>
        </w:rPr>
      </w:pPr>
    </w:p>
    <w:p>
      <w:pPr>
        <w:jc w:val="left"/>
        <w:rPr>
          <w:rFonts w:ascii="Times New Roman" w:hAnsi="Times New Roman" w:eastAsia="等线 Light"/>
          <w:b/>
          <w:sz w:val="24"/>
          <w:szCs w:val="24"/>
        </w:rPr>
      </w:pPr>
      <w:r>
        <w:rPr>
          <w:rFonts w:ascii="Times New Roman" w:hAnsi="Times New Roman" w:eastAsia="等线 Light"/>
          <w:b/>
          <w:sz w:val="24"/>
          <w:szCs w:val="24"/>
        </w:rPr>
        <w:t xml:space="preserve">Feature extraction </w:t>
      </w:r>
    </w:p>
    <w:p>
      <w:pPr>
        <w:jc w:val="left"/>
        <w:rPr>
          <w:rFonts w:ascii="Times New Roman" w:hAnsi="Times New Roman" w:eastAsia="等线 Light"/>
          <w:sz w:val="20"/>
          <w:szCs w:val="20"/>
        </w:rPr>
      </w:pPr>
    </w:p>
    <w:p>
      <w:pPr>
        <w:jc w:val="left"/>
        <w:rPr>
          <w:rFonts w:ascii="Times New Roman" w:hAnsi="Times New Roman" w:eastAsia="等线 Light"/>
          <w:color w:val="000000"/>
          <w:sz w:val="20"/>
          <w:szCs w:val="20"/>
        </w:rPr>
      </w:pPr>
    </w:p>
    <w:p>
      <w:pPr>
        <w:spacing w:line="360" w:lineRule="auto"/>
        <w:ind w:firstLine="480" w:firstLineChars="200"/>
        <w:rPr>
          <w:rFonts w:ascii="Times New Roman" w:hAnsi="Times New Roman" w:eastAsia="等线 Light"/>
          <w:color w:val="000000"/>
          <w:sz w:val="24"/>
          <w:szCs w:val="24"/>
        </w:rPr>
      </w:pPr>
      <w:bookmarkStart w:id="1" w:name="_GoBack"/>
      <w:r>
        <w:rPr>
          <w:rFonts w:ascii="Times New Roman" w:hAnsi="Times New Roman" w:eastAsia="等线 Light"/>
          <w:color w:val="000000"/>
          <w:sz w:val="24"/>
          <w:szCs w:val="24"/>
        </w:rPr>
        <w:t xml:space="preserve">To reduce the effect of slice thickness variation, all images were resampled to the voxel size of 1× 1×1mm 3 using B-Spline interpolation. To minimize the MRI intensity variations, we normalized the intensity of the image using the following formula (where </w:t>
      </w:r>
      <w:r>
        <w:rPr>
          <w:rFonts w:ascii="Times New Roman" w:hAnsi="Times New Roman" w:eastAsia="等线 Light"/>
          <w:color w:val="000000"/>
          <w:sz w:val="24"/>
          <w:szCs w:val="24"/>
        </w:rPr>
        <w:object>
          <v:shape id="_x0000_i1025" o:spt="75" type="#_x0000_t75" style="height:10.45pt;width:10.45pt;" o:ole="t" filled="f" o:preferrelative="t" stroked="f" coordsize="21600,21600">
            <v:path/>
            <v:fill on="f" focussize="0,0"/>
            <v:stroke on="f" joinstyle="miter"/>
            <v:imagedata r:id="rId5" o:title=""/>
            <o:lock v:ext="edit" aspectratio="t"/>
            <w10:wrap type="none"/>
            <w10:anchorlock/>
          </v:shape>
          <o:OLEObject Type="Embed" ProgID="Equation.KSEE3" ShapeID="_x0000_i1025" DrawAspect="Content" ObjectID="_1468075725" r:id="rId4">
            <o:LockedField>false</o:LockedField>
          </o:OLEObject>
        </w:object>
      </w:r>
      <w:r>
        <w:rPr>
          <w:rFonts w:ascii="Times New Roman" w:hAnsi="Times New Roman" w:eastAsia="等线 Light"/>
          <w:color w:val="000000"/>
          <w:sz w:val="24"/>
          <w:szCs w:val="24"/>
        </w:rPr>
        <w:t xml:space="preserve"> indicates the original intensity; </w:t>
      </w:r>
      <w:r>
        <w:rPr>
          <w:rFonts w:ascii="Times New Roman" w:hAnsi="Times New Roman" w:eastAsia="等线 Light"/>
          <w:color w:val="000000"/>
          <w:sz w:val="24"/>
          <w:szCs w:val="24"/>
        </w:rPr>
        <w:object>
          <v:shape id="_x0000_i1026" o:spt="75" type="#_x0000_t75" style="height:16.6pt;width:27.1pt;" o:ole="t" filled="f" o:preferrelative="t" stroked="f" coordsize="21600,21600">
            <v:path/>
            <v:fill on="f" focussize="0,0"/>
            <v:stroke on="f" joinstyle="miter"/>
            <v:imagedata r:id="rId7" o:title=""/>
            <o:lock v:ext="edit" aspectratio="t"/>
            <w10:wrap type="none"/>
            <w10:anchorlock/>
          </v:shape>
          <o:OLEObject Type="Embed" ProgID="Equation.KSEE3" ShapeID="_x0000_i1026" DrawAspect="Content" ObjectID="_1468075726" r:id="rId6">
            <o:LockedField>false</o:LockedField>
          </o:OLEObject>
        </w:object>
      </w:r>
      <w:r>
        <w:rPr>
          <w:rFonts w:ascii="Times New Roman" w:hAnsi="Times New Roman" w:eastAsia="等线 Light"/>
          <w:color w:val="000000"/>
          <w:sz w:val="24"/>
          <w:szCs w:val="24"/>
        </w:rPr>
        <w:t xml:space="preserve"> indicates the normalized intensity; </w:t>
      </w:r>
      <w:r>
        <w:rPr>
          <w:rFonts w:ascii="Times New Roman" w:hAnsi="Times New Roman" w:eastAsia="等线 Light"/>
          <w:color w:val="000000"/>
          <w:sz w:val="24"/>
          <w:szCs w:val="24"/>
        </w:rPr>
        <w:object>
          <v:shape id="_x0000_i1027" o:spt="75" type="#_x0000_t75" style="height:17.85pt;width:14.75pt;" o:ole="t" filled="f" o:preferrelative="t" stroked="f" coordsize="21600,21600">
            <v:path/>
            <v:fill on="f" focussize="0,0"/>
            <v:stroke on="f" joinstyle="miter"/>
            <v:imagedata r:id="rId9" o:title=""/>
            <o:lock v:ext="edit" aspectratio="t"/>
            <w10:wrap type="none"/>
            <w10:anchorlock/>
          </v:shape>
          <o:OLEObject Type="Embed" ProgID="Equation.KSEE3" ShapeID="_x0000_i1027" DrawAspect="Content" ObjectID="_1468075727" r:id="rId8">
            <o:LockedField>false</o:LockedField>
          </o:OLEObject>
        </w:object>
      </w:r>
      <w:r>
        <w:rPr>
          <w:rFonts w:ascii="Times New Roman" w:hAnsi="Times New Roman" w:eastAsia="等线 Light"/>
          <w:color w:val="000000"/>
          <w:sz w:val="24"/>
          <w:szCs w:val="24"/>
        </w:rPr>
        <w:t xml:space="preserve"> refers to the mean value of the image intensity values; </w:t>
      </w:r>
      <w:r>
        <w:rPr>
          <w:rFonts w:ascii="Times New Roman" w:hAnsi="Times New Roman" w:eastAsia="等线 Light"/>
          <w:color w:val="000000"/>
          <w:sz w:val="24"/>
          <w:szCs w:val="24"/>
        </w:rPr>
        <w:object>
          <v:shape id="_x0000_i1028" o:spt="75" type="#_x0000_t75" style="height:17.85pt;width:14.75pt;" o:ole="t" filled="f" o:preferrelative="t" stroked="f" coordsize="21600,21600">
            <v:path/>
            <v:fill on="f" focussize="0,0"/>
            <v:stroke on="f" joinstyle="miter"/>
            <v:imagedata r:id="rId11" o:title=""/>
            <o:lock v:ext="edit" aspectratio="t"/>
            <w10:wrap type="none"/>
            <w10:anchorlock/>
          </v:shape>
          <o:OLEObject Type="Embed" ProgID="Equation.KSEE3" ShapeID="_x0000_i1028" DrawAspect="Content" ObjectID="_1468075728" r:id="rId10">
            <o:LockedField>false</o:LockedField>
          </o:OLEObject>
        </w:object>
      </w:r>
      <w:r>
        <w:rPr>
          <w:rFonts w:ascii="Times New Roman" w:hAnsi="Times New Roman" w:eastAsia="等线 Light"/>
          <w:color w:val="000000"/>
          <w:sz w:val="24"/>
          <w:szCs w:val="24"/>
        </w:rPr>
        <w:t xml:space="preserve"> indicates the standard deviation of the image intensity values; </w:t>
      </w:r>
      <w:r>
        <w:rPr>
          <w:rFonts w:ascii="Times New Roman" w:hAnsi="Times New Roman" w:eastAsia="等线 Light"/>
          <w:color w:val="000000"/>
          <w:sz w:val="24"/>
          <w:szCs w:val="24"/>
        </w:rPr>
        <w:object>
          <v:shape id="_x0000_i1029" o:spt="75" type="#_x0000_t75" style="height:10.45pt;width:9.25pt;" o:ole="t" filled="f" o:preferrelative="t" stroked="f" coordsize="21600,21600">
            <v:path/>
            <v:fill on="f" focussize="0,0"/>
            <v:stroke on="f" joinstyle="miter"/>
            <v:imagedata r:id="rId13" o:title=""/>
            <o:lock v:ext="edit" aspectratio="t"/>
            <w10:wrap type="none"/>
            <w10:anchorlock/>
          </v:shape>
          <o:OLEObject Type="Embed" ProgID="Equation.KSEE3" ShapeID="_x0000_i1029" DrawAspect="Content" ObjectID="_1468075729" r:id="rId12">
            <o:LockedField>false</o:LockedField>
          </o:OLEObject>
        </w:object>
      </w:r>
      <w:r>
        <w:rPr>
          <w:rFonts w:ascii="Times New Roman" w:hAnsi="Times New Roman" w:eastAsia="等线 Light"/>
          <w:color w:val="000000"/>
          <w:sz w:val="24"/>
          <w:szCs w:val="24"/>
        </w:rPr>
        <w:t xml:space="preserve"> is an optional scaling, by default, it is set to 1). Normalizes the image by centering it at the mean with standard deviation. Normalization is based on all gray values in the image, not just those inside the segmentation. </w:t>
      </w:r>
    </w:p>
    <w:p>
      <w:pPr>
        <w:widowControl/>
        <w:spacing w:line="276" w:lineRule="auto"/>
        <w:jc w:val="center"/>
        <w:rPr>
          <w:rFonts w:ascii="Times New Roman" w:hAnsi="Times New Roman"/>
          <w:color w:val="000000"/>
          <w:sz w:val="24"/>
          <w:szCs w:val="24"/>
        </w:rPr>
      </w:pPr>
      <w:r>
        <w:rPr>
          <w:rFonts w:ascii="Times New Roman" w:hAnsi="Times New Roman"/>
          <w:color w:val="000000"/>
          <w:position w:val="-30"/>
          <w:sz w:val="24"/>
          <w:szCs w:val="24"/>
        </w:rPr>
        <w:object>
          <v:shape id="_x0000_i1030" o:spt="75" type="#_x0000_t75" style="height:33.85pt;width:83.7pt;" o:ole="t" filled="f" o:preferrelative="t" stroked="f" coordsize="21600,21600">
            <v:path/>
            <v:fill on="f" focussize="0,0"/>
            <v:stroke on="f" joinstyle="miter"/>
            <v:imagedata r:id="rId15" o:title=""/>
            <o:lock v:ext="edit" aspectratio="t"/>
            <w10:wrap type="none"/>
            <w10:anchorlock/>
          </v:shape>
          <o:OLEObject Type="Embed" ProgID="Equation.KSEE3" ShapeID="_x0000_i1030" DrawAspect="Content" ObjectID="_1468075730" r:id="rId14">
            <o:LockedField>false</o:LockedField>
          </o:OLEObject>
        </w:object>
      </w:r>
    </w:p>
    <w:p>
      <w:pPr>
        <w:jc w:val="left"/>
        <w:rPr>
          <w:rFonts w:ascii="Times New Roman" w:hAnsi="Times New Roman" w:eastAsia="等线 Light"/>
          <w:color w:val="000000"/>
          <w:sz w:val="24"/>
          <w:szCs w:val="24"/>
        </w:rPr>
      </w:pPr>
    </w:p>
    <w:p>
      <w:pPr>
        <w:spacing w:line="360" w:lineRule="auto"/>
        <w:rPr>
          <w:rFonts w:ascii="Times New Roman" w:hAnsi="Times New Roman"/>
          <w:color w:val="000000"/>
          <w:sz w:val="24"/>
          <w:szCs w:val="24"/>
        </w:rPr>
      </w:pPr>
      <w:r>
        <w:rPr>
          <w:rFonts w:ascii="Times New Roman" w:hAnsi="Times New Roman"/>
          <w:color w:val="000000"/>
          <w:sz w:val="24"/>
          <w:szCs w:val="24"/>
        </w:rPr>
        <w:t>Then, 4 groups of imaging features were extracted from each normalized pretreatment MRI scan with manually segmented ROIs:</w:t>
      </w:r>
      <w:r>
        <w:rPr>
          <w:rFonts w:hint="eastAsia" w:ascii="Times New Roman" w:hAnsi="Times New Roman"/>
          <w:color w:val="000000"/>
          <w:sz w:val="24"/>
          <w:szCs w:val="24"/>
        </w:rPr>
        <w:t xml:space="preserve"> </w:t>
      </w:r>
      <w:r>
        <w:rPr>
          <w:rFonts w:ascii="Times New Roman" w:hAnsi="Times New Roman"/>
          <w:color w:val="000000"/>
          <w:kern w:val="0"/>
          <w:sz w:val="24"/>
          <w:szCs w:val="24"/>
        </w:rPr>
        <w:t>Group 1 (first order) consisted of 19 descriptors that quantitatively delineate the distribution of voxel intensities within the MR image through the use of basic metrics. Group 2 (shape features) consisted of 15 three-dimensional features that reflected the shape and size of the VOIs. Group 3 (texture features) included 59 textural features calculated from grey level run-length and grey level co-occurrence texture matrices, which can be used to quantify differences in regional heterogeneity. Group 4 (higher-order statistical features) included the intensity and texture features derived from wavelet transformation of the original image (936 features). Five types of filters were used: exponential, square, square root, logarithm, and wavelet.</w:t>
      </w:r>
      <w:r>
        <w:rPr>
          <w:rFonts w:ascii="Times New Roman" w:hAnsi="Times New Roman"/>
          <w:color w:val="000000"/>
          <w:sz w:val="24"/>
          <w:szCs w:val="24"/>
        </w:rPr>
        <w:t xml:space="preserve"> Wavelet decomposition was performed by applying low- (L) and high-pass (H) directional filters, resulting in three-dimensional images. Previous radiomics studies have demonstrated the utility of this approach 1,2. </w:t>
      </w:r>
    </w:p>
    <w:bookmarkEnd w:id="1"/>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rPr>
          <w:rFonts w:ascii="Times New Roman" w:hAnsi="Times New Roman"/>
          <w:sz w:val="20"/>
          <w:szCs w:val="20"/>
        </w:rPr>
      </w:pPr>
    </w:p>
    <w:p>
      <w:pPr>
        <w:ind w:firstLine="120" w:firstLineChars="50"/>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b/>
          <w:sz w:val="24"/>
          <w:szCs w:val="24"/>
        </w:rPr>
        <w:t>Table S</w:t>
      </w:r>
      <w:r>
        <w:rPr>
          <w:rFonts w:ascii="Arial" w:hAnsi="Arial" w:cs="Arial"/>
          <w:b/>
          <w:sz w:val="24"/>
          <w:szCs w:val="24"/>
        </w:rPr>
        <w:t>2</w:t>
      </w:r>
      <w:r>
        <w:rPr>
          <w:rFonts w:ascii="Times New Roman" w:hAnsi="Times New Roman" w:cs="Times New Roman"/>
          <w:b/>
          <w:sz w:val="24"/>
          <w:szCs w:val="24"/>
        </w:rPr>
        <w:t xml:space="preserve">. </w:t>
      </w:r>
      <w:r>
        <w:rPr>
          <w:rFonts w:hint="eastAsia" w:ascii="Times New Roman" w:hAnsi="Times New Roman" w:cs="Times New Roman"/>
          <w:b/>
          <w:sz w:val="24"/>
          <w:szCs w:val="24"/>
        </w:rPr>
        <w:t>The p-values of univariate analyses of clinical variables.</w:t>
      </w:r>
    </w:p>
    <w:p>
      <w:pPr>
        <w:rPr>
          <w:rFonts w:ascii="Times New Roman" w:hAnsi="Times New Roman" w:cs="Times New Roman"/>
          <w:color w:val="FF0000"/>
          <w:sz w:val="20"/>
          <w:szCs w:val="20"/>
        </w:rPr>
      </w:pPr>
    </w:p>
    <w:p>
      <w:pPr>
        <w:rPr>
          <w:rFonts w:ascii="Times New Roman" w:hAnsi="Times New Roman" w:cs="Times New Roman"/>
          <w:color w:val="FF0000"/>
          <w:sz w:val="20"/>
          <w:szCs w:val="20"/>
        </w:rPr>
      </w:pPr>
    </w:p>
    <w:p>
      <w:pPr>
        <w:rPr>
          <w:rFonts w:ascii="Times New Roman" w:hAnsi="Times New Roman" w:cs="Times New Roman"/>
          <w:color w:val="FF0000"/>
          <w:sz w:val="20"/>
          <w:szCs w:val="20"/>
        </w:rPr>
      </w:pPr>
    </w:p>
    <w:tbl>
      <w:tblPr>
        <w:tblStyle w:val="5"/>
        <w:tblpPr w:leftFromText="180" w:rightFromText="180" w:vertAnchor="page" w:horzAnchor="margin" w:tblpY="2699"/>
        <w:tblW w:w="6946" w:type="dxa"/>
        <w:tblInd w:w="0" w:type="dxa"/>
        <w:tblLayout w:type="autofit"/>
        <w:tblCellMar>
          <w:top w:w="0" w:type="dxa"/>
          <w:left w:w="108" w:type="dxa"/>
          <w:bottom w:w="0" w:type="dxa"/>
          <w:right w:w="108" w:type="dxa"/>
        </w:tblCellMar>
      </w:tblPr>
      <w:tblGrid>
        <w:gridCol w:w="4536"/>
        <w:gridCol w:w="2410"/>
      </w:tblGrid>
      <w:tr>
        <w:tblPrEx>
          <w:tblCellMar>
            <w:top w:w="0" w:type="dxa"/>
            <w:left w:w="108" w:type="dxa"/>
            <w:bottom w:w="0" w:type="dxa"/>
            <w:right w:w="108" w:type="dxa"/>
          </w:tblCellMar>
        </w:tblPrEx>
        <w:trPr>
          <w:trHeight w:val="358" w:hRule="atLeast"/>
        </w:trPr>
        <w:tc>
          <w:tcPr>
            <w:tcW w:w="4536" w:type="dxa"/>
            <w:tcBorders>
              <w:top w:val="single" w:color="000000" w:sz="4" w:space="0"/>
              <w:left w:val="nil"/>
              <w:bottom w:val="single" w:color="000000" w:sz="4" w:space="0"/>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Variables</w:t>
            </w:r>
          </w:p>
        </w:tc>
        <w:tc>
          <w:tcPr>
            <w:tcW w:w="2410" w:type="dxa"/>
            <w:tcBorders>
              <w:top w:val="single" w:color="000000" w:sz="4" w:space="0"/>
              <w:left w:val="nil"/>
              <w:bottom w:val="single" w:color="000000" w:sz="4" w:space="0"/>
              <w:right w:val="nil"/>
            </w:tcBorders>
            <w:shd w:val="clear" w:color="auto" w:fill="auto"/>
          </w:tcPr>
          <w:p>
            <w:pPr>
              <w:widowControl/>
              <w:jc w:val="center"/>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p</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Age</w:t>
            </w:r>
          </w:p>
        </w:tc>
        <w:tc>
          <w:tcPr>
            <w:tcW w:w="2410" w:type="dxa"/>
            <w:tcBorders>
              <w:top w:val="nil"/>
              <w:left w:val="nil"/>
              <w:bottom w:val="nil"/>
              <w:right w:val="nil"/>
            </w:tcBorders>
            <w:shd w:val="clear" w:color="auto" w:fill="auto"/>
            <w:noWrap/>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＜0.001</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Gender </w:t>
            </w:r>
          </w:p>
        </w:tc>
        <w:tc>
          <w:tcPr>
            <w:tcW w:w="2410" w:type="dxa"/>
            <w:tcBorders>
              <w:top w:val="nil"/>
              <w:left w:val="nil"/>
              <w:bottom w:val="nil"/>
              <w:right w:val="nil"/>
            </w:tcBorders>
            <w:shd w:val="clear" w:color="auto" w:fill="auto"/>
            <w:noWrap/>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0.244</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Location  </w:t>
            </w:r>
          </w:p>
        </w:tc>
        <w:tc>
          <w:tcPr>
            <w:tcW w:w="2410" w:type="dxa"/>
            <w:tcBorders>
              <w:top w:val="nil"/>
              <w:left w:val="nil"/>
              <w:bottom w:val="nil"/>
              <w:right w:val="nil"/>
            </w:tcBorders>
            <w:shd w:val="clear" w:color="auto" w:fill="auto"/>
            <w:noWrap/>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0.989</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Shape  </w:t>
            </w:r>
          </w:p>
        </w:tc>
        <w:tc>
          <w:tcPr>
            <w:tcW w:w="2410" w:type="dxa"/>
            <w:tcBorders>
              <w:top w:val="nil"/>
              <w:left w:val="nil"/>
              <w:bottom w:val="nil"/>
              <w:right w:val="nil"/>
            </w:tcBorders>
            <w:shd w:val="clear" w:color="auto" w:fill="auto"/>
            <w:noWrap/>
          </w:tcPr>
          <w:p>
            <w:pPr>
              <w:widowControl/>
              <w:jc w:val="center"/>
              <w:rPr>
                <w:rFonts w:ascii="宋体" w:hAnsi="宋体" w:eastAsia="宋体" w:cs="宋体"/>
                <w:color w:val="000000"/>
                <w:kern w:val="0"/>
                <w:sz w:val="20"/>
                <w:szCs w:val="20"/>
              </w:rPr>
            </w:pPr>
            <w:r>
              <w:rPr>
                <w:rFonts w:ascii="Times New Roman" w:hAnsi="Times New Roman" w:eastAsia="宋体" w:cs="Times New Roman"/>
                <w:color w:val="000000"/>
                <w:kern w:val="0"/>
                <w:sz w:val="20"/>
                <w:szCs w:val="20"/>
              </w:rPr>
              <w:t>0.567</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Marge  </w:t>
            </w:r>
          </w:p>
        </w:tc>
        <w:tc>
          <w:tcPr>
            <w:tcW w:w="2410" w:type="dxa"/>
            <w:tcBorders>
              <w:top w:val="nil"/>
              <w:left w:val="nil"/>
              <w:bottom w:val="nil"/>
              <w:right w:val="nil"/>
            </w:tcBorders>
            <w:shd w:val="clear" w:color="auto" w:fill="auto"/>
            <w:noWrap/>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0.312</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Signal intensity  </w:t>
            </w:r>
          </w:p>
        </w:tc>
        <w:tc>
          <w:tcPr>
            <w:tcW w:w="2410" w:type="dxa"/>
            <w:tcBorders>
              <w:top w:val="nil"/>
              <w:left w:val="nil"/>
              <w:bottom w:val="nil"/>
              <w:right w:val="nil"/>
            </w:tcBorders>
            <w:shd w:val="clear" w:color="auto" w:fill="auto"/>
            <w:noWrap/>
          </w:tcPr>
          <w:p>
            <w:pPr>
              <w:widowControl/>
              <w:jc w:val="center"/>
              <w:rPr>
                <w:rFonts w:ascii="Times New Roman" w:hAnsi="Times New Roman" w:eastAsia="宋体" w:cs="Times New Roman"/>
                <w:color w:val="000000"/>
                <w:kern w:val="0"/>
                <w:sz w:val="20"/>
                <w:szCs w:val="20"/>
              </w:rPr>
            </w:pP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T1WI </w:t>
            </w:r>
          </w:p>
        </w:tc>
        <w:tc>
          <w:tcPr>
            <w:tcW w:w="2410" w:type="dxa"/>
            <w:tcBorders>
              <w:top w:val="nil"/>
              <w:left w:val="nil"/>
              <w:bottom w:val="nil"/>
              <w:right w:val="nil"/>
            </w:tcBorders>
            <w:shd w:val="clear" w:color="auto" w:fill="auto"/>
            <w:noWrap/>
            <w:vAlign w:val="center"/>
          </w:tcPr>
          <w:p>
            <w:pPr>
              <w:widowControl/>
              <w:jc w:val="center"/>
              <w:rPr>
                <w:rFonts w:ascii="Times New Roman" w:hAnsi="Times New Roman" w:eastAsia="宋体" w:cs="Times New Roman"/>
                <w:color w:val="000000"/>
                <w:kern w:val="0"/>
                <w:sz w:val="20"/>
                <w:szCs w:val="20"/>
              </w:rPr>
            </w:pPr>
            <w:r>
              <w:rPr>
                <w:rFonts w:hint="eastAsia" w:ascii="宋体" w:hAnsi="宋体" w:eastAsia="宋体" w:cs="宋体"/>
                <w:color w:val="000000"/>
                <w:kern w:val="0"/>
                <w:sz w:val="22"/>
              </w:rPr>
              <w:t>0.612</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T2WI </w:t>
            </w:r>
          </w:p>
        </w:tc>
        <w:tc>
          <w:tcPr>
            <w:tcW w:w="2410" w:type="dxa"/>
            <w:tcBorders>
              <w:top w:val="nil"/>
              <w:left w:val="nil"/>
              <w:bottom w:val="nil"/>
              <w:right w:val="nil"/>
            </w:tcBorders>
            <w:shd w:val="clear" w:color="auto" w:fill="auto"/>
            <w:noWrap/>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0.906</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Height</w:t>
            </w:r>
          </w:p>
        </w:tc>
        <w:tc>
          <w:tcPr>
            <w:tcW w:w="2410" w:type="dxa"/>
            <w:tcBorders>
              <w:top w:val="nil"/>
              <w:left w:val="nil"/>
              <w:bottom w:val="nil"/>
              <w:right w:val="nil"/>
            </w:tcBorders>
            <w:shd w:val="clear" w:color="auto" w:fill="auto"/>
            <w:noWrap/>
          </w:tcPr>
          <w:p>
            <w:pPr>
              <w:widowControl/>
              <w:jc w:val="center"/>
              <w:rPr>
                <w:rFonts w:ascii="宋体" w:hAnsi="宋体" w:eastAsia="宋体" w:cs="宋体"/>
                <w:color w:val="000000"/>
                <w:kern w:val="0"/>
                <w:sz w:val="22"/>
              </w:rPr>
            </w:pPr>
            <w:r>
              <w:rPr>
                <w:rFonts w:ascii="Times New Roman" w:hAnsi="Times New Roman" w:eastAsia="宋体" w:cs="Times New Roman"/>
                <w:color w:val="000000"/>
                <w:kern w:val="0"/>
                <w:sz w:val="20"/>
                <w:szCs w:val="20"/>
              </w:rPr>
              <w:t>0.033</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Basal diameter</w:t>
            </w:r>
          </w:p>
        </w:tc>
        <w:tc>
          <w:tcPr>
            <w:tcW w:w="2410" w:type="dxa"/>
            <w:tcBorders>
              <w:top w:val="nil"/>
              <w:left w:val="nil"/>
              <w:bottom w:val="nil"/>
              <w:right w:val="nil"/>
            </w:tcBorders>
            <w:shd w:val="clear" w:color="auto" w:fill="auto"/>
            <w:noWrap/>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0.027</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vAlign w:val="bottom"/>
          </w:tcPr>
          <w:p>
            <w:pPr>
              <w:widowControl/>
              <w:jc w:val="left"/>
              <w:rPr>
                <w:rFonts w:hint="default" w:ascii="Times New Roman" w:hAnsi="Times New Roman" w:eastAsia="宋体" w:cs="Times New Roman"/>
                <w:b/>
                <w:bCs/>
                <w:color w:val="000000"/>
                <w:kern w:val="0"/>
                <w:sz w:val="20"/>
                <w:szCs w:val="20"/>
                <w:lang w:val="en-US" w:eastAsia="zh-CN"/>
              </w:rPr>
            </w:pPr>
            <w:r>
              <w:rPr>
                <w:rFonts w:hint="eastAsia" w:ascii="Times New Roman" w:hAnsi="Times New Roman" w:eastAsia="宋体" w:cs="Times New Roman"/>
                <w:b/>
                <w:bCs/>
                <w:color w:val="000000"/>
                <w:kern w:val="0"/>
                <w:sz w:val="20"/>
                <w:szCs w:val="20"/>
                <w:lang w:val="en-US" w:eastAsia="zh-CN"/>
              </w:rPr>
              <w:t>T stage</w:t>
            </w:r>
          </w:p>
        </w:tc>
        <w:tc>
          <w:tcPr>
            <w:tcW w:w="2410" w:type="dxa"/>
            <w:tcBorders>
              <w:top w:val="nil"/>
              <w:left w:val="nil"/>
              <w:bottom w:val="nil"/>
              <w:right w:val="nil"/>
            </w:tcBorders>
            <w:shd w:val="clear" w:color="auto" w:fill="auto"/>
            <w:noWrap/>
          </w:tcPr>
          <w:p>
            <w:pPr>
              <w:widowControl/>
              <w:jc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0.303</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Degree of enhancement </w:t>
            </w:r>
          </w:p>
        </w:tc>
        <w:tc>
          <w:tcPr>
            <w:tcW w:w="2410" w:type="dxa"/>
            <w:tcBorders>
              <w:top w:val="nil"/>
              <w:left w:val="nil"/>
              <w:bottom w:val="nil"/>
              <w:right w:val="nil"/>
            </w:tcBorders>
            <w:shd w:val="clear" w:color="auto" w:fill="auto"/>
            <w:noWrap/>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0.313</w:t>
            </w:r>
          </w:p>
        </w:tc>
      </w:tr>
      <w:tr>
        <w:tblPrEx>
          <w:tblCellMar>
            <w:top w:w="0" w:type="dxa"/>
            <w:left w:w="108" w:type="dxa"/>
            <w:bottom w:w="0" w:type="dxa"/>
            <w:right w:w="108" w:type="dxa"/>
          </w:tblCellMar>
        </w:tblPrEx>
        <w:trPr>
          <w:trHeight w:val="358" w:hRule="atLeast"/>
        </w:trPr>
        <w:tc>
          <w:tcPr>
            <w:tcW w:w="4536" w:type="dxa"/>
            <w:tcBorders>
              <w:top w:val="nil"/>
              <w:left w:val="nil"/>
              <w:bottom w:val="nil"/>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Homogeneity of enhancement  </w:t>
            </w:r>
          </w:p>
        </w:tc>
        <w:tc>
          <w:tcPr>
            <w:tcW w:w="2410" w:type="dxa"/>
            <w:tcBorders>
              <w:top w:val="nil"/>
              <w:left w:val="nil"/>
              <w:bottom w:val="nil"/>
              <w:right w:val="nil"/>
            </w:tcBorders>
            <w:shd w:val="clear" w:color="auto" w:fill="auto"/>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0.069</w:t>
            </w:r>
          </w:p>
        </w:tc>
      </w:tr>
      <w:tr>
        <w:tblPrEx>
          <w:tblCellMar>
            <w:top w:w="0" w:type="dxa"/>
            <w:left w:w="108" w:type="dxa"/>
            <w:bottom w:w="0" w:type="dxa"/>
            <w:right w:w="108" w:type="dxa"/>
          </w:tblCellMar>
        </w:tblPrEx>
        <w:trPr>
          <w:trHeight w:val="358" w:hRule="atLeast"/>
        </w:trPr>
        <w:tc>
          <w:tcPr>
            <w:tcW w:w="4536" w:type="dxa"/>
            <w:tcBorders>
              <w:top w:val="nil"/>
              <w:left w:val="nil"/>
              <w:bottom w:val="single" w:color="000000" w:sz="4" w:space="0"/>
              <w:right w:val="nil"/>
            </w:tcBorders>
            <w:shd w:val="clear" w:color="auto" w:fill="auto"/>
            <w:noWrap/>
            <w:vAlign w:val="bottom"/>
          </w:tcPr>
          <w:p>
            <w:pPr>
              <w:widowControl/>
              <w:jc w:val="left"/>
              <w:rPr>
                <w:rFonts w:ascii="Times New Roman" w:hAnsi="Times New Roman" w:eastAsia="宋体" w:cs="Times New Roman"/>
                <w:b/>
                <w:bCs/>
                <w:color w:val="000000"/>
                <w:kern w:val="0"/>
                <w:sz w:val="20"/>
                <w:szCs w:val="20"/>
              </w:rPr>
            </w:pPr>
            <w:r>
              <w:rPr>
                <w:rFonts w:ascii="Times New Roman" w:hAnsi="Times New Roman" w:eastAsia="宋体" w:cs="Times New Roman"/>
                <w:b/>
                <w:bCs/>
                <w:color w:val="000000"/>
                <w:kern w:val="0"/>
                <w:sz w:val="20"/>
                <w:szCs w:val="20"/>
              </w:rPr>
              <w:t xml:space="preserve">Retinal detachment  </w:t>
            </w:r>
          </w:p>
        </w:tc>
        <w:tc>
          <w:tcPr>
            <w:tcW w:w="2410" w:type="dxa"/>
            <w:tcBorders>
              <w:top w:val="nil"/>
              <w:left w:val="nil"/>
              <w:bottom w:val="single" w:color="000000" w:sz="4" w:space="0"/>
              <w:right w:val="nil"/>
            </w:tcBorders>
            <w:shd w:val="clear" w:color="auto" w:fill="auto"/>
            <w:noWrap/>
            <w:vAlign w:val="bottom"/>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0.011</w:t>
            </w:r>
          </w:p>
        </w:tc>
      </w:tr>
    </w:tbl>
    <w:p>
      <w:pPr>
        <w:rPr>
          <w:rFonts w:ascii="Times New Roman" w:hAnsi="Times New Roman" w:cs="Times New Roman"/>
          <w:color w:val="FF0000"/>
          <w:sz w:val="20"/>
          <w:szCs w:val="20"/>
        </w:rPr>
      </w:pPr>
    </w:p>
    <w:p>
      <w:pPr>
        <w:rPr>
          <w:rFonts w:ascii="Times New Roman" w:hAnsi="Times New Roman" w:cs="Times New Roman"/>
          <w:color w:val="FF0000"/>
          <w:sz w:val="20"/>
          <w:szCs w:val="20"/>
        </w:rPr>
      </w:pPr>
    </w:p>
    <w:p/>
    <w:p/>
    <w:p/>
    <w:p>
      <w:pPr>
        <w:rPr>
          <w:rFonts w:ascii="Times New Roman" w:hAnsi="Times New Roman" w:eastAsia="等线 Light"/>
          <w:sz w:val="20"/>
          <w:szCs w:val="20"/>
        </w:rPr>
      </w:pPr>
    </w:p>
    <w:p/>
    <w:p/>
    <w:p/>
    <w:p/>
    <w:p/>
    <w:p/>
    <w:p/>
    <w:p/>
    <w:p/>
    <w:p>
      <w:pPr>
        <w:jc w:val="center"/>
        <w:rPr>
          <w:rFonts w:ascii="Times New Roman" w:hAnsi="Times New Roman" w:eastAsia="宋体"/>
          <w:b/>
          <w:sz w:val="32"/>
        </w:rPr>
      </w:pPr>
    </w:p>
    <w:p>
      <w:pPr>
        <w:jc w:val="center"/>
        <w:rPr>
          <w:rFonts w:ascii="Times New Roman" w:hAnsi="Times New Roman" w:eastAsia="宋体"/>
          <w:b/>
          <w:sz w:val="32"/>
        </w:rPr>
      </w:pPr>
    </w:p>
    <w:p>
      <w:pPr>
        <w:jc w:val="center"/>
        <w:rPr>
          <w:rFonts w:ascii="Times New Roman" w:hAnsi="Times New Roman" w:eastAsia="宋体"/>
          <w:b/>
          <w:sz w:val="32"/>
        </w:rPr>
      </w:pPr>
    </w:p>
    <w:p>
      <w:pPr>
        <w:jc w:val="center"/>
      </w:pPr>
      <w:r>
        <w:rPr>
          <w:rFonts w:ascii="Times New Roman" w:hAnsi="Times New Roman" w:eastAsia="宋体"/>
          <w:b/>
          <w:sz w:val="32"/>
        </w:rPr>
        <w:t>References</w:t>
      </w:r>
    </w:p>
    <w:p>
      <w:pPr>
        <w:rPr>
          <w:rFonts w:ascii="宋体" w:hAnsi="宋体"/>
        </w:rPr>
      </w:pPr>
    </w:p>
    <w:p>
      <w:pPr>
        <w:rPr>
          <w:rFonts w:ascii="宋体" w:hAnsi="宋体"/>
        </w:rPr>
      </w:pPr>
    </w:p>
    <w:p>
      <w:pPr>
        <w:keepNext w:val="0"/>
        <w:keepLines w:val="0"/>
        <w:pageBreakBefore w:val="0"/>
        <w:widowControl w:val="0"/>
        <w:kinsoku/>
        <w:wordWrap/>
        <w:overflowPunct/>
        <w:topLinePunct w:val="0"/>
        <w:autoSpaceDE/>
        <w:autoSpaceDN/>
        <w:bidi w:val="0"/>
        <w:adjustRightInd/>
        <w:snapToGrid/>
        <w:spacing w:line="480" w:lineRule="auto"/>
        <w:ind w:left="540" w:hanging="540" w:hangingChars="300"/>
        <w:textAlignment w:val="auto"/>
      </w:pPr>
      <w:r>
        <w:rPr>
          <w:rFonts w:ascii="Times New Roman" w:hAnsi="Times New Roman" w:eastAsia="宋体"/>
          <w:sz w:val="18"/>
        </w:rPr>
        <w:t>1.</w:t>
      </w:r>
      <w:r>
        <w:rPr>
          <w:rFonts w:ascii="Times New Roman" w:hAnsi="Times New Roman" w:eastAsia="宋体"/>
          <w:sz w:val="18"/>
        </w:rPr>
        <w:tab/>
      </w:r>
      <w:r>
        <w:rPr>
          <w:rFonts w:ascii="Times New Roman" w:hAnsi="Times New Roman" w:eastAsia="宋体"/>
          <w:sz w:val="18"/>
        </w:rPr>
        <w:t xml:space="preserve">Zhang B, Tian J, Dong D, et al. Radiomics Features of Multiparametric MRI as Novel Prognostic Factors in Advanced Nasopharyngeal Carcinoma. Clin Cancer Res 2017;23:4259-4269. </w:t>
      </w:r>
    </w:p>
    <w:p>
      <w:pPr>
        <w:keepNext w:val="0"/>
        <w:keepLines w:val="0"/>
        <w:pageBreakBefore w:val="0"/>
        <w:widowControl w:val="0"/>
        <w:kinsoku/>
        <w:wordWrap/>
        <w:overflowPunct/>
        <w:topLinePunct w:val="0"/>
        <w:autoSpaceDE/>
        <w:autoSpaceDN/>
        <w:bidi w:val="0"/>
        <w:adjustRightInd/>
        <w:snapToGrid/>
        <w:spacing w:line="480" w:lineRule="auto"/>
        <w:ind w:left="540" w:hanging="540" w:hangingChars="300"/>
        <w:textAlignment w:val="auto"/>
      </w:pPr>
      <w:r>
        <w:rPr>
          <w:rFonts w:ascii="Times New Roman" w:hAnsi="Times New Roman" w:eastAsia="宋体"/>
          <w:sz w:val="18"/>
        </w:rPr>
        <w:t>2.</w:t>
      </w:r>
      <w:r>
        <w:rPr>
          <w:rFonts w:ascii="Times New Roman" w:hAnsi="Times New Roman" w:eastAsia="宋体"/>
          <w:sz w:val="18"/>
        </w:rPr>
        <w:tab/>
      </w:r>
      <w:r>
        <w:rPr>
          <w:rFonts w:ascii="Times New Roman" w:hAnsi="Times New Roman" w:eastAsia="宋体"/>
          <w:sz w:val="18"/>
        </w:rPr>
        <w:t xml:space="preserve">Parmar C, Grossmann P, Rietveld D, et al. Radiomic Machine-Learning Classifiers for Prognostic Biomarkers of Head and Neck Cancer. Front Oncol 2015;5:272. </w:t>
      </w:r>
    </w:p>
    <w:p>
      <w:pPr>
        <w:keepNext w:val="0"/>
        <w:keepLines w:val="0"/>
        <w:pageBreakBefore w:val="0"/>
        <w:widowControl w:val="0"/>
        <w:kinsoku/>
        <w:wordWrap/>
        <w:overflowPunct/>
        <w:topLinePunct w:val="0"/>
        <w:autoSpaceDE/>
        <w:autoSpaceDN/>
        <w:bidi w:val="0"/>
        <w:adjustRightInd/>
        <w:snapToGrid/>
        <w:spacing w:line="480" w:lineRule="auto"/>
        <w:textAlignment w:val="auto"/>
      </w:pPr>
    </w:p>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MR.DATA{6E91AE14-58A0-4069-B63D-AAFD033CC094}2" w:val="&lt;KyMRNote dbid=&quot;{6E91AE14-58A0-4069-B63D-AAFD033CC094}&quot; recid=&quot;2&quot;&gt;&lt;Data&gt;&lt;Field id=&quot;AccessNum&quot;&gt;26697407&lt;/Field&gt;&lt;Field id=&quot;Author&quot;&gt;Parmar C;Grossmann P;Rietveld D;Rietbergen MM;Lambin P;Aerts HJ&lt;/Field&gt;&lt;Field id=&quot;AuthorTrans&quot;&gt;&lt;/Field&gt;&lt;Field id=&quot;DOI&quot;&gt;10.3389/fonc.2015.00272&lt;/Field&gt;&lt;Field id=&quot;Editor&quot;&gt;&lt;/Field&gt;&lt;Field id=&quot;FmtTitle&quot;&gt;&lt;/Field&gt;&lt;Field id=&quot;Issue&quot;&gt;&lt;/Field&gt;&lt;Field id=&quot;LIID&quot;&gt;2&lt;/Field&gt;&lt;Field id=&quot;Magazine&quot;&gt;Frontiers in oncology&lt;/Field&gt;&lt;Field id=&quot;MagazineAB&quot;&gt;Front Oncol&lt;/Field&gt;&lt;Field id=&quot;MagazineTrans&quot;&gt;&lt;/Field&gt;&lt;Field id=&quot;PageNum&quot;&gt;272&lt;/Field&gt;&lt;Field id=&quot;PubDate&quot;&gt;&lt;/Field&gt;&lt;Field id=&quot;PubPlace&quot;&gt;Switzerland&lt;/Field&gt;&lt;Field id=&quot;PubPlaceTrans&quot;&gt;&lt;/Field&gt;&lt;Field id=&quot;PubYear&quot;&gt;2015&lt;/Field&gt;&lt;Field id=&quot;Publisher&quot;&gt;&lt;/Field&gt;&lt;Field id=&quot;PublisherTrans&quot;&gt;&lt;/Field&gt;&lt;Field id=&quot;TITrans&quot;&gt;&lt;/Field&gt;&lt;Field id=&quot;Title&quot;&gt;Radiomic Machine-Learning Classifiers for Prognostic Biomarkers of Head and Neck Cancer.&lt;/Field&gt;&lt;Field id=&quot;Translator&quot;&gt;&lt;/Field&gt;&lt;Field id=&quot;Type&quot;&gt;{041D4F77-279E-4405-0002-4388361B9CFF}&lt;/Field&gt;&lt;Field id=&quot;Version&quot;&gt;&lt;/Field&gt;&lt;Field id=&quot;Vol&quot;&gt;5&lt;/Field&gt;&lt;Field id=&quot;Author2&quot;&gt;Parmar,C;Grossmann,P;Rietveld,D;Rietbergen,MM;Lambin,P;Aerts,HJ;&lt;/Field&gt;&lt;/Data&gt;&lt;Ref&gt;&lt;Display&gt;&lt;Text StringText=&quot;「RefIndex」&quot; StringTextOri=&quot;「RefIndex」&quot;/&gt;&lt;/Display&gt;&lt;/Ref&gt;&lt;Doc&gt;&lt;Display&gt;&lt;Text StringText=&quot;Parmar C, Grossmann P, Rietveld D, Rietbergen MM, Lambin P, Aerts HJ&quot; StringGroup=&quot;Author&quot;/&gt;_x000d__x000a__x0009__x0009__x0009_&lt;Text StringText=&quot;. &quot; StringGroup=&quot;Author&quot;/&gt;_x000d__x000a__x0009__x0009__x0009_&lt;Text StringText=&quot;Radiomic Machine-Learning Classifiers for Prognostic Biomarkers of Head and Neck Cancer&quot; StringGroup=&quot;Title&quot;/&gt;_x000d__x000a__x0009__x0009__x0009_&lt;Text StringText=&quot;. &quot; StringGroup=&quot;Title&quot;/&gt;_x000d__x000a__x0009__x0009__x0009_&lt;Text StringText=&quot;Front Oncol&quot; StringGroup=&quot;Magazine&quot;/&gt;_x000d__x000a__x0009__x0009__x0009_&lt;Text StringText=&quot;. &quot; StringGroup=&quot;Magazine&quot;/&gt;_x000d__x000a__x0009__x0009__x0009_&lt;Text StringText=&quot;2015&quot; StringGroup=&quot;PubYear&quot;/&gt;_x000d__x000a__x0009__x0009__x0009_&lt;Text StringText=&quot;; &quot; StringGroup=&quot;PubYear&quot;/&gt;_x000d__x000a__x0009__x0009__x0009_&lt;Text StringText=&quot;5&quot; StringGroup=&quot;Vol&quot;/&gt;_x000d__x000a__x0009__x0009__x0009_&lt;Text StringText=&quot;: &quot; StringGroup=&quot;Vol&quot;/&gt;_x000d__x000a__x0009__x0009__x0009_&lt;Text StringText=&quot;272&quot; StringGroup=&quot;PageNum&quot;/&gt;_x000d__x000a__x0009__x0009__x0009_&lt;Text StringText=&quot;. &quot; StringGroup=&quot;PageNum&quot;/&gt;_x000d__x000a__x0009__x0009_&lt;/Display&gt;&lt;/Doc&gt;&lt;/KyMRNote&gt;"/>
    <w:docVar w:name="KY.MR.DATA{6E91AE14-58A0-4069-B63D-AAFD033CC094}216" w:val="&lt;KyMRNote dbid=&quot;{6E91AE14-58A0-4069-B63D-AAFD033CC094}&quot; recid=&quot;216&quot;&gt;&lt;Data&gt;&lt;Field id=&quot;AccessNum&quot;&gt;28280088&lt;/Field&gt;&lt;Field id=&quot;Author&quot;&gt;Zhang B;Tian J;Dong D;Gu D;Dong Y;Zhang L;Lian Z;Liu J;Luo X;Pei S;Mo X;Huang W;Ouyang F;Guo B;Liang L;Chen W;Liang C;Zhang S&lt;/Field&gt;&lt;Field id=&quot;AuthorTrans&quot;&gt;&lt;/Field&gt;&lt;Field id=&quot;DOI&quot;&gt;10.1158/1078-0432.CCR-16-2910&lt;/Field&gt;&lt;Field id=&quot;Editor&quot;&gt;&lt;/Field&gt;&lt;Field id=&quot;FmtTitle&quot;&gt;&lt;/Field&gt;&lt;Field id=&quot;Issue&quot;&gt;15&lt;/Field&gt;&lt;Field id=&quot;LIID&quot;&gt;216&lt;/Field&gt;&lt;Field id=&quot;Magazine&quot;&gt;Clinical cancer research : an official journal of the American Association for Cancer Research&lt;/Field&gt;&lt;Field id=&quot;MagazineAB&quot;&gt;Clin Cancer Res&lt;/Field&gt;&lt;Field id=&quot;MagazineTrans&quot;&gt;&lt;/Field&gt;&lt;Field id=&quot;PageNum&quot;&gt;4259-4269&lt;/Field&gt;&lt;Field id=&quot;PubDate&quot;&gt;Aug 01&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adiomics Features of Multiparametric MRI as Novel Prognostic Factors in Advanced Nasopharyngeal Carcinoma.&lt;/Field&gt;&lt;Field id=&quot;Translator&quot;&gt;&lt;/Field&gt;&lt;Field id=&quot;Type&quot;&gt;{041D4F77-279E-4405-0002-4388361B9CFF}&lt;/Field&gt;&lt;Field id=&quot;Version&quot;&gt;&lt;/Field&gt;&lt;Field id=&quot;Vol&quot;&gt;23&lt;/Field&gt;&lt;Field id=&quot;Author2&quot;&gt;Zhang,B;Tian,J;Dong,D;Gu,D;Dong,Y;Zhang,L;&lt;/Field&gt;&lt;/Data&gt;&lt;Ref&gt;&lt;Display&gt;&lt;Text StringText=&quot;「RefIndex」&quot; StringTextOri=&quot;「RefIndex」&quot;/&gt;&lt;/Display&gt;&lt;/Ref&gt;&lt;Doc&gt;&lt;Display&gt;&lt;Text StringText=&quot;Zhang B, Tian J, Dong D, Gu D, Dong Y, Zhang L, et al.&quot; StringGroup=&quot;Author&quot;/&gt;_x000d__x000a__x0009__x0009__x0009_&lt;Text StringText=&quot; &quot; StringGroup=&quot;Author&quot;/&gt;_x000d__x000a__x0009__x0009__x0009_&lt;Text StringText=&quot;Radiomics Features of Multiparametric MRI as Novel Prognostic Factors in Advanced Nasopharyngeal Carcinoma&quot; StringGroup=&quot;Title&quot;/&gt;_x000d__x000a__x0009__x0009__x0009_&lt;Text StringText=&quot;. &quot; StringGroup=&quot;Title&quot;/&gt;_x000d__x000a__x0009__x0009__x0009_&lt;Text StringText=&quot;Clin Cancer Res&quot; StringGroup=&quot;Magazine&quot;/&gt;_x000d__x000a__x0009__x0009__x0009_&lt;Text StringText=&quot;. &quot; StringGroup=&quot;Magazine&quot;/&gt;_x000d__x000a__x0009__x0009__x0009_&lt;Text StringText=&quot;2017&quot; StringGroup=&quot;PubYear&quot;/&gt;_x000d__x000a__x0009__x0009__x0009_&lt;Text StringText=&quot;; &quot; StringGroup=&quot;PubYear&quot;/&gt;_x000d__x000a__x0009__x0009__x0009_&lt;Text StringText=&quot;23&quot; StringGroup=&quot;Vol&quot;/&gt;_x000d__x000a__x0009__x0009__x0009_&lt;Text StringText=&quot;: &quot; StringGroup=&quot;Vol&quot;/&gt;_x000d__x000a__x0009__x0009__x0009_&lt;Text StringText=&quot;4259-69&quot; StringGroup=&quot;PageNum&quot;/&gt;_x000d__x000a__x0009__x0009__x0009_&lt;Text StringText=&quot;. &quot; StringGroup=&quot;PageNum&quot;/&gt;_x000d__x000a__x0009__x0009_&lt;/Display&gt;&lt;/Doc&gt;&lt;/KyMRNote&gt;"/>
    <w:docVar w:name="KY.MR.DATA{6E91AE14-58A0-4069-B63D-AAFD033CC094}354" w:val="&lt;KyMRNote dbid=&quot;{6E91AE14-58A0-4069-B63D-AAFD033CC094}&quot; recid=&quot;354&quot;&gt;&lt;Data&gt;&lt;Field id=&quot;AccessNum&quot;&gt;28280088&lt;/Field&gt;&lt;Field id=&quot;Author&quot;&gt;Zhang B;Tian J;Dong D;Gu D;Dong Y;Zhang L;Lian Z;Liu J;Luo X;Pei S;Mo X;Huang W;Ouyang F;Guo B;Liang L;Chen W;Liang C;Zhang S&lt;/Field&gt;&lt;Field id=&quot;AuthorTrans&quot;&gt;&lt;/Field&gt;&lt;Field id=&quot;DOI&quot;&gt;10.1158/1078-0432.CCR-16-2910&lt;/Field&gt;&lt;Field id=&quot;Editor&quot;&gt;&lt;/Field&gt;&lt;Field id=&quot;FmtTitle&quot;&gt;&lt;/Field&gt;&lt;Field id=&quot;Issue&quot;&gt;15&lt;/Field&gt;&lt;Field id=&quot;LIID&quot;&gt;354&lt;/Field&gt;&lt;Field id=&quot;Magazine&quot;&gt;Clinical cancer research : an official journal of the American Association for Cancer Research&lt;/Field&gt;&lt;Field id=&quot;MagazineAB&quot;&gt;Clin Cancer Res&lt;/Field&gt;&lt;Field id=&quot;MagazineTrans&quot;&gt;&lt;/Field&gt;&lt;Field id=&quot;PageNum&quot;&gt;4259-4269&lt;/Field&gt;&lt;Field id=&quot;PubDate&quot;&gt;Aug 01&lt;/Field&gt;&lt;Field id=&quot;PubPlace&quot;&gt;United States&lt;/Field&gt;&lt;Field id=&quot;PubPlaceTrans&quot;&gt;&lt;/Field&gt;&lt;Field id=&quot;PubYear&quot;&gt;2017&lt;/Field&gt;&lt;Field id=&quot;Publisher&quot;&gt;&lt;/Field&gt;&lt;Field id=&quot;PublisherTrans&quot;&gt;&lt;/Field&gt;&lt;Field id=&quot;TITrans&quot;&gt;&lt;/Field&gt;&lt;Field id=&quot;Title&quot;&gt;Radiomics Features of Multiparametric MRI as Novel Prognostic Factors in Advanced Nasopharyngeal Carcinoma.&lt;/Field&gt;&lt;Field id=&quot;Translator&quot;&gt;&lt;/Field&gt;&lt;Field id=&quot;Type&quot;&gt;{041D4F77-279E-4405-0002-4388361B9CFF}&lt;/Field&gt;&lt;Field id=&quot;Version&quot;&gt;&lt;/Field&gt;&lt;Field id=&quot;Vol&quot;&gt;23&lt;/Field&gt;&lt;Field id=&quot;Author2&quot;&gt;Zhang,B;Tian,J;Dong,D;&lt;/Field&gt;&lt;/Data&gt;&lt;Ref&gt;&lt;Display&gt;&lt;Text StringText=&quot;「RefIndex」&quot; StringTextOri=&quot;「RefIndex」&quot; SuperScript=&quot;true&quot;/&gt;&lt;/Display&gt;&lt;/Ref&gt;&lt;Doc&gt;&lt;Display&gt;&lt;Text StringText=&quot;Zhang B, Tian J, Dong D, et al.&quot; StringGroup=&quot;Author&quot;/&gt;&lt;Text StringText=&quot; &quot; StringGroup=&quot;Author&quot;/&gt;&lt;Text StringText=&quot;Radiomics Features of Multiparametric MRI as Novel Prognostic Factors in Advanced Nasopharyngeal Carcinoma&quot; StringGroup=&quot;Title&quot;/&gt;&lt;Text StringText=&quot;. &quot; StringGroup=&quot;Title&quot;/&gt;&lt;Text StringText=&quot;Clin Cancer Res&quot; StringGroup=&quot;Magazine&quot;/&gt;&lt;Text StringText=&quot; &quot; StringGroup=&quot;Magazine&quot;/&gt;&lt;Text StringText=&quot;2017&quot; StringGroup=&quot;PubYear&quot;/&gt;&lt;Text StringText=&quot;;&quot; StringGroup=&quot;PubYear&quot;/&gt;&lt;Text StringText=&quot;23&quot; StringGroup=&quot;Vol&quot;/&gt;&lt;Text StringText=&quot;:&quot; StringGroup=&quot;Vol&quot;/&gt;&lt;Text StringText=&quot;4259-4269&quot; StringGroup=&quot;PageNum&quot;/&gt;&lt;Text StringText=&quot;.&quot; StringGroup=&quot;none&quot;/&gt;&lt;/Display&gt;&lt;/Doc&gt;&lt;/KyMRNote&gt;"/>
    <w:docVar w:name="KY_MEDREF_CITTEMPLATE" w:val="{5EABEFBC-C9E1-454A-B04B-276DA969AFCF}"/>
    <w:docVar w:name="KY_MEDREF_DOCUID" w:val="{5AACDBFA-DDCA-408C-A4DC-F6A57613C342}"/>
    <w:docVar w:name="KY_MEDREF_VERSION" w:val="3"/>
  </w:docVars>
  <w:rsids>
    <w:rsidRoot w:val="002254C9"/>
    <w:rsid w:val="00000DB8"/>
    <w:rsid w:val="001333ED"/>
    <w:rsid w:val="00217D7A"/>
    <w:rsid w:val="002254C9"/>
    <w:rsid w:val="0030137A"/>
    <w:rsid w:val="003E409C"/>
    <w:rsid w:val="00410D0A"/>
    <w:rsid w:val="0048780D"/>
    <w:rsid w:val="00540304"/>
    <w:rsid w:val="005A42E7"/>
    <w:rsid w:val="005B7148"/>
    <w:rsid w:val="00611AE6"/>
    <w:rsid w:val="00684AF3"/>
    <w:rsid w:val="007B7626"/>
    <w:rsid w:val="00815579"/>
    <w:rsid w:val="0081707F"/>
    <w:rsid w:val="0082344D"/>
    <w:rsid w:val="008402FC"/>
    <w:rsid w:val="00884792"/>
    <w:rsid w:val="008B606E"/>
    <w:rsid w:val="0092446B"/>
    <w:rsid w:val="00A53045"/>
    <w:rsid w:val="00C627DB"/>
    <w:rsid w:val="00C719BD"/>
    <w:rsid w:val="00CB6384"/>
    <w:rsid w:val="00CC2A1D"/>
    <w:rsid w:val="00CC33A6"/>
    <w:rsid w:val="00CD47DF"/>
    <w:rsid w:val="00D233CD"/>
    <w:rsid w:val="00E021EC"/>
    <w:rsid w:val="00E05344"/>
    <w:rsid w:val="00E269A3"/>
    <w:rsid w:val="00F226D5"/>
    <w:rsid w:val="3FD912E6"/>
    <w:rsid w:val="4D7205F2"/>
    <w:rsid w:val="609F05B9"/>
    <w:rsid w:val="6FB528A6"/>
    <w:rsid w:val="7D34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qFormat/>
    <w:uiPriority w:val="99"/>
    <w:rPr>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1">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621</Words>
  <Characters>3541</Characters>
  <Lines>29</Lines>
  <Paragraphs>8</Paragraphs>
  <TotalTime>35</TotalTime>
  <ScaleCrop>false</ScaleCrop>
  <LinksUpToDate>false</LinksUpToDate>
  <CharactersWithSpaces>4154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2021-11-18T14:42:00Z</dcterms:created>
  <dc:creator>苏 亚萍</dc:creator>
  <cp:lastModifiedBy>海舟</cp:lastModifiedBy>
  <dcterms:modified xsi:type="dcterms:W3CDTF">2022-03-15T15:17:09Z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3998F1717D764ED09976741670FED0FD</vt:lpwstr>
  </property>
</Properties>
</file>