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118E59" w14:textId="77777777" w:rsidR="00184F94" w:rsidRPr="00EE727F" w:rsidRDefault="000031A8" w:rsidP="00184F94">
      <w:pPr>
        <w:pStyle w:val="NoSpacing"/>
        <w:jc w:val="center"/>
        <w:rPr>
          <w:rFonts w:ascii="Arial" w:hAnsi="Arial" w:cs="Arial"/>
          <w:b/>
          <w:bCs/>
        </w:rPr>
      </w:pPr>
      <w:bookmarkStart w:id="0" w:name="_Hlk59696667"/>
      <w:r w:rsidRPr="00EE727F">
        <w:rPr>
          <w:rFonts w:ascii="Arial" w:hAnsi="Arial" w:cs="Arial"/>
          <w:b/>
          <w:bCs/>
        </w:rPr>
        <w:t xml:space="preserve">Identification and Prognosis of Patients with </w:t>
      </w:r>
    </w:p>
    <w:p w14:paraId="48155EE8" w14:textId="27EA7184" w:rsidR="00337E75" w:rsidRPr="00EE727F" w:rsidRDefault="000031A8" w:rsidP="00184F94">
      <w:pPr>
        <w:pStyle w:val="NoSpacing"/>
        <w:jc w:val="center"/>
        <w:rPr>
          <w:rFonts w:ascii="Arial" w:hAnsi="Arial" w:cs="Arial"/>
          <w:b/>
          <w:bCs/>
        </w:rPr>
      </w:pPr>
      <w:r w:rsidRPr="00EE727F">
        <w:rPr>
          <w:rFonts w:ascii="Arial" w:hAnsi="Arial" w:cs="Arial"/>
          <w:b/>
          <w:bCs/>
        </w:rPr>
        <w:t>Interstitial Pneumonia with Autoimmune Features</w:t>
      </w:r>
      <w:r w:rsidR="00184F94" w:rsidRPr="00EE727F">
        <w:rPr>
          <w:rFonts w:ascii="Arial" w:hAnsi="Arial" w:cs="Arial"/>
          <w:b/>
          <w:bCs/>
        </w:rPr>
        <w:t xml:space="preserve"> - </w:t>
      </w:r>
      <w:r w:rsidR="00BF71EB" w:rsidRPr="00EE727F">
        <w:rPr>
          <w:rFonts w:ascii="Arial" w:hAnsi="Arial" w:cs="Arial"/>
          <w:b/>
          <w:bCs/>
          <w:u w:val="single"/>
        </w:rPr>
        <w:t>Supplementary Material</w:t>
      </w:r>
      <w:bookmarkStart w:id="1" w:name="_Hlk59696987"/>
      <w:bookmarkEnd w:id="0"/>
    </w:p>
    <w:bookmarkEnd w:id="1" w:displacedByCustomXml="next"/>
    <w:sdt>
      <w:sdtPr>
        <w:rPr>
          <w:rFonts w:ascii="Arial" w:eastAsia="Arial" w:hAnsi="Arial" w:cs="Arial"/>
          <w:color w:val="000000"/>
          <w:sz w:val="24"/>
          <w:szCs w:val="22"/>
        </w:rPr>
        <w:id w:val="-1974288461"/>
        <w:docPartObj>
          <w:docPartGallery w:val="Table of Contents"/>
          <w:docPartUnique/>
        </w:docPartObj>
      </w:sdtPr>
      <w:sdtEndPr>
        <w:rPr>
          <w:b/>
          <w:bCs/>
          <w:noProof/>
        </w:rPr>
      </w:sdtEndPr>
      <w:sdtContent>
        <w:p w14:paraId="2449583A" w14:textId="62BBF7F6" w:rsidR="00175466" w:rsidRPr="00EE727F" w:rsidRDefault="00175466">
          <w:pPr>
            <w:pStyle w:val="TOCHeading"/>
            <w:rPr>
              <w:rFonts w:ascii="Arial" w:hAnsi="Arial" w:cs="Arial"/>
              <w:b/>
              <w:bCs/>
              <w:color w:val="000000" w:themeColor="text1"/>
              <w:sz w:val="22"/>
              <w:szCs w:val="22"/>
            </w:rPr>
          </w:pPr>
          <w:r w:rsidRPr="00EE727F">
            <w:rPr>
              <w:rFonts w:ascii="Arial" w:hAnsi="Arial" w:cs="Arial"/>
              <w:b/>
              <w:bCs/>
              <w:color w:val="000000" w:themeColor="text1"/>
              <w:sz w:val="22"/>
              <w:szCs w:val="22"/>
            </w:rPr>
            <w:t>Table of Contents:</w:t>
          </w:r>
        </w:p>
        <w:p w14:paraId="60247E6B" w14:textId="77777777" w:rsidR="00175466" w:rsidRPr="00EE727F" w:rsidRDefault="00175466" w:rsidP="00E63958">
          <w:pPr>
            <w:spacing w:line="240" w:lineRule="auto"/>
            <w:rPr>
              <w:sz w:val="12"/>
              <w:szCs w:val="12"/>
            </w:rPr>
          </w:pPr>
        </w:p>
        <w:p w14:paraId="6DDFDEC3" w14:textId="2D6361C1" w:rsidR="00CF6CC8" w:rsidRPr="00EE727F" w:rsidRDefault="00175466" w:rsidP="00CF6CC8">
          <w:pPr>
            <w:pStyle w:val="TOC2"/>
            <w:rPr>
              <w:noProof/>
              <w:color w:val="0563C1" w:themeColor="hyperlink"/>
              <w:sz w:val="12"/>
              <w:szCs w:val="12"/>
              <w:u w:val="single"/>
            </w:rPr>
          </w:pPr>
          <w:r w:rsidRPr="00EE727F">
            <w:rPr>
              <w:sz w:val="22"/>
            </w:rPr>
            <w:fldChar w:fldCharType="begin"/>
          </w:r>
          <w:r w:rsidRPr="00EE727F">
            <w:rPr>
              <w:sz w:val="22"/>
            </w:rPr>
            <w:instrText xml:space="preserve"> TOC \o "1-3" \h \z \u </w:instrText>
          </w:r>
          <w:r w:rsidRPr="00EE727F">
            <w:rPr>
              <w:sz w:val="22"/>
            </w:rPr>
            <w:fldChar w:fldCharType="separate"/>
          </w:r>
          <w:hyperlink w:anchor="_Toc93925433" w:history="1">
            <w:r w:rsidR="00CF6CC8" w:rsidRPr="00EE727F">
              <w:rPr>
                <w:rStyle w:val="Hyperlink"/>
                <w:noProof/>
                <w:sz w:val="22"/>
              </w:rPr>
              <w:t>Supplementary Figure 1. Visual schematic of Interstitial Pneumonia with Autoimmune Features (IPAF) classification criteria.</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_Toc93925433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2</w:t>
            </w:r>
            <w:r w:rsidR="00CF6CC8" w:rsidRPr="00EE727F">
              <w:rPr>
                <w:noProof/>
                <w:webHidden/>
                <w:sz w:val="22"/>
              </w:rPr>
              <w:fldChar w:fldCharType="end"/>
            </w:r>
          </w:hyperlink>
          <w:r w:rsidR="00CF6CC8" w:rsidRPr="00EE727F">
            <w:rPr>
              <w:rStyle w:val="Hyperlink"/>
              <w:noProof/>
              <w:sz w:val="22"/>
            </w:rPr>
            <w:br/>
          </w:r>
        </w:p>
        <w:p w14:paraId="3D78A103" w14:textId="750ACADE" w:rsidR="00CF6CC8" w:rsidRPr="00EE727F" w:rsidRDefault="000919F6">
          <w:pPr>
            <w:pStyle w:val="TOC2"/>
            <w:rPr>
              <w:rFonts w:asciiTheme="minorHAnsi" w:eastAsiaTheme="minorEastAsia" w:hAnsiTheme="minorHAnsi" w:cstheme="minorBidi"/>
              <w:noProof/>
              <w:color w:val="auto"/>
              <w:sz w:val="22"/>
            </w:rPr>
          </w:pPr>
          <w:hyperlink w:anchor="_Toc93925434" w:history="1">
            <w:r w:rsidR="00CF6CC8" w:rsidRPr="00EE727F">
              <w:rPr>
                <w:rStyle w:val="Hyperlink"/>
                <w:rFonts w:eastAsiaTheme="minorHAnsi"/>
                <w:noProof/>
                <w:sz w:val="22"/>
              </w:rPr>
              <w:t>Supplementary Methods 1. Definitions of IPAF Morphologic Domain Criteria.</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_Toc93925434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3</w:t>
            </w:r>
            <w:r w:rsidR="00CF6CC8" w:rsidRPr="00EE727F">
              <w:rPr>
                <w:noProof/>
                <w:webHidden/>
                <w:sz w:val="22"/>
              </w:rPr>
              <w:fldChar w:fldCharType="end"/>
            </w:r>
          </w:hyperlink>
        </w:p>
        <w:p w14:paraId="57C5C163" w14:textId="4BD12D1C" w:rsidR="00CF6CC8" w:rsidRPr="00EE727F" w:rsidRDefault="000919F6">
          <w:pPr>
            <w:pStyle w:val="TOC3"/>
            <w:rPr>
              <w:rFonts w:asciiTheme="minorHAnsi" w:eastAsiaTheme="minorEastAsia" w:hAnsiTheme="minorHAnsi" w:cstheme="minorBidi"/>
              <w:noProof/>
              <w:color w:val="auto"/>
              <w:sz w:val="22"/>
            </w:rPr>
          </w:pPr>
          <w:hyperlink w:anchor="_Toc93925435" w:history="1">
            <w:r w:rsidR="00CF6CC8" w:rsidRPr="00EE727F">
              <w:rPr>
                <w:rStyle w:val="Hyperlink"/>
                <w:rFonts w:eastAsiaTheme="minorHAnsi"/>
                <w:noProof/>
                <w:sz w:val="22"/>
              </w:rPr>
              <w:t>Definition of Nonspecific Interstitial Pneumonia (NSIP) and Organizing Pneumonia (OP) in Patients Classified as IPAF:</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_Toc93925435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3</w:t>
            </w:r>
            <w:r w:rsidR="00CF6CC8" w:rsidRPr="00EE727F">
              <w:rPr>
                <w:noProof/>
                <w:webHidden/>
                <w:sz w:val="22"/>
              </w:rPr>
              <w:fldChar w:fldCharType="end"/>
            </w:r>
          </w:hyperlink>
        </w:p>
        <w:p w14:paraId="5898CFE0" w14:textId="0830B5E3" w:rsidR="00CF6CC8" w:rsidRPr="00EE727F" w:rsidRDefault="000919F6">
          <w:pPr>
            <w:pStyle w:val="TOC3"/>
            <w:rPr>
              <w:rFonts w:asciiTheme="minorHAnsi" w:eastAsiaTheme="minorEastAsia" w:hAnsiTheme="minorHAnsi" w:cstheme="minorBidi"/>
              <w:noProof/>
              <w:color w:val="auto"/>
              <w:sz w:val="22"/>
            </w:rPr>
          </w:pPr>
          <w:hyperlink w:anchor="_Toc93925436" w:history="1">
            <w:r w:rsidR="00CF6CC8" w:rsidRPr="00EE727F">
              <w:rPr>
                <w:rStyle w:val="Hyperlink"/>
                <w:rFonts w:eastAsiaTheme="minorHAnsi"/>
                <w:noProof/>
                <w:sz w:val="22"/>
              </w:rPr>
              <w:t>Definitions of Additional Histopathologic Patterns:</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_Toc93925436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4</w:t>
            </w:r>
            <w:r w:rsidR="00CF6CC8" w:rsidRPr="00EE727F">
              <w:rPr>
                <w:noProof/>
                <w:webHidden/>
                <w:sz w:val="22"/>
              </w:rPr>
              <w:fldChar w:fldCharType="end"/>
            </w:r>
          </w:hyperlink>
        </w:p>
        <w:p w14:paraId="796BA734" w14:textId="675FE3AF" w:rsidR="00CF6CC8" w:rsidRPr="00EE727F" w:rsidRDefault="000919F6">
          <w:pPr>
            <w:pStyle w:val="TOC3"/>
            <w:rPr>
              <w:rFonts w:asciiTheme="minorHAnsi" w:eastAsiaTheme="minorEastAsia" w:hAnsiTheme="minorHAnsi" w:cstheme="minorBidi"/>
              <w:noProof/>
              <w:color w:val="auto"/>
              <w:sz w:val="12"/>
              <w:szCs w:val="12"/>
            </w:rPr>
          </w:pPr>
          <w:hyperlink w:anchor="_Toc93925437" w:history="1">
            <w:r w:rsidR="00CF6CC8" w:rsidRPr="00EE727F">
              <w:rPr>
                <w:rStyle w:val="Hyperlink"/>
                <w:rFonts w:eastAsiaTheme="minorHAnsi"/>
                <w:noProof/>
                <w:sz w:val="22"/>
              </w:rPr>
              <w:t>Definitions of Multicompartment Criteria:</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_Toc93925437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4</w:t>
            </w:r>
            <w:r w:rsidR="00CF6CC8" w:rsidRPr="00EE727F">
              <w:rPr>
                <w:noProof/>
                <w:webHidden/>
                <w:sz w:val="22"/>
              </w:rPr>
              <w:fldChar w:fldCharType="end"/>
            </w:r>
          </w:hyperlink>
          <w:r w:rsidR="00F14B28" w:rsidRPr="00EE727F">
            <w:rPr>
              <w:rStyle w:val="Hyperlink"/>
              <w:noProof/>
              <w:sz w:val="22"/>
            </w:rPr>
            <w:br/>
          </w:r>
        </w:p>
        <w:p w14:paraId="31FA6622" w14:textId="415D9F63" w:rsidR="00CF6CC8" w:rsidRPr="00EE727F" w:rsidRDefault="000919F6">
          <w:pPr>
            <w:pStyle w:val="TOC2"/>
            <w:rPr>
              <w:rFonts w:asciiTheme="minorHAnsi" w:eastAsiaTheme="minorEastAsia" w:hAnsiTheme="minorHAnsi" w:cstheme="minorBidi"/>
              <w:noProof/>
              <w:color w:val="auto"/>
              <w:sz w:val="12"/>
              <w:szCs w:val="12"/>
            </w:rPr>
          </w:pPr>
          <w:hyperlink w:anchor="_Toc93925438" w:history="1">
            <w:r w:rsidR="00CF6CC8" w:rsidRPr="00EE727F">
              <w:rPr>
                <w:rStyle w:val="Hyperlink"/>
                <w:rFonts w:eastAsiaTheme="minorHAnsi"/>
                <w:noProof/>
                <w:sz w:val="22"/>
              </w:rPr>
              <w:t>Supplementary Methods 2. Definitions of Mixed Connective Tissue Disease (MCTD), Antisynthetase Syndrome, and anti-MDA5 Dermatomyositis.</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_Toc93925438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5</w:t>
            </w:r>
            <w:r w:rsidR="00CF6CC8" w:rsidRPr="00EE727F">
              <w:rPr>
                <w:noProof/>
                <w:webHidden/>
                <w:sz w:val="22"/>
              </w:rPr>
              <w:fldChar w:fldCharType="end"/>
            </w:r>
          </w:hyperlink>
          <w:r w:rsidR="00F14B28" w:rsidRPr="00EE727F">
            <w:rPr>
              <w:rStyle w:val="Hyperlink"/>
              <w:noProof/>
              <w:sz w:val="22"/>
            </w:rPr>
            <w:br/>
          </w:r>
        </w:p>
        <w:p w14:paraId="6E2D0416" w14:textId="521725DC" w:rsidR="00CF6CC8" w:rsidRPr="00EE727F" w:rsidRDefault="000919F6">
          <w:pPr>
            <w:pStyle w:val="TOC2"/>
            <w:rPr>
              <w:rFonts w:asciiTheme="minorHAnsi" w:eastAsiaTheme="minorEastAsia" w:hAnsiTheme="minorHAnsi" w:cstheme="minorBidi"/>
              <w:noProof/>
              <w:color w:val="auto"/>
              <w:sz w:val="12"/>
              <w:szCs w:val="12"/>
            </w:rPr>
          </w:pPr>
          <w:hyperlink w:anchor="_Toc93925439" w:history="1">
            <w:r w:rsidR="00CF6CC8" w:rsidRPr="00EE727F">
              <w:rPr>
                <w:rStyle w:val="Hyperlink"/>
                <w:rFonts w:eastAsiaTheme="minorHAnsi"/>
                <w:noProof/>
                <w:sz w:val="22"/>
              </w:rPr>
              <w:t>Supplementary Methods 3. Updated classification of patients with a Multidisciplinary Discussion (MDD) diagnosis of Idiopathic Pulmonary Fibrosis (IPF) or Unclassifiable.</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_Toc93925439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5</w:t>
            </w:r>
            <w:r w:rsidR="00CF6CC8" w:rsidRPr="00EE727F">
              <w:rPr>
                <w:noProof/>
                <w:webHidden/>
                <w:sz w:val="22"/>
              </w:rPr>
              <w:fldChar w:fldCharType="end"/>
            </w:r>
          </w:hyperlink>
          <w:r w:rsidR="00F14B28" w:rsidRPr="00EE727F">
            <w:rPr>
              <w:rStyle w:val="Hyperlink"/>
              <w:noProof/>
              <w:sz w:val="22"/>
            </w:rPr>
            <w:br/>
          </w:r>
        </w:p>
        <w:p w14:paraId="5002A2BF" w14:textId="4882D14C" w:rsidR="00CF6CC8" w:rsidRPr="00EE727F" w:rsidRDefault="000919F6">
          <w:pPr>
            <w:pStyle w:val="TOC2"/>
            <w:rPr>
              <w:rFonts w:asciiTheme="minorHAnsi" w:eastAsiaTheme="minorEastAsia" w:hAnsiTheme="minorHAnsi" w:cstheme="minorBidi"/>
              <w:noProof/>
              <w:color w:val="auto"/>
              <w:sz w:val="12"/>
              <w:szCs w:val="12"/>
            </w:rPr>
          </w:pPr>
          <w:hyperlink w:anchor="_Toc93925440" w:history="1">
            <w:r w:rsidR="00CF6CC8" w:rsidRPr="00EE727F">
              <w:rPr>
                <w:rStyle w:val="Hyperlink"/>
                <w:noProof/>
                <w:sz w:val="22"/>
              </w:rPr>
              <w:t>Supplementary Table 1: Comparison of the baseline clinical and therapeutic characteristics of MDD diagnoses prior to final study classification.</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_Toc93925440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7</w:t>
            </w:r>
            <w:r w:rsidR="00CF6CC8" w:rsidRPr="00EE727F">
              <w:rPr>
                <w:noProof/>
                <w:webHidden/>
                <w:sz w:val="22"/>
              </w:rPr>
              <w:fldChar w:fldCharType="end"/>
            </w:r>
          </w:hyperlink>
          <w:r w:rsidR="00F14B28" w:rsidRPr="00EE727F">
            <w:rPr>
              <w:rStyle w:val="Hyperlink"/>
              <w:noProof/>
              <w:sz w:val="22"/>
            </w:rPr>
            <w:br/>
          </w:r>
        </w:p>
        <w:p w14:paraId="102A62D0" w14:textId="23E2C6B0" w:rsidR="00CF6CC8" w:rsidRPr="00EE727F" w:rsidRDefault="000919F6">
          <w:pPr>
            <w:pStyle w:val="TOC2"/>
            <w:rPr>
              <w:rFonts w:asciiTheme="minorHAnsi" w:eastAsiaTheme="minorEastAsia" w:hAnsiTheme="minorHAnsi" w:cstheme="minorBidi"/>
              <w:noProof/>
              <w:color w:val="auto"/>
              <w:sz w:val="12"/>
              <w:szCs w:val="12"/>
            </w:rPr>
          </w:pPr>
          <w:hyperlink w:anchor="_Toc93925441" w:history="1">
            <w:r w:rsidR="00CF6CC8" w:rsidRPr="00EE727F">
              <w:rPr>
                <w:rStyle w:val="Hyperlink"/>
                <w:noProof/>
                <w:sz w:val="22"/>
              </w:rPr>
              <w:t>Supplementary Figure 2. Relationship between initial MDD diagnoses and final study classification after retrospective review of follow-up data.</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_Toc93925441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9</w:t>
            </w:r>
            <w:r w:rsidR="00CF6CC8" w:rsidRPr="00EE727F">
              <w:rPr>
                <w:noProof/>
                <w:webHidden/>
                <w:sz w:val="22"/>
              </w:rPr>
              <w:fldChar w:fldCharType="end"/>
            </w:r>
          </w:hyperlink>
          <w:r w:rsidR="00F14B28" w:rsidRPr="00EE727F">
            <w:rPr>
              <w:rStyle w:val="Hyperlink"/>
              <w:noProof/>
              <w:sz w:val="22"/>
            </w:rPr>
            <w:br/>
          </w:r>
        </w:p>
        <w:p w14:paraId="451D8ED8" w14:textId="209A9C7A" w:rsidR="00CF6CC8" w:rsidRPr="00EE727F" w:rsidRDefault="000919F6">
          <w:pPr>
            <w:pStyle w:val="TOC2"/>
            <w:rPr>
              <w:rFonts w:asciiTheme="minorHAnsi" w:eastAsiaTheme="minorEastAsia" w:hAnsiTheme="minorHAnsi" w:cstheme="minorBidi"/>
              <w:noProof/>
              <w:color w:val="auto"/>
              <w:sz w:val="12"/>
              <w:szCs w:val="12"/>
            </w:rPr>
          </w:pPr>
          <w:hyperlink w:anchor="_Toc93925442" w:history="1">
            <w:r w:rsidR="00CF6CC8" w:rsidRPr="00EE727F">
              <w:rPr>
                <w:rStyle w:val="Hyperlink"/>
                <w:noProof/>
                <w:sz w:val="22"/>
              </w:rPr>
              <w:t>Supplementary Figure 3: Relative proportion of different connective tissue diseases (CTDs) in patients with connective tissue disease-associated interstitial lung disease (CTD-ILD).</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_Toc93925442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10</w:t>
            </w:r>
            <w:r w:rsidR="00CF6CC8" w:rsidRPr="00EE727F">
              <w:rPr>
                <w:noProof/>
                <w:webHidden/>
                <w:sz w:val="22"/>
              </w:rPr>
              <w:fldChar w:fldCharType="end"/>
            </w:r>
          </w:hyperlink>
          <w:r w:rsidR="00F14B28" w:rsidRPr="00EE727F">
            <w:rPr>
              <w:rStyle w:val="Hyperlink"/>
              <w:noProof/>
              <w:sz w:val="22"/>
            </w:rPr>
            <w:br/>
          </w:r>
        </w:p>
        <w:p w14:paraId="19FDC0AC" w14:textId="15DAEAEE" w:rsidR="00CF6CC8" w:rsidRPr="00EE727F" w:rsidRDefault="000919F6">
          <w:pPr>
            <w:pStyle w:val="TOC2"/>
            <w:rPr>
              <w:rFonts w:asciiTheme="minorHAnsi" w:eastAsiaTheme="minorEastAsia" w:hAnsiTheme="minorHAnsi" w:cstheme="minorBidi"/>
              <w:noProof/>
              <w:color w:val="auto"/>
              <w:sz w:val="12"/>
              <w:szCs w:val="12"/>
            </w:rPr>
          </w:pPr>
          <w:hyperlink w:anchor="_Toc93925443" w:history="1">
            <w:r w:rsidR="00CF6CC8" w:rsidRPr="00EE727F">
              <w:rPr>
                <w:rStyle w:val="Hyperlink"/>
                <w:bCs/>
                <w:noProof/>
                <w:sz w:val="22"/>
              </w:rPr>
              <w:t>Supplementary Figure 4:</w:t>
            </w:r>
            <w:r w:rsidR="00CF6CC8" w:rsidRPr="00EE727F">
              <w:rPr>
                <w:rStyle w:val="Hyperlink"/>
                <w:noProof/>
                <w:sz w:val="22"/>
              </w:rPr>
              <w:t xml:space="preserve"> Relative proportions of patients with a given CTD-ILD who were diagnosed with interstitial lung disease (ILD) either prior to, or concurrently with, their CTD diagnosis.</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_Toc93925443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11</w:t>
            </w:r>
            <w:r w:rsidR="00CF6CC8" w:rsidRPr="00EE727F">
              <w:rPr>
                <w:noProof/>
                <w:webHidden/>
                <w:sz w:val="22"/>
              </w:rPr>
              <w:fldChar w:fldCharType="end"/>
            </w:r>
          </w:hyperlink>
          <w:r w:rsidR="00F14B28" w:rsidRPr="00EE727F">
            <w:rPr>
              <w:rStyle w:val="Hyperlink"/>
              <w:noProof/>
              <w:sz w:val="22"/>
            </w:rPr>
            <w:br/>
          </w:r>
        </w:p>
        <w:p w14:paraId="36D555E9" w14:textId="0D1DB81D" w:rsidR="00CF6CC8" w:rsidRPr="00EE727F" w:rsidRDefault="000919F6">
          <w:pPr>
            <w:pStyle w:val="TOC2"/>
            <w:rPr>
              <w:rFonts w:asciiTheme="minorHAnsi" w:eastAsiaTheme="minorEastAsia" w:hAnsiTheme="minorHAnsi" w:cstheme="minorBidi"/>
              <w:noProof/>
              <w:color w:val="auto"/>
              <w:sz w:val="12"/>
              <w:szCs w:val="12"/>
            </w:rPr>
          </w:pPr>
          <w:hyperlink w:anchor="_Toc93925444" w:history="1">
            <w:r w:rsidR="00CF6CC8" w:rsidRPr="00EE727F">
              <w:rPr>
                <w:rStyle w:val="Hyperlink"/>
                <w:noProof/>
                <w:sz w:val="22"/>
              </w:rPr>
              <w:t>Supplementary Table 2: Domains and domain criteria fulfilled by the cohort of patients classified as IPAF (n=60).</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_Toc93925444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12</w:t>
            </w:r>
            <w:r w:rsidR="00CF6CC8" w:rsidRPr="00EE727F">
              <w:rPr>
                <w:noProof/>
                <w:webHidden/>
                <w:sz w:val="22"/>
              </w:rPr>
              <w:fldChar w:fldCharType="end"/>
            </w:r>
          </w:hyperlink>
          <w:r w:rsidR="00F14B28" w:rsidRPr="00EE727F">
            <w:rPr>
              <w:rStyle w:val="Hyperlink"/>
              <w:noProof/>
              <w:sz w:val="22"/>
            </w:rPr>
            <w:br/>
          </w:r>
        </w:p>
        <w:p w14:paraId="314D93CD" w14:textId="45354180" w:rsidR="00CF6CC8" w:rsidRPr="00EE727F" w:rsidRDefault="000919F6">
          <w:pPr>
            <w:pStyle w:val="TOC2"/>
            <w:rPr>
              <w:rFonts w:asciiTheme="minorHAnsi" w:eastAsiaTheme="minorEastAsia" w:hAnsiTheme="minorHAnsi" w:cstheme="minorBidi"/>
              <w:noProof/>
              <w:color w:val="auto"/>
              <w:sz w:val="12"/>
              <w:szCs w:val="12"/>
            </w:rPr>
          </w:pPr>
          <w:hyperlink w:anchor="_Toc93925445" w:history="1">
            <w:r w:rsidR="00CF6CC8" w:rsidRPr="00EE727F">
              <w:rPr>
                <w:rStyle w:val="Hyperlink"/>
                <w:bCs/>
                <w:noProof/>
                <w:sz w:val="22"/>
              </w:rPr>
              <w:t>Supplementary Figure 5:</w:t>
            </w:r>
            <w:r w:rsidR="00CF6CC8" w:rsidRPr="00EE727F">
              <w:rPr>
                <w:rStyle w:val="Hyperlink"/>
                <w:noProof/>
                <w:sz w:val="22"/>
              </w:rPr>
              <w:t xml:space="preserve"> Proportion of patients with CTD-ILD and IPAF with clinical features comprising the IPAF clinical domain.</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_Toc93925445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14</w:t>
            </w:r>
            <w:r w:rsidR="00CF6CC8" w:rsidRPr="00EE727F">
              <w:rPr>
                <w:noProof/>
                <w:webHidden/>
                <w:sz w:val="22"/>
              </w:rPr>
              <w:fldChar w:fldCharType="end"/>
            </w:r>
          </w:hyperlink>
          <w:r w:rsidR="00F14B28" w:rsidRPr="00EE727F">
            <w:rPr>
              <w:rStyle w:val="Hyperlink"/>
              <w:noProof/>
              <w:sz w:val="22"/>
            </w:rPr>
            <w:br/>
          </w:r>
        </w:p>
        <w:p w14:paraId="082BF63E" w14:textId="7B79632F" w:rsidR="00CF6CC8" w:rsidRPr="00EE727F" w:rsidRDefault="000919F6">
          <w:pPr>
            <w:pStyle w:val="TOC2"/>
            <w:rPr>
              <w:rFonts w:asciiTheme="minorHAnsi" w:eastAsiaTheme="minorEastAsia" w:hAnsiTheme="minorHAnsi" w:cstheme="minorBidi"/>
              <w:noProof/>
              <w:color w:val="auto"/>
              <w:sz w:val="12"/>
              <w:szCs w:val="12"/>
            </w:rPr>
          </w:pPr>
          <w:hyperlink w:anchor="_Toc93925446" w:history="1">
            <w:r w:rsidR="00CF6CC8" w:rsidRPr="00EE727F">
              <w:rPr>
                <w:rStyle w:val="Hyperlink"/>
                <w:noProof/>
                <w:sz w:val="22"/>
              </w:rPr>
              <w:t>Supplementary Table 3: Frequency of positive, negative, and missing serologies for patients fulfilling IPAF criteria (n=60).</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_Toc93925446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15</w:t>
            </w:r>
            <w:r w:rsidR="00CF6CC8" w:rsidRPr="00EE727F">
              <w:rPr>
                <w:noProof/>
                <w:webHidden/>
                <w:sz w:val="22"/>
              </w:rPr>
              <w:fldChar w:fldCharType="end"/>
            </w:r>
          </w:hyperlink>
          <w:r w:rsidR="00F14B28" w:rsidRPr="00EE727F">
            <w:rPr>
              <w:rStyle w:val="Hyperlink"/>
              <w:noProof/>
              <w:sz w:val="22"/>
            </w:rPr>
            <w:br/>
          </w:r>
        </w:p>
        <w:p w14:paraId="1992690A" w14:textId="18CFED02" w:rsidR="00CF6CC8" w:rsidRPr="00EE727F" w:rsidRDefault="000919F6">
          <w:pPr>
            <w:pStyle w:val="TOC2"/>
            <w:rPr>
              <w:rFonts w:asciiTheme="minorHAnsi" w:eastAsiaTheme="minorEastAsia" w:hAnsiTheme="minorHAnsi" w:cstheme="minorBidi"/>
              <w:noProof/>
              <w:color w:val="auto"/>
              <w:sz w:val="12"/>
              <w:szCs w:val="12"/>
            </w:rPr>
          </w:pPr>
          <w:hyperlink w:anchor="_Toc93925447" w:history="1">
            <w:r w:rsidR="00CF6CC8" w:rsidRPr="00EE727F">
              <w:rPr>
                <w:rStyle w:val="Hyperlink"/>
                <w:bCs/>
                <w:noProof/>
                <w:sz w:val="22"/>
              </w:rPr>
              <w:t xml:space="preserve">Supplementary Figure 6: </w:t>
            </w:r>
            <w:r w:rsidR="00CF6CC8" w:rsidRPr="00EE727F">
              <w:rPr>
                <w:rStyle w:val="Hyperlink"/>
                <w:noProof/>
                <w:sz w:val="22"/>
              </w:rPr>
              <w:t>Transplant-free survival rate by type of CTD-ILD.</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_Toc93925447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16</w:t>
            </w:r>
            <w:r w:rsidR="00CF6CC8" w:rsidRPr="00EE727F">
              <w:rPr>
                <w:noProof/>
                <w:webHidden/>
                <w:sz w:val="22"/>
              </w:rPr>
              <w:fldChar w:fldCharType="end"/>
            </w:r>
          </w:hyperlink>
          <w:r w:rsidR="00F14B28" w:rsidRPr="00EE727F">
            <w:rPr>
              <w:rStyle w:val="Hyperlink"/>
              <w:noProof/>
              <w:sz w:val="22"/>
            </w:rPr>
            <w:br/>
          </w:r>
        </w:p>
        <w:p w14:paraId="20D4672C" w14:textId="18F91841" w:rsidR="00CF6CC8" w:rsidRPr="00EE727F" w:rsidRDefault="000919F6">
          <w:pPr>
            <w:pStyle w:val="TOC2"/>
            <w:rPr>
              <w:rFonts w:asciiTheme="minorHAnsi" w:eastAsiaTheme="minorEastAsia" w:hAnsiTheme="minorHAnsi" w:cstheme="minorBidi"/>
              <w:noProof/>
              <w:color w:val="auto"/>
              <w:sz w:val="12"/>
              <w:szCs w:val="12"/>
            </w:rPr>
          </w:pPr>
          <w:hyperlink w:anchor="_Toc93925448" w:history="1">
            <w:r w:rsidR="00CF6CC8" w:rsidRPr="00EE727F">
              <w:rPr>
                <w:rStyle w:val="Hyperlink"/>
                <w:bCs/>
                <w:noProof/>
                <w:sz w:val="22"/>
              </w:rPr>
              <w:t>Supplementary Table 4. A</w:t>
            </w:r>
            <w:r w:rsidR="00B77E8E" w:rsidRPr="00EE727F">
              <w:rPr>
                <w:rStyle w:val="Hyperlink"/>
                <w:bCs/>
                <w:noProof/>
                <w:sz w:val="22"/>
              </w:rPr>
              <w:t>ge and sex-a</w:t>
            </w:r>
            <w:r w:rsidR="00CF6CC8" w:rsidRPr="00EE727F">
              <w:rPr>
                <w:rStyle w:val="Hyperlink"/>
                <w:bCs/>
                <w:noProof/>
                <w:sz w:val="22"/>
              </w:rPr>
              <w:t>djusted transplant-free survival of patients classified as IPAF versus patients with CTD-ILD versus patients with IPF.</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_Toc93925448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17</w:t>
            </w:r>
            <w:r w:rsidR="00CF6CC8" w:rsidRPr="00EE727F">
              <w:rPr>
                <w:noProof/>
                <w:webHidden/>
                <w:sz w:val="22"/>
              </w:rPr>
              <w:fldChar w:fldCharType="end"/>
            </w:r>
          </w:hyperlink>
          <w:r w:rsidR="00F14B28" w:rsidRPr="00EE727F">
            <w:rPr>
              <w:rStyle w:val="Hyperlink"/>
              <w:noProof/>
              <w:sz w:val="22"/>
            </w:rPr>
            <w:br/>
          </w:r>
        </w:p>
        <w:p w14:paraId="0F86C1DA" w14:textId="78CCEF04" w:rsidR="00CF6CC8" w:rsidRPr="00EE727F" w:rsidRDefault="000919F6">
          <w:pPr>
            <w:pStyle w:val="TOC2"/>
            <w:rPr>
              <w:rFonts w:asciiTheme="minorHAnsi" w:eastAsiaTheme="minorEastAsia" w:hAnsiTheme="minorHAnsi" w:cstheme="minorBidi"/>
              <w:noProof/>
              <w:color w:val="auto"/>
              <w:sz w:val="12"/>
              <w:szCs w:val="12"/>
            </w:rPr>
          </w:pPr>
          <w:hyperlink w:anchor="_Toc93925449" w:history="1">
            <w:r w:rsidR="00CF6CC8" w:rsidRPr="00EE727F">
              <w:rPr>
                <w:rStyle w:val="Hyperlink"/>
                <w:bCs/>
                <w:noProof/>
                <w:sz w:val="22"/>
              </w:rPr>
              <w:t xml:space="preserve">Supplementary Figure 7: Transplant-free survival of a modified IPAF cohort which now includes an additional n=11 patients with antisynthetase antibodies </w:t>
            </w:r>
            <w:r w:rsidR="00CF6CC8" w:rsidRPr="00EE727F">
              <w:rPr>
                <w:rStyle w:val="Hyperlink"/>
                <w:noProof/>
                <w:sz w:val="22"/>
              </w:rPr>
              <w:t>with a prior study classification of CTD-ILD, versus CTD-ILD and IPF.</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_Toc93925449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18</w:t>
            </w:r>
            <w:r w:rsidR="00CF6CC8" w:rsidRPr="00EE727F">
              <w:rPr>
                <w:noProof/>
                <w:webHidden/>
                <w:sz w:val="22"/>
              </w:rPr>
              <w:fldChar w:fldCharType="end"/>
            </w:r>
          </w:hyperlink>
          <w:r w:rsidR="00F14B28" w:rsidRPr="00EE727F">
            <w:rPr>
              <w:rStyle w:val="Hyperlink"/>
              <w:noProof/>
              <w:sz w:val="22"/>
            </w:rPr>
            <w:br/>
          </w:r>
        </w:p>
        <w:p w14:paraId="3FC78AE2" w14:textId="160BF3F8" w:rsidR="00CF6CC8" w:rsidRPr="00EE727F" w:rsidRDefault="000919F6">
          <w:pPr>
            <w:pStyle w:val="TOC2"/>
            <w:rPr>
              <w:rFonts w:asciiTheme="minorHAnsi" w:eastAsiaTheme="minorEastAsia" w:hAnsiTheme="minorHAnsi" w:cstheme="minorBidi"/>
              <w:noProof/>
              <w:color w:val="auto"/>
              <w:sz w:val="12"/>
              <w:szCs w:val="12"/>
            </w:rPr>
          </w:pPr>
          <w:hyperlink w:anchor="_Toc93925450" w:history="1">
            <w:r w:rsidR="00CF6CC8" w:rsidRPr="00EE727F">
              <w:rPr>
                <w:rStyle w:val="Hyperlink"/>
                <w:bCs/>
                <w:noProof/>
                <w:sz w:val="22"/>
              </w:rPr>
              <w:t>Supplementary Table 5. Characteristics of patients initially classified as IPAF who were eventually diagnosed with classifiable disease during follow-up.</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_Toc93925450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20</w:t>
            </w:r>
            <w:r w:rsidR="00CF6CC8" w:rsidRPr="00EE727F">
              <w:rPr>
                <w:noProof/>
                <w:webHidden/>
                <w:sz w:val="22"/>
              </w:rPr>
              <w:fldChar w:fldCharType="end"/>
            </w:r>
          </w:hyperlink>
          <w:r w:rsidR="00B77E8E" w:rsidRPr="00EE727F">
            <w:rPr>
              <w:rStyle w:val="Hyperlink"/>
              <w:noProof/>
              <w:sz w:val="22"/>
            </w:rPr>
            <w:br/>
          </w:r>
        </w:p>
        <w:p w14:paraId="6527CCE7" w14:textId="527F4E4D" w:rsidR="00CF6CC8" w:rsidRPr="00EE727F" w:rsidRDefault="000919F6">
          <w:pPr>
            <w:pStyle w:val="TOC2"/>
            <w:rPr>
              <w:rFonts w:asciiTheme="minorHAnsi" w:eastAsiaTheme="minorEastAsia" w:hAnsiTheme="minorHAnsi" w:cstheme="minorBidi"/>
              <w:noProof/>
              <w:color w:val="auto"/>
              <w:sz w:val="22"/>
            </w:rPr>
          </w:pPr>
          <w:hyperlink w:anchor="_Toc93925451" w:history="1">
            <w:r w:rsidR="00CF6CC8" w:rsidRPr="00EE727F">
              <w:rPr>
                <w:rStyle w:val="Hyperlink"/>
                <w:noProof/>
                <w:sz w:val="22"/>
              </w:rPr>
              <w:t>References for Supplementary Material:</w:t>
            </w:r>
            <w:r w:rsidR="00CF6CC8" w:rsidRPr="00EE727F">
              <w:rPr>
                <w:noProof/>
                <w:webHidden/>
                <w:sz w:val="22"/>
              </w:rPr>
              <w:tab/>
            </w:r>
            <w:r w:rsidR="00CF6CC8" w:rsidRPr="00EE727F">
              <w:rPr>
                <w:noProof/>
                <w:webHidden/>
                <w:sz w:val="22"/>
              </w:rPr>
              <w:fldChar w:fldCharType="begin"/>
            </w:r>
            <w:r w:rsidR="00CF6CC8" w:rsidRPr="00EE727F">
              <w:rPr>
                <w:noProof/>
                <w:webHidden/>
                <w:sz w:val="22"/>
              </w:rPr>
              <w:instrText xml:space="preserve"> PAGEREF _Toc93925451 \h </w:instrText>
            </w:r>
            <w:r w:rsidR="00CF6CC8" w:rsidRPr="00EE727F">
              <w:rPr>
                <w:noProof/>
                <w:webHidden/>
                <w:sz w:val="22"/>
              </w:rPr>
            </w:r>
            <w:r w:rsidR="00CF6CC8" w:rsidRPr="00EE727F">
              <w:rPr>
                <w:noProof/>
                <w:webHidden/>
                <w:sz w:val="22"/>
              </w:rPr>
              <w:fldChar w:fldCharType="separate"/>
            </w:r>
            <w:r w:rsidR="00CF6CC8" w:rsidRPr="00EE727F">
              <w:rPr>
                <w:noProof/>
                <w:webHidden/>
                <w:sz w:val="22"/>
              </w:rPr>
              <w:t>21</w:t>
            </w:r>
            <w:r w:rsidR="00CF6CC8" w:rsidRPr="00EE727F">
              <w:rPr>
                <w:noProof/>
                <w:webHidden/>
                <w:sz w:val="22"/>
              </w:rPr>
              <w:fldChar w:fldCharType="end"/>
            </w:r>
          </w:hyperlink>
        </w:p>
        <w:p w14:paraId="2324214E" w14:textId="42EC9ABA" w:rsidR="00184F94" w:rsidRPr="00EE727F" w:rsidRDefault="00175466" w:rsidP="00184F94">
          <w:pPr>
            <w:spacing w:line="240" w:lineRule="auto"/>
            <w:ind w:left="0" w:firstLine="0"/>
            <w:rPr>
              <w:b/>
              <w:bCs/>
              <w:noProof/>
            </w:rPr>
          </w:pPr>
          <w:r w:rsidRPr="00EE727F">
            <w:rPr>
              <w:noProof/>
              <w:sz w:val="22"/>
            </w:rPr>
            <w:fldChar w:fldCharType="end"/>
          </w:r>
        </w:p>
      </w:sdtContent>
    </w:sdt>
    <w:p w14:paraId="4B4FD248" w14:textId="7DA44CD2" w:rsidR="00FC6840" w:rsidRPr="00EE727F" w:rsidRDefault="00FC6840" w:rsidP="00184F94">
      <w:pPr>
        <w:spacing w:line="240" w:lineRule="auto"/>
        <w:ind w:left="0" w:firstLine="0"/>
        <w:rPr>
          <w:b/>
          <w:bCs/>
          <w:noProof/>
        </w:rPr>
      </w:pPr>
      <w:r w:rsidRPr="00EE727F">
        <w:br w:type="page"/>
      </w:r>
    </w:p>
    <w:p w14:paraId="2CA69BB5" w14:textId="795A9652" w:rsidR="00A944B3" w:rsidRPr="00EE727F" w:rsidRDefault="00C0512D" w:rsidP="00D60E09">
      <w:pPr>
        <w:pStyle w:val="Heading2"/>
        <w:ind w:left="0" w:firstLine="0"/>
        <w:rPr>
          <w:sz w:val="22"/>
          <w:szCs w:val="22"/>
        </w:rPr>
      </w:pPr>
      <w:bookmarkStart w:id="2" w:name="_Toc93925433"/>
      <w:r w:rsidRPr="00EE727F">
        <w:rPr>
          <w:sz w:val="22"/>
          <w:szCs w:val="22"/>
        </w:rPr>
        <w:lastRenderedPageBreak/>
        <w:t xml:space="preserve">Supplementary Figure 1. Visual schematic of </w:t>
      </w:r>
      <w:r w:rsidR="00C14A6B" w:rsidRPr="00EE727F">
        <w:rPr>
          <w:sz w:val="22"/>
          <w:szCs w:val="22"/>
        </w:rPr>
        <w:t>Interstitial Pneumonia with Autoimmune Features (</w:t>
      </w:r>
      <w:r w:rsidRPr="00EE727F">
        <w:rPr>
          <w:sz w:val="22"/>
          <w:szCs w:val="22"/>
        </w:rPr>
        <w:t>IPAF</w:t>
      </w:r>
      <w:r w:rsidR="00C14A6B" w:rsidRPr="00EE727F">
        <w:rPr>
          <w:sz w:val="22"/>
          <w:szCs w:val="22"/>
        </w:rPr>
        <w:t>)</w:t>
      </w:r>
      <w:r w:rsidRPr="00EE727F">
        <w:rPr>
          <w:sz w:val="22"/>
          <w:szCs w:val="22"/>
        </w:rPr>
        <w:t xml:space="preserve"> classification criteria.</w:t>
      </w:r>
      <w:bookmarkEnd w:id="2"/>
      <w:r w:rsidRPr="00EE727F">
        <w:rPr>
          <w:sz w:val="22"/>
          <w:szCs w:val="22"/>
        </w:rPr>
        <w:t xml:space="preserve"> </w:t>
      </w:r>
    </w:p>
    <w:p w14:paraId="52C55317" w14:textId="73198950" w:rsidR="00C0512D" w:rsidRPr="00EE727F" w:rsidRDefault="00C0512D" w:rsidP="00C0512D">
      <w:pPr>
        <w:ind w:left="0" w:firstLine="0"/>
        <w:rPr>
          <w:sz w:val="22"/>
        </w:rPr>
      </w:pPr>
      <w:r w:rsidRPr="00EE727F">
        <w:rPr>
          <w:sz w:val="22"/>
        </w:rPr>
        <w:t xml:space="preserve">ILD = interstitial lung disease; HRCT = high-resolution computed tomography; CTD = connective tissue disease; NSIP = non-specific interstitial pneumonia; OP = organizing pneumonia; LIP = lymphoid interstitial pneumonia; PFT = pulmonary function testing; † = includes airflow obstruction, bronchiolitis, or bronchiectasis; ‡ Refer to the article’s </w:t>
      </w:r>
      <w:r w:rsidRPr="00EE727F">
        <w:rPr>
          <w:b/>
          <w:bCs/>
          <w:sz w:val="22"/>
        </w:rPr>
        <w:t xml:space="preserve">Supplementary </w:t>
      </w:r>
      <w:r w:rsidR="000B1BE1" w:rsidRPr="00EE727F">
        <w:rPr>
          <w:b/>
          <w:bCs/>
          <w:sz w:val="22"/>
        </w:rPr>
        <w:t>Methods</w:t>
      </w:r>
      <w:r w:rsidRPr="00EE727F">
        <w:rPr>
          <w:b/>
          <w:bCs/>
          <w:sz w:val="22"/>
        </w:rPr>
        <w:t xml:space="preserve"> 1</w:t>
      </w:r>
      <w:r w:rsidRPr="00EE727F">
        <w:rPr>
          <w:sz w:val="22"/>
        </w:rPr>
        <w:t xml:space="preserve"> for our specific definition(s) of these parameters. Produced from criteria published in Fischer et. al.</w:t>
      </w:r>
      <w:r w:rsidRPr="00EE727F">
        <w:rPr>
          <w:sz w:val="22"/>
        </w:rPr>
        <w:fldChar w:fldCharType="begin" w:fldLock="1"/>
      </w:r>
      <w:r w:rsidR="00E069B9" w:rsidRPr="00EE727F">
        <w:rPr>
          <w:sz w:val="22"/>
        </w:rPr>
        <w:instrText>ADDIN CSL_CITATION {"citationItems":[{"id":"ITEM-1","itemData":{"DOI":"10.1183/13993003.00150-2015","ISSN":"13993003","PMID":"26160873","abstract":"Many patients with an idiopathic interstitial pneumonia (IIP) have clinical features that suggest an underlying autoimmune process but do not meet established criteria for a connective tissue disease (CTD). Researchers have proposed differing criteria and terms to describe these patients, and lack of consensus over nomenclature and classification limits the ability to conduct prospective studies of a uniform cohort. The \"European Respiratory Society/American Thoracic Society Task Force on Undifferentiated Forms of Connective Tissue Disease-associated Interstitial Lung Disease\" was formed to create consensus regarding the nomenclature and classification criteria for patients with IIP and features of autoimmunity. The task force proposes the term \"interstitial pneumonia with autoimmune features\" (IPAF) and offers classification criteria organised around the presence of a combination of features from three domains: a clinical domain consisting of specific extra-thoracic features, a serologic domain consisting of specific autoantibodies, and a morphologic domain consisting of specific chest imaging, histopathologic or pulmonary physiologic features. A designation of IPAF should be used to identify individuals with IIP and features suggestive of, but not definitive for, a CTD. With IPAF, a sound platform has been provided from which to launch the requisite future research investigations of a more uniform cohort.","author":[{"dropping-particle":"","family":"Fischer","given":"Aryeh","non-dropping-particle":"","parse-names":false,"suffix":""},{"dropping-particle":"","family":"Antoniou","given":"Katerina M.","non-dropping-particle":"","parse-names":false,"suffix":""},{"dropping-particle":"","family":"Brown","given":"Kevin K.","non-dropping-particle":"","parse-names":false,"suffix":""},{"dropping-particle":"","family":"Cadranel","given":"Jacques","non-dropping-particle":"","parse-names":false,"suffix":""},{"dropping-particle":"","family":"Corte","given":"Tamera J.","non-dropping-particle":"","parse-names":false,"suffix":""},{"dropping-particle":"","family":"Bois","given":"Roland M.","non-dropping-particle":"Du","parse-names":false,"suffix":""},{"dropping-particle":"","family":"Lee","given":"Joyce S.","non-dropping-particle":"","parse-names":false,"suffix":""},{"dropping-particle":"","family":"Leslie","given":"Kevin O.","non-dropping-particle":"","parse-names":false,"suffix":""},{"dropping-particle":"","family":"Lynch","given":"David A.","non-dropping-particle":"","parse-names":false,"suffix":""},{"dropping-particle":"","family":"Matteson","given":"Eric L.","non-dropping-particle":"","parse-names":false,"suffix":""},{"dropping-particle":"","family":"Mosca","given":"Marta","non-dropping-particle":"","parse-names":false,"suffix":""},{"dropping-particle":"","family":"Noth","given":"Imre","non-dropping-particle":"","parse-names":false,"suffix":""},{"dropping-particle":"","family":"Richeldi","given":"Luca","non-dropping-particle":"","parse-names":false,"suffix":""},{"dropping-particle":"","family":"Strek","given":"Mary E.","non-dropping-particle":"","parse-names":false,"suffix":""},{"dropping-particle":"","family":"Swigris","given":"Jeffrey J.","non-dropping-particle":"","parse-names":false,"suffix":""},{"dropping-particle":"","family":"Wells","given":"Athol U.","non-dropping-particle":"","parse-names":false,"suffix":""},{"dropping-particle":"","family":"West","given":"Sterling G.","non-dropping-particle":"","parse-names":false,"suffix":""},{"dropping-particle":"","family":"Collard","given":"Harold R.","non-dropping-particle":"","parse-names":false,"suffix":""},{"dropping-particle":"","family":"Cottin","given":"Vincent","non-dropping-particle":"","parse-names":false,"suffix":""}],"container-title":"European Respiratory Journal","id":"ITEM-1","issue":"4","issued":{"date-parts":[["2015"]]},"page":"976-987","title":"An official European Respiratory Society/American Thoracic Society research statement: Interstitial pneumonia with autoimmune features","type":"article-journal","volume":"46"},"uris":["http://www.mendeley.com/documents/?uuid=a76f56c5-f229-4de0-874f-b42120bc05ac"]}],"mendeley":{"formattedCitation":"&lt;span style=\"baseline\"&gt;[1]&lt;/span&gt;","plainTextFormattedCitation":"[1]","previouslyFormattedCitation":"&lt;span style=\"baseline\"&gt;[11]&lt;/span&gt;"},"properties":{"noteIndex":0},"schema":"https://github.com/citation-style-language/schema/raw/master/csl-citation.json"}</w:instrText>
      </w:r>
      <w:r w:rsidRPr="00EE727F">
        <w:rPr>
          <w:sz w:val="22"/>
        </w:rPr>
        <w:fldChar w:fldCharType="separate"/>
      </w:r>
      <w:r w:rsidR="00E069B9" w:rsidRPr="00EE727F">
        <w:rPr>
          <w:noProof/>
          <w:sz w:val="22"/>
        </w:rPr>
        <w:t>[1]</w:t>
      </w:r>
      <w:r w:rsidRPr="00EE727F">
        <w:rPr>
          <w:sz w:val="22"/>
        </w:rPr>
        <w:fldChar w:fldCharType="end"/>
      </w:r>
      <w:r w:rsidRPr="00EE727F">
        <w:rPr>
          <w:sz w:val="22"/>
        </w:rPr>
        <w:t xml:space="preserve"> </w:t>
      </w:r>
      <w:r w:rsidRPr="00EE727F">
        <w:rPr>
          <w:noProof/>
          <w:sz w:val="22"/>
        </w:rPr>
        <w:drawing>
          <wp:inline distT="0" distB="0" distL="0" distR="0" wp14:anchorId="407ACA93" wp14:editId="41BA48A3">
            <wp:extent cx="5943600" cy="4856481"/>
            <wp:effectExtent l="0" t="0" r="0" b="1270"/>
            <wp:docPr id="5" name="Picture 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with medium confidenc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856481"/>
                    </a:xfrm>
                    <a:prstGeom prst="rect">
                      <a:avLst/>
                    </a:prstGeom>
                  </pic:spPr>
                </pic:pic>
              </a:graphicData>
            </a:graphic>
          </wp:inline>
        </w:drawing>
      </w:r>
    </w:p>
    <w:p w14:paraId="3FC5263F" w14:textId="77777777" w:rsidR="00C0512D" w:rsidRPr="00EE727F" w:rsidRDefault="00C0512D">
      <w:pPr>
        <w:spacing w:after="160" w:line="259" w:lineRule="auto"/>
        <w:ind w:left="0" w:firstLine="0"/>
        <w:rPr>
          <w:sz w:val="22"/>
        </w:rPr>
      </w:pPr>
      <w:r w:rsidRPr="00EE727F">
        <w:rPr>
          <w:sz w:val="22"/>
        </w:rPr>
        <w:br w:type="page"/>
      </w:r>
    </w:p>
    <w:p w14:paraId="43BB46BB" w14:textId="58D251B1" w:rsidR="00C0512D" w:rsidRPr="00EE727F" w:rsidRDefault="005A31B3" w:rsidP="00A944B3">
      <w:pPr>
        <w:pStyle w:val="Heading2"/>
        <w:rPr>
          <w:rFonts w:eastAsiaTheme="minorHAnsi"/>
          <w:sz w:val="22"/>
          <w:szCs w:val="22"/>
        </w:rPr>
      </w:pPr>
      <w:bookmarkStart w:id="3" w:name="_Toc93925434"/>
      <w:r w:rsidRPr="00EE727F">
        <w:rPr>
          <w:rFonts w:eastAsiaTheme="minorHAnsi"/>
          <w:sz w:val="22"/>
          <w:szCs w:val="22"/>
        </w:rPr>
        <w:lastRenderedPageBreak/>
        <w:t xml:space="preserve">Supplementary </w:t>
      </w:r>
      <w:r w:rsidR="00AD6C3A" w:rsidRPr="00EE727F">
        <w:rPr>
          <w:rFonts w:eastAsiaTheme="minorHAnsi"/>
          <w:sz w:val="22"/>
          <w:szCs w:val="22"/>
        </w:rPr>
        <w:t>Methods</w:t>
      </w:r>
      <w:r w:rsidRPr="00EE727F">
        <w:rPr>
          <w:rFonts w:eastAsiaTheme="minorHAnsi"/>
          <w:sz w:val="22"/>
          <w:szCs w:val="22"/>
        </w:rPr>
        <w:t xml:space="preserve"> 1. Definitions of IPAF </w:t>
      </w:r>
      <w:r w:rsidR="00EE727F">
        <w:rPr>
          <w:rFonts w:eastAsiaTheme="minorHAnsi"/>
          <w:sz w:val="22"/>
          <w:szCs w:val="22"/>
        </w:rPr>
        <w:t>M</w:t>
      </w:r>
      <w:r w:rsidRPr="00EE727F">
        <w:rPr>
          <w:rFonts w:eastAsiaTheme="minorHAnsi"/>
          <w:sz w:val="22"/>
          <w:szCs w:val="22"/>
        </w:rPr>
        <w:t xml:space="preserve">orphologic </w:t>
      </w:r>
      <w:r w:rsidR="00EE727F">
        <w:rPr>
          <w:rFonts w:eastAsiaTheme="minorHAnsi"/>
          <w:sz w:val="22"/>
          <w:szCs w:val="22"/>
        </w:rPr>
        <w:t>D</w:t>
      </w:r>
      <w:r w:rsidRPr="00EE727F">
        <w:rPr>
          <w:rFonts w:eastAsiaTheme="minorHAnsi"/>
          <w:sz w:val="22"/>
          <w:szCs w:val="22"/>
        </w:rPr>
        <w:t xml:space="preserve">omain </w:t>
      </w:r>
      <w:r w:rsidR="00EE727F">
        <w:rPr>
          <w:rFonts w:eastAsiaTheme="minorHAnsi"/>
          <w:sz w:val="22"/>
          <w:szCs w:val="22"/>
        </w:rPr>
        <w:t>c</w:t>
      </w:r>
      <w:r w:rsidRPr="00EE727F">
        <w:rPr>
          <w:rFonts w:eastAsiaTheme="minorHAnsi"/>
          <w:sz w:val="22"/>
          <w:szCs w:val="22"/>
        </w:rPr>
        <w:t>riteria.</w:t>
      </w:r>
      <w:bookmarkEnd w:id="3"/>
    </w:p>
    <w:p w14:paraId="00386A5A" w14:textId="52EBCB8C" w:rsidR="005A31B3" w:rsidRPr="00EE727F" w:rsidRDefault="005A31B3" w:rsidP="005A31B3">
      <w:pPr>
        <w:pStyle w:val="Heading3"/>
        <w:rPr>
          <w:rFonts w:eastAsiaTheme="minorHAnsi"/>
          <w:sz w:val="22"/>
          <w:szCs w:val="22"/>
        </w:rPr>
      </w:pPr>
      <w:bookmarkStart w:id="4" w:name="_Toc93925435"/>
      <w:r w:rsidRPr="00EE727F">
        <w:rPr>
          <w:rFonts w:eastAsiaTheme="minorHAnsi"/>
          <w:sz w:val="22"/>
          <w:szCs w:val="22"/>
        </w:rPr>
        <w:t>Definition of N</w:t>
      </w:r>
      <w:r w:rsidR="003B4299" w:rsidRPr="00EE727F">
        <w:rPr>
          <w:rFonts w:eastAsiaTheme="minorHAnsi"/>
          <w:sz w:val="22"/>
          <w:szCs w:val="22"/>
        </w:rPr>
        <w:t>onspecific Interstitial Pneumonia (N</w:t>
      </w:r>
      <w:r w:rsidRPr="00EE727F">
        <w:rPr>
          <w:rFonts w:eastAsiaTheme="minorHAnsi"/>
          <w:sz w:val="22"/>
          <w:szCs w:val="22"/>
        </w:rPr>
        <w:t>SIP</w:t>
      </w:r>
      <w:r w:rsidR="003B4299" w:rsidRPr="00EE727F">
        <w:rPr>
          <w:rFonts w:eastAsiaTheme="minorHAnsi"/>
          <w:sz w:val="22"/>
          <w:szCs w:val="22"/>
        </w:rPr>
        <w:t>)</w:t>
      </w:r>
      <w:r w:rsidRPr="00EE727F">
        <w:rPr>
          <w:rFonts w:eastAsiaTheme="minorHAnsi"/>
          <w:sz w:val="22"/>
          <w:szCs w:val="22"/>
        </w:rPr>
        <w:t xml:space="preserve"> and </w:t>
      </w:r>
      <w:r w:rsidR="003B4299" w:rsidRPr="00EE727F">
        <w:rPr>
          <w:rFonts w:eastAsiaTheme="minorHAnsi"/>
          <w:sz w:val="22"/>
          <w:szCs w:val="22"/>
        </w:rPr>
        <w:t>Organizing Pneumonia (</w:t>
      </w:r>
      <w:r w:rsidRPr="00EE727F">
        <w:rPr>
          <w:rFonts w:eastAsiaTheme="minorHAnsi"/>
          <w:sz w:val="22"/>
          <w:szCs w:val="22"/>
        </w:rPr>
        <w:t>OP</w:t>
      </w:r>
      <w:r w:rsidR="003B4299" w:rsidRPr="00EE727F">
        <w:rPr>
          <w:rFonts w:eastAsiaTheme="minorHAnsi"/>
          <w:sz w:val="22"/>
          <w:szCs w:val="22"/>
        </w:rPr>
        <w:t>)</w:t>
      </w:r>
      <w:r w:rsidRPr="00EE727F">
        <w:rPr>
          <w:rFonts w:eastAsiaTheme="minorHAnsi"/>
          <w:sz w:val="22"/>
          <w:szCs w:val="22"/>
        </w:rPr>
        <w:t xml:space="preserve"> in Patients Classified as IPAF:</w:t>
      </w:r>
      <w:bookmarkEnd w:id="4"/>
    </w:p>
    <w:p w14:paraId="0F54B7CB" w14:textId="71130503" w:rsidR="005A31B3" w:rsidRPr="00EE727F" w:rsidRDefault="005A31B3" w:rsidP="005A31B3">
      <w:pPr>
        <w:pStyle w:val="NoSpacing"/>
        <w:spacing w:line="480" w:lineRule="auto"/>
        <w:rPr>
          <w:rFonts w:ascii="Arial" w:hAnsi="Arial" w:cs="Arial"/>
        </w:rPr>
      </w:pPr>
      <w:r w:rsidRPr="00EE727F">
        <w:rPr>
          <w:rFonts w:ascii="Arial" w:hAnsi="Arial" w:cs="Arial"/>
        </w:rPr>
        <w:t xml:space="preserve">If not explicitly recorded during the </w:t>
      </w:r>
      <w:r w:rsidR="00C14A6B" w:rsidRPr="00EE727F">
        <w:rPr>
          <w:rFonts w:ascii="Arial" w:hAnsi="Arial" w:cs="Arial"/>
        </w:rPr>
        <w:t>Multidisciplinary Discussion (</w:t>
      </w:r>
      <w:r w:rsidR="00AA7AE0" w:rsidRPr="00EE727F">
        <w:rPr>
          <w:rFonts w:ascii="Arial" w:hAnsi="Arial" w:cs="Arial"/>
        </w:rPr>
        <w:t>MDD</w:t>
      </w:r>
      <w:r w:rsidR="00C14A6B" w:rsidRPr="00EE727F">
        <w:rPr>
          <w:rFonts w:ascii="Arial" w:hAnsi="Arial" w:cs="Arial"/>
        </w:rPr>
        <w:t>)</w:t>
      </w:r>
      <w:r w:rsidRPr="00EE727F">
        <w:rPr>
          <w:rFonts w:ascii="Arial" w:hAnsi="Arial" w:cs="Arial"/>
        </w:rPr>
        <w:t xml:space="preserve">, NSIP on </w:t>
      </w:r>
      <w:r w:rsidR="00C14A6B" w:rsidRPr="00EE727F">
        <w:rPr>
          <w:rFonts w:ascii="Arial" w:hAnsi="Arial" w:cs="Arial"/>
        </w:rPr>
        <w:t>high-resolution computed tomography (</w:t>
      </w:r>
      <w:r w:rsidRPr="00EE727F">
        <w:rPr>
          <w:rFonts w:ascii="Arial" w:hAnsi="Arial" w:cs="Arial"/>
        </w:rPr>
        <w:t>HRCT</w:t>
      </w:r>
      <w:r w:rsidR="00C14A6B" w:rsidRPr="00EE727F">
        <w:rPr>
          <w:rFonts w:ascii="Arial" w:hAnsi="Arial" w:cs="Arial"/>
        </w:rPr>
        <w:t>)</w:t>
      </w:r>
      <w:r w:rsidRPr="00EE727F">
        <w:rPr>
          <w:rFonts w:ascii="Arial" w:hAnsi="Arial" w:cs="Arial"/>
        </w:rPr>
        <w:t xml:space="preserve"> in patients classified as IPAF was defined based on the following criteria: </w:t>
      </w:r>
      <w:r w:rsidR="009B0D0E" w:rsidRPr="00EE727F">
        <w:rPr>
          <w:rFonts w:ascii="Arial" w:hAnsi="Arial" w:cs="Arial"/>
        </w:rPr>
        <w:fldChar w:fldCharType="begin" w:fldLock="1"/>
      </w:r>
      <w:r w:rsidR="00E069B9" w:rsidRPr="00EE727F">
        <w:rPr>
          <w:rFonts w:ascii="Arial" w:hAnsi="Arial" w:cs="Arial"/>
        </w:rPr>
        <w:instrText>ADDIN CSL_CITATION {"citationItems":[{"id":"ITEM-1","itemData":{"DOI":"10.1164/rccm.201308-1483ST","ISSN":"1073449X","PMID":"24032382","abstract":"Background: In 2002 the American Thoracic Society/European Respiratory Society (ATS/ERS) classification of idiopathic interstitial pneumonias (IIPs)definedseven specific entities, andprovided standardized terminology anddiagnosticcriteria. Inaddition, thehistorical \"gold standard\" of histologic diagnosiswas replaced by amultidisciplinary approach. Since 2002 many publications have provided newinformation about IIPs. Purpose: The objective of this statement is to update the 2002 ATS/ ERS classification of IIPs. Methods: An international multidisciplinary panel was formed and developed key questions that were addressed through a review of the literature published between 2000 and 2011. Results: Substantial progress has been made in IIPs since the previous classification. Nonspecific interstitial pneumonia is now better defined. Respiratory bronchiolitis-interstitial lung disease is now commonly diagnosed without surgical biopsy. The clinical course of idiopathic pulmonary fibrosis and nonspecific interstitial pneumonia is recognized to be heterogeneous. Acute exacerbation of IIPs is now well defined. A substantial percentage of patients with IIP are difficult to classify, often due to mixed patterns of lung injury. A classification based on observed disease behavior is proposed for patients who are difficult to classify or for entities with heterogeneity in clinical course. A group of rare entities, including pleuroparenchymal fibroelastosis and rare histologic patterns, is introduced. The rapidly evolving field of molecular markers is reviewed with the intent of promoting additional investigations that may help in determining diagnosis, and potentially prognosis and treatment. Conclusions: This update is a supplement to the previous 2002 IIP classification document. It outlines advances in the past decade and potential areas for future investigation. Copyright © 2013 by the American Thoracic Society.","author":[{"dropping-particle":"","family":"Travis","given":"William D.","non-dropping-particle":"","parse-names":false,"suffix":""},{"dropping-particle":"","family":"Costabel","given":"Ulrich","non-dropping-particle":"","parse-names":false,"suffix":""},{"dropping-particle":"","family":"Hansell","given":"David M.","non-dropping-particle":"","parse-names":false,"suffix":""},{"dropping-particle":"","family":"King","given":"Talmadge E.","non-dropping-particle":"","parse-names":false,"suffix":""},{"dropping-particle":"","family":"Lynch","given":"David A.","non-dropping-particle":"","parse-names":false,"suffix":""},{"dropping-particle":"","family":"Nicholson","given":"Andrew G.","non-dropping-particle":"","parse-names":false,"suffix":""},{"dropping-particle":"","family":"Ryerson","given":"Christopher J.","non-dropping-particle":"","parse-names":false,"suffix":""},{"dropping-particle":"","family":"Ryu","given":"Jay H.","non-dropping-particle":"","parse-names":false,"suffix":""},{"dropping-particle":"","family":"Selman","given":"Moisés","non-dropping-particle":"","parse-names":false,"suffix":""},{"dropping-particle":"","family":"Wells","given":"Athol U.","non-dropping-particle":"","parse-names":false,"suffix":""},{"dropping-particle":"","family":"Behr","given":"Jurgen","non-dropping-particle":"","parse-names":false,"suffix":""},{"dropping-particle":"","family":"Bouros","given":"Demosthenes","non-dropping-particle":"","parse-names":false,"suffix":""},{"dropping-particle":"","family":"Brown","given":"Kevin K.","non-dropping-particle":"","parse-names":false,"suffix":""},{"dropping-particle":"V.","family":"Colby","given":"Thomas","non-dropping-particle":"","parse-names":false,"suffix":""},{"dropping-particle":"","family":"Collard","given":"Harold R.","non-dropping-particle":"","parse-names":false,"suffix":""},{"dropping-particle":"","family":"Cordeiro","given":"Carlos Robalo","non-dropping-particle":"","parse-names":false,"suffix":""},{"dropping-particle":"","family":"Cottin","given":"Vincent","non-dropping-particle":"","parse-names":false,"suffix":""},{"dropping-particle":"","family":"Crestani","given":"Bruno","non-dropping-particle":"","parse-names":false,"suffix":""},{"dropping-particle":"","family":"Drent","given":"Marjolein","non-dropping-particle":"","parse-names":false,"suffix":""},{"dropping-particle":"","family":"Dudden","given":"Rosalind F.","non-dropping-particle":"","parse-names":false,"suffix":""},{"dropping-particle":"","family":"Egan","given":"Jim","non-dropping-particle":"","parse-names":false,"suffix":""},{"dropping-particle":"","family":"Flaherty","given":"Kevin","non-dropping-particle":"","parse-names":false,"suffix":""},{"dropping-particle":"","family":"Hogaboam","given":"Cory","non-dropping-particle":"","parse-names":false,"suffix":""},{"dropping-particle":"","family":"Inoue","given":"Yoshikazu","non-dropping-particle":"","parse-names":false,"suffix":""},{"dropping-particle":"","family":"Johkoh","given":"Takeshi","non-dropping-particle":"","parse-names":false,"suffix":""},{"dropping-particle":"","family":"Kim","given":"Dong Soon","non-dropping-particle":"","parse-names":false,"suffix":""},{"dropping-particle":"","family":"Kitaichi","given":"Masanori","non-dropping-particle":"","parse-names":false,"suffix":""},{"dropping-particle":"","family":"Loyd","given":"James","non-dropping-particle":"","parse-names":false,"suffix":""},{"dropping-particle":"","family":"Martinez","given":"Fernando J.","non-dropping-particle":"","parse-names":false,"suffix":""},{"dropping-particle":"","family":"Myers","given":"Jeffrey","non-dropping-particle":"","parse-names":false,"suffix":""},{"dropping-particle":"","family":"Protzko","given":"Shandra","non-dropping-particle":"","parse-names":false,"suffix":""},{"dropping-particle":"","family":"Raghu","given":"Ganesh","non-dropping-particle":"","parse-names":false,"suffix":""},{"dropping-particle":"","family":"Richeldi","given":"Luca","non-dropping-particle":"","parse-names":false,"suffix":""},{"dropping-particle":"","family":"Sverzellati","given":"Nicola","non-dropping-particle":"","parse-names":false,"suffix":""},{"dropping-particle":"","family":"Swigris","given":"Jeffrey","non-dropping-particle":"","parse-names":false,"suffix":""},{"dropping-particle":"","family":"Valeyre","given":"Dominique","non-dropping-particle":"","parse-names":false,"suffix":""}],"container-title":"American Journal of Respiratory and Critical Care Medicine","id":"ITEM-1","issue":"6","issued":{"date-parts":[["2013"]]},"page":"733-748","title":"An official American Thoracic Society/European Respiratory Society statement: Update of the international multidisciplinary classification of the idiopathic interstitial pneumonias","type":"article-journal","volume":"188"},"uris":["http://www.mendeley.com/documents/?uuid=fd594822-a9a6-45ef-a4bb-006a7584cdb8"]},{"id":"ITEM-2","itemData":{"DOI":"10.1164/rccm.200611-1685OC","ISSN":"1073449X","PMID":"18388353","abstract":"Rationale: The 2002American Thoracic Society/European Respiratory Society classification of idiopathic interstitial pneumonias identified nonspecific interstitial pneumonia (NSIP) as a provisional diagnosis. Concern was expressed that NSIP was a \"wastebasket\" category, difficult to distinguish fromother idiopathic interstitial pneumonias. Objectives: The following questions were addressed: (1) Is idiopathic NSIP a distinct entity? 2) If so, what are its clinical, radiologic and pathologic characteristics? (3)What is the role of radiology and pathology in establishing the diagnosis? (4) To make a diagnosis of idiopathic NSIP, what other disorders need to be excluded and how should this be done? Methods: Investigators who had previously reported cases of idiopathic NSIP were invited to submit cases for review (n = 305). After initial review, cases with complete clinical, radiologic, and pathologic information (n = 193) were reviewed in a series of workshops. Measurements and Main Results: Sixty-seven cases were identified as NSIP. Mean age was 52 years, 67% were women, 69% were never-smokers, and 46% were from Asian countries. The most common symptoms were dyspnea (96%) and cough (87%); 69% had restriction. By high-resolution computed tomography, the lower lung zones were predominantly involved in 92% of cases; 46% had a peripheral distribution; 47% were diffuse. Most showed a reticular pattern (87%) with traction bronchiectasis (82%) and volume loss (77%). Lung biopsies showed uniform thickening of alveolar walls with a spectrum of cellular to fibrosing patterns. Five-year survival was 82.3%. Conclusions: Idiopathic NSIP is a distinct clinical entity that occurs mostly in middle-aged women who are never-smokers. The prognosis of NSIP is very good.","author":[{"dropping-particle":"","family":"Travis","given":"William D.","non-dropping-particle":"","parse-names":false,"suffix":""},{"dropping-particle":"","family":"Hunninghake","given":"Gary","non-dropping-particle":"","parse-names":false,"suffix":""},{"dropping-particle":"","family":"King","given":"Talmadge E.","non-dropping-particle":"","parse-names":false,"suffix":""},{"dropping-particle":"","family":"Lynch","given":"David A.","non-dropping-particle":"","parse-names":false,"suffix":""},{"dropping-particle":"V.","family":"Colby","given":"Thomas","non-dropping-particle":"","parse-names":false,"suffix":""},{"dropping-particle":"","family":"Galvin","given":"Jeffrey R.","non-dropping-particle":"","parse-names":false,"suffix":""},{"dropping-particle":"","family":"Brown","given":"Kevin K.","non-dropping-particle":"","parse-names":false,"suffix":""},{"dropping-particle":"","family":"Man","given":"Pyo Chung","non-dropping-particle":"","parse-names":false,"suffix":""},{"dropping-particle":"","family":"Cordier","given":"Jean Francxois","non-dropping-particle":"","parse-names":false,"suffix":""},{"dropping-particle":"","family":"Bois","given":"Roland M.","non-dropping-particle":"Du","parse-names":false,"suffix":""},{"dropping-particle":"","family":"Flaherty","given":"Kevin R.","non-dropping-particle":"","parse-names":false,"suffix":""},{"dropping-particle":"","family":"Franks","given":"Teri J.","non-dropping-particle":"","parse-names":false,"suffix":""},{"dropping-particle":"","family":"Hansell","given":"David M.","non-dropping-particle":"","parse-names":false,"suffix":""},{"dropping-particle":"","family":"Hartman","given":"Thomas E.","non-dropping-particle":"","parse-names":false,"suffix":""},{"dropping-particle":"","family":"Kazerooni","given":"Ella A.","non-dropping-particle":"","parse-names":false,"suffix":""},{"dropping-particle":"","family":"Dong","given":"Soon Kim","non-dropping-particle":"","parse-names":false,"suffix":""},{"dropping-particle":"","family":"Kitaichi","given":"Masanori","non-dropping-particle":"","parse-names":false,"suffix":""},{"dropping-particle":"","family":"Koyama","given":"Takashi","non-dropping-particle":"","parse-names":false,"suffix":""},{"dropping-particle":"","family":"Martinez","given":"Fernando J.","non-dropping-particle":"","parse-names":false,"suffix":""},{"dropping-particle":"","family":"Nagai","given":"Sonoko","non-dropping-particle":"","parse-names":false,"suffix":""},{"dropping-particle":"","family":"Midthun","given":"David E.","non-dropping-particle":"","parse-names":false,"suffix":""},{"dropping-particle":"","family":"Müller","given":"Nestor L.","non-dropping-particle":"","parse-names":false,"suffix":""},{"dropping-particle":"","family":"Nicholson","given":"Andrew G.","non-dropping-particle":"","parse-names":false,"suffix":""},{"dropping-particle":"","family":"Raghu","given":"Ganesh","non-dropping-particle":"","parse-names":false,"suffix":""},{"dropping-particle":"","family":"Selman","given":"Moisés","non-dropping-particle":"","parse-names":false,"suffix":""},{"dropping-particle":"","family":"Wells","given":"Athol","non-dropping-particle":"","parse-names":false,"suffix":""}],"container-title":"American Journal of Respiratory and Critical Care Medicine","id":"ITEM-2","issue":"12","issued":{"date-parts":[["2008"]]},"page":"1338-1347","title":"Idiopathic nonspecific interstitial pneumonia: Report of an American Thoracic Society Project","type":"article-journal","volume":"177"},"uris":["http://www.mendeley.com/documents/?uuid=bccf29a9-1e3b-42aa-90af-85fd0487d608"]},{"id":"ITEM-3","itemData":{"author":[{"dropping-particle":"","family":"Sverzellati","given":"Nicola","non-dropping-particle":"","parse-names":false,"suffix":""},{"dropping-particle":"","family":"Lynch","given":"David A.","non-dropping-particle":"","parse-names":false,"suffix":""},{"dropping-particle":"","family":"Hansell","given":"David M.","non-dropping-particle":"","parse-names":false,"suffix":""},{"dropping-particle":"","family":"Johkoh","given":"Takeshi","non-dropping-particle":"","parse-names":false,"suffix":""},{"dropping-particle":"","family":"King","given":"Talmadge E.","non-dropping-particle":"","parse-names":false,"suffix":""},{"dropping-particle":"","family":"Travis","given":"William D.","non-dropping-particle":"","parse-names":false,"suffix":""}],"container-title":"Radiographics","id":"ITEM-3","issue":"2","issued":{"date-parts":[["2015"]]},"page":"1849-1872","title":"American Thoracic Society-European Respiratory Society Classification of the Idiopathic Interstitial Pneumonias: Advances in Knowledge since 2002","type":"article-journal","volume":"35"},"uris":["http://www.mendeley.com/documents/?uuid=c8f2a7cb-2329-452e-9e17-eb5ba4f076ca"]}],"mendeley":{"formattedCitation":"&lt;span style=\"baseline\"&gt;[2–4]&lt;/span&gt;","plainTextFormattedCitation":"[2–4]","previouslyFormattedCitation":"&lt;span style=\"baseline\"&gt;[1–3]&lt;/span&gt;"},"properties":{"noteIndex":0},"schema":"https://github.com/citation-style-language/schema/raw/master/csl-citation.json"}</w:instrText>
      </w:r>
      <w:r w:rsidR="009B0D0E" w:rsidRPr="00EE727F">
        <w:rPr>
          <w:rFonts w:ascii="Arial" w:hAnsi="Arial" w:cs="Arial"/>
        </w:rPr>
        <w:fldChar w:fldCharType="separate"/>
      </w:r>
      <w:r w:rsidR="00E069B9" w:rsidRPr="00EE727F">
        <w:rPr>
          <w:rFonts w:ascii="Arial" w:hAnsi="Arial" w:cs="Arial"/>
          <w:noProof/>
        </w:rPr>
        <w:t>[2–4]</w:t>
      </w:r>
      <w:r w:rsidR="009B0D0E" w:rsidRPr="00EE727F">
        <w:rPr>
          <w:rFonts w:ascii="Arial" w:hAnsi="Arial" w:cs="Arial"/>
        </w:rPr>
        <w:fldChar w:fldCharType="end"/>
      </w:r>
    </w:p>
    <w:p w14:paraId="401BA9F5" w14:textId="5008954E" w:rsidR="005A31B3" w:rsidRPr="00EE727F" w:rsidRDefault="005A31B3" w:rsidP="005A31B3">
      <w:pPr>
        <w:pStyle w:val="NoSpacing"/>
        <w:numPr>
          <w:ilvl w:val="0"/>
          <w:numId w:val="1"/>
        </w:numPr>
        <w:spacing w:line="480" w:lineRule="auto"/>
        <w:rPr>
          <w:rFonts w:ascii="Arial" w:hAnsi="Arial" w:cs="Arial"/>
        </w:rPr>
      </w:pPr>
      <w:r w:rsidRPr="00EE727F">
        <w:rPr>
          <w:rFonts w:ascii="Arial" w:hAnsi="Arial" w:cs="Arial"/>
        </w:rPr>
        <w:t>The absence of “definite</w:t>
      </w:r>
      <w:r w:rsidR="00C14A6B" w:rsidRPr="00EE727F">
        <w:rPr>
          <w:rFonts w:ascii="Arial" w:hAnsi="Arial" w:cs="Arial"/>
        </w:rPr>
        <w:t xml:space="preserve"> usual interstitial pneumonia</w:t>
      </w:r>
      <w:r w:rsidRPr="00EE727F">
        <w:rPr>
          <w:rFonts w:ascii="Arial" w:hAnsi="Arial" w:cs="Arial"/>
        </w:rPr>
        <w:t xml:space="preserve"> </w:t>
      </w:r>
      <w:r w:rsidR="00C14A6B" w:rsidRPr="00EE727F">
        <w:rPr>
          <w:rFonts w:ascii="Arial" w:hAnsi="Arial" w:cs="Arial"/>
        </w:rPr>
        <w:t>(</w:t>
      </w:r>
      <w:r w:rsidRPr="00EE727F">
        <w:rPr>
          <w:rFonts w:ascii="Arial" w:hAnsi="Arial" w:cs="Arial"/>
        </w:rPr>
        <w:t>UIP</w:t>
      </w:r>
      <w:r w:rsidR="00C14A6B" w:rsidRPr="00EE727F">
        <w:rPr>
          <w:rFonts w:ascii="Arial" w:hAnsi="Arial" w:cs="Arial"/>
        </w:rPr>
        <w:t>)</w:t>
      </w:r>
      <w:r w:rsidRPr="00EE727F">
        <w:rPr>
          <w:rFonts w:ascii="Arial" w:hAnsi="Arial" w:cs="Arial"/>
        </w:rPr>
        <w:t xml:space="preserve">” per the MDD, </w:t>
      </w:r>
      <w:r w:rsidRPr="00EE727F">
        <w:rPr>
          <w:rFonts w:ascii="Arial" w:hAnsi="Arial" w:cs="Arial"/>
          <w:i/>
          <w:iCs/>
        </w:rPr>
        <w:t>and</w:t>
      </w:r>
      <w:r w:rsidRPr="00EE727F">
        <w:rPr>
          <w:rFonts w:ascii="Arial" w:hAnsi="Arial" w:cs="Arial"/>
        </w:rPr>
        <w:t xml:space="preserve"> </w:t>
      </w:r>
    </w:p>
    <w:p w14:paraId="00540198" w14:textId="77777777" w:rsidR="005A31B3" w:rsidRPr="00EE727F" w:rsidRDefault="005A31B3" w:rsidP="005A31B3">
      <w:pPr>
        <w:pStyle w:val="NoSpacing"/>
        <w:numPr>
          <w:ilvl w:val="0"/>
          <w:numId w:val="1"/>
        </w:numPr>
        <w:spacing w:line="480" w:lineRule="auto"/>
        <w:rPr>
          <w:rFonts w:ascii="Arial" w:hAnsi="Arial" w:cs="Arial"/>
        </w:rPr>
      </w:pPr>
      <w:r w:rsidRPr="00EE727F">
        <w:rPr>
          <w:rFonts w:ascii="Arial" w:hAnsi="Arial" w:cs="Arial"/>
        </w:rPr>
        <w:t xml:space="preserve">MDD radiographic description indicates symmetric, basilar-predominant reticulation and/or basilar-predominant ground glass opacities, </w:t>
      </w:r>
      <w:r w:rsidRPr="00EE727F">
        <w:rPr>
          <w:rFonts w:ascii="Arial" w:hAnsi="Arial" w:cs="Arial"/>
          <w:i/>
          <w:iCs/>
        </w:rPr>
        <w:t>and</w:t>
      </w:r>
      <w:r w:rsidRPr="00EE727F">
        <w:rPr>
          <w:rFonts w:ascii="Arial" w:hAnsi="Arial" w:cs="Arial"/>
        </w:rPr>
        <w:t xml:space="preserve"> </w:t>
      </w:r>
    </w:p>
    <w:p w14:paraId="31CDC4E4" w14:textId="77777777" w:rsidR="005A31B3" w:rsidRPr="00EE727F" w:rsidRDefault="005A31B3" w:rsidP="005A31B3">
      <w:pPr>
        <w:pStyle w:val="NoSpacing"/>
        <w:numPr>
          <w:ilvl w:val="0"/>
          <w:numId w:val="1"/>
        </w:numPr>
        <w:spacing w:line="480" w:lineRule="auto"/>
        <w:rPr>
          <w:rFonts w:ascii="Arial" w:hAnsi="Arial" w:cs="Arial"/>
        </w:rPr>
      </w:pPr>
      <w:r w:rsidRPr="00EE727F">
        <w:rPr>
          <w:rFonts w:ascii="Arial" w:hAnsi="Arial" w:cs="Arial"/>
        </w:rPr>
        <w:t xml:space="preserve">The absence of consolidation, </w:t>
      </w:r>
      <w:r w:rsidRPr="00EE727F">
        <w:rPr>
          <w:rFonts w:ascii="Arial" w:hAnsi="Arial" w:cs="Arial"/>
          <w:i/>
          <w:iCs/>
        </w:rPr>
        <w:t>and</w:t>
      </w:r>
    </w:p>
    <w:p w14:paraId="3E0719CC" w14:textId="647AEEBE" w:rsidR="005A31B3" w:rsidRPr="00EE727F" w:rsidRDefault="005A31B3" w:rsidP="005A31B3">
      <w:pPr>
        <w:pStyle w:val="NoSpacing"/>
        <w:numPr>
          <w:ilvl w:val="0"/>
          <w:numId w:val="1"/>
        </w:numPr>
        <w:spacing w:line="480" w:lineRule="auto"/>
        <w:rPr>
          <w:rFonts w:ascii="Arial" w:hAnsi="Arial" w:cs="Arial"/>
        </w:rPr>
      </w:pPr>
      <w:r w:rsidRPr="00EE727F">
        <w:rPr>
          <w:rFonts w:ascii="Arial" w:hAnsi="Arial" w:cs="Arial"/>
        </w:rPr>
        <w:t xml:space="preserve">Findings are persistent (sustained over the course of at least two sequential </w:t>
      </w:r>
      <w:r w:rsidR="00C14A6B" w:rsidRPr="00EE727F">
        <w:rPr>
          <w:rFonts w:ascii="Arial" w:hAnsi="Arial" w:cs="Arial"/>
        </w:rPr>
        <w:t>computed tomography (</w:t>
      </w:r>
      <w:r w:rsidRPr="00EE727F">
        <w:rPr>
          <w:rFonts w:ascii="Arial" w:hAnsi="Arial" w:cs="Arial"/>
        </w:rPr>
        <w:t>CT</w:t>
      </w:r>
      <w:r w:rsidR="00C14A6B" w:rsidRPr="00EE727F">
        <w:rPr>
          <w:rFonts w:ascii="Arial" w:hAnsi="Arial" w:cs="Arial"/>
        </w:rPr>
        <w:t>)</w:t>
      </w:r>
      <w:r w:rsidRPr="00EE727F">
        <w:rPr>
          <w:rFonts w:ascii="Arial" w:hAnsi="Arial" w:cs="Arial"/>
        </w:rPr>
        <w:t xml:space="preserve"> images) and idiopathic (e.g., not attributable to aspiration, infection, pulmonary edema, medication use, or other identifiable causes), </w:t>
      </w:r>
      <w:r w:rsidRPr="00EE727F">
        <w:rPr>
          <w:rFonts w:ascii="Arial" w:hAnsi="Arial" w:cs="Arial"/>
          <w:i/>
          <w:iCs/>
        </w:rPr>
        <w:t>and</w:t>
      </w:r>
    </w:p>
    <w:p w14:paraId="31758D76" w14:textId="77777777" w:rsidR="005A31B3" w:rsidRPr="00EE727F" w:rsidRDefault="005A31B3" w:rsidP="005A31B3">
      <w:pPr>
        <w:pStyle w:val="NoSpacing"/>
        <w:numPr>
          <w:ilvl w:val="0"/>
          <w:numId w:val="1"/>
        </w:numPr>
        <w:spacing w:line="480" w:lineRule="auto"/>
        <w:rPr>
          <w:rFonts w:ascii="Arial" w:hAnsi="Arial" w:cs="Arial"/>
        </w:rPr>
      </w:pPr>
      <w:r w:rsidRPr="00EE727F">
        <w:rPr>
          <w:rFonts w:ascii="Arial" w:hAnsi="Arial" w:cs="Arial"/>
        </w:rPr>
        <w:t>The treating pulmonologist and/or treating radiologist indicate possible NSIP</w:t>
      </w:r>
    </w:p>
    <w:p w14:paraId="05C0C65B" w14:textId="77777777" w:rsidR="005A31B3" w:rsidRPr="00EE727F" w:rsidRDefault="005A31B3" w:rsidP="005A31B3">
      <w:pPr>
        <w:pStyle w:val="NoSpacing"/>
        <w:spacing w:line="480" w:lineRule="auto"/>
        <w:rPr>
          <w:rFonts w:ascii="Arial" w:hAnsi="Arial" w:cs="Arial"/>
        </w:rPr>
      </w:pPr>
    </w:p>
    <w:p w14:paraId="4F864668" w14:textId="37C04460" w:rsidR="005A31B3" w:rsidRPr="00EE727F" w:rsidRDefault="005A31B3" w:rsidP="005A31B3">
      <w:pPr>
        <w:pStyle w:val="NoSpacing"/>
        <w:spacing w:line="480" w:lineRule="auto"/>
        <w:rPr>
          <w:rFonts w:ascii="Arial" w:hAnsi="Arial" w:cs="Arial"/>
        </w:rPr>
      </w:pPr>
      <w:r w:rsidRPr="00EE727F">
        <w:rPr>
          <w:rFonts w:ascii="Arial" w:hAnsi="Arial" w:cs="Arial"/>
        </w:rPr>
        <w:t xml:space="preserve">If not explicitly recorded during the MDD, OP on HRCT in patients classified as IPAF was defined based on the following criteria: </w:t>
      </w:r>
      <w:r w:rsidR="009B0D0E" w:rsidRPr="00EE727F">
        <w:rPr>
          <w:rFonts w:ascii="Arial" w:hAnsi="Arial" w:cs="Arial"/>
        </w:rPr>
        <w:fldChar w:fldCharType="begin" w:fldLock="1"/>
      </w:r>
      <w:r w:rsidR="00E069B9" w:rsidRPr="00EE727F">
        <w:rPr>
          <w:rFonts w:ascii="Arial" w:hAnsi="Arial" w:cs="Arial"/>
        </w:rPr>
        <w:instrText>ADDIN CSL_CITATION {"citationItems":[{"id":"ITEM-1","itemData":{"DOI":"10.1164/rccm.201308-1483ST","ISSN":"1073449X","PMID":"24032382","abstract":"Background: In 2002 the American Thoracic Society/European Respiratory Society (ATS/ERS) classification of idiopathic interstitial pneumonias (IIPs)definedseven specific entities, andprovided standardized terminology anddiagnosticcriteria. Inaddition, thehistorical \"gold standard\" of histologic diagnosiswas replaced by amultidisciplinary approach. Since 2002 many publications have provided newinformation about IIPs. Purpose: The objective of this statement is to update the 2002 ATS/ ERS classification of IIPs. Methods: An international multidisciplinary panel was formed and developed key questions that were addressed through a review of the literature published between 2000 and 2011. Results: Substantial progress has been made in IIPs since the previous classification. Nonspecific interstitial pneumonia is now better defined. Respiratory bronchiolitis-interstitial lung disease is now commonly diagnosed without surgical biopsy. The clinical course of idiopathic pulmonary fibrosis and nonspecific interstitial pneumonia is recognized to be heterogeneous. Acute exacerbation of IIPs is now well defined. A substantial percentage of patients with IIP are difficult to classify, often due to mixed patterns of lung injury. A classification based on observed disease behavior is proposed for patients who are difficult to classify or for entities with heterogeneity in clinical course. A group of rare entities, including pleuroparenchymal fibroelastosis and rare histologic patterns, is introduced. The rapidly evolving field of molecular markers is reviewed with the intent of promoting additional investigations that may help in determining diagnosis, and potentially prognosis and treatment. Conclusions: This update is a supplement to the previous 2002 IIP classification document. It outlines advances in the past decade and potential areas for future investigation. Copyright © 2013 by the American Thoracic Society.","author":[{"dropping-particle":"","family":"Travis","given":"William D.","non-dropping-particle":"","parse-names":false,"suffix":""},{"dropping-particle":"","family":"Costabel","given":"Ulrich","non-dropping-particle":"","parse-names":false,"suffix":""},{"dropping-particle":"","family":"Hansell","given":"David M.","non-dropping-particle":"","parse-names":false,"suffix":""},{"dropping-particle":"","family":"King","given":"Talmadge E.","non-dropping-particle":"","parse-names":false,"suffix":""},{"dropping-particle":"","family":"Lynch","given":"David A.","non-dropping-particle":"","parse-names":false,"suffix":""},{"dropping-particle":"","family":"Nicholson","given":"Andrew G.","non-dropping-particle":"","parse-names":false,"suffix":""},{"dropping-particle":"","family":"Ryerson","given":"Christopher J.","non-dropping-particle":"","parse-names":false,"suffix":""},{"dropping-particle":"","family":"Ryu","given":"Jay H.","non-dropping-particle":"","parse-names":false,"suffix":""},{"dropping-particle":"","family":"Selman","given":"Moisés","non-dropping-particle":"","parse-names":false,"suffix":""},{"dropping-particle":"","family":"Wells","given":"Athol U.","non-dropping-particle":"","parse-names":false,"suffix":""},{"dropping-particle":"","family":"Behr","given":"Jurgen","non-dropping-particle":"","parse-names":false,"suffix":""},{"dropping-particle":"","family":"Bouros","given":"Demosthenes","non-dropping-particle":"","parse-names":false,"suffix":""},{"dropping-particle":"","family":"Brown","given":"Kevin K.","non-dropping-particle":"","parse-names":false,"suffix":""},{"dropping-particle":"V.","family":"Colby","given":"Thomas","non-dropping-particle":"","parse-names":false,"suffix":""},{"dropping-particle":"","family":"Collard","given":"Harold R.","non-dropping-particle":"","parse-names":false,"suffix":""},{"dropping-particle":"","family":"Cordeiro","given":"Carlos Robalo","non-dropping-particle":"","parse-names":false,"suffix":""},{"dropping-particle":"","family":"Cottin","given":"Vincent","non-dropping-particle":"","parse-names":false,"suffix":""},{"dropping-particle":"","family":"Crestani","given":"Bruno","non-dropping-particle":"","parse-names":false,"suffix":""},{"dropping-particle":"","family":"Drent","given":"Marjolein","non-dropping-particle":"","parse-names":false,"suffix":""},{"dropping-particle":"","family":"Dudden","given":"Rosalind F.","non-dropping-particle":"","parse-names":false,"suffix":""},{"dropping-particle":"","family":"Egan","given":"Jim","non-dropping-particle":"","parse-names":false,"suffix":""},{"dropping-particle":"","family":"Flaherty","given":"Kevin","non-dropping-particle":"","parse-names":false,"suffix":""},{"dropping-particle":"","family":"Hogaboam","given":"Cory","non-dropping-particle":"","parse-names":false,"suffix":""},{"dropping-particle":"","family":"Inoue","given":"Yoshikazu","non-dropping-particle":"","parse-names":false,"suffix":""},{"dropping-particle":"","family":"Johkoh","given":"Takeshi","non-dropping-particle":"","parse-names":false,"suffix":""},{"dropping-particle":"","family":"Kim","given":"Dong Soon","non-dropping-particle":"","parse-names":false,"suffix":""},{"dropping-particle":"","family":"Kitaichi","given":"Masanori","non-dropping-particle":"","parse-names":false,"suffix":""},{"dropping-particle":"","family":"Loyd","given":"James","non-dropping-particle":"","parse-names":false,"suffix":""},{"dropping-particle":"","family":"Martinez","given":"Fernando J.","non-dropping-particle":"","parse-names":false,"suffix":""},{"dropping-particle":"","family":"Myers","given":"Jeffrey","non-dropping-particle":"","parse-names":false,"suffix":""},{"dropping-particle":"","family":"Protzko","given":"Shandra","non-dropping-particle":"","parse-names":false,"suffix":""},{"dropping-particle":"","family":"Raghu","given":"Ganesh","non-dropping-particle":"","parse-names":false,"suffix":""},{"dropping-particle":"","family":"Richeldi","given":"Luca","non-dropping-particle":"","parse-names":false,"suffix":""},{"dropping-particle":"","family":"Sverzellati","given":"Nicola","non-dropping-particle":"","parse-names":false,"suffix":""},{"dropping-particle":"","family":"Swigris","given":"Jeffrey","non-dropping-particle":"","parse-names":false,"suffix":""},{"dropping-particle":"","family":"Valeyre","given":"Dominique","non-dropping-particle":"","parse-names":false,"suffix":""}],"container-title":"American Journal of Respiratory and Critical Care Medicine","id":"ITEM-1","issue":"6","issued":{"date-parts":[["2013"]]},"page":"733-748","title":"An official American Thoracic Society/European Respiratory Society statement: Update of the international multidisciplinary classification of the idiopathic interstitial pneumonias","type":"article-journal","volume":"188"},"uris":["http://www.mendeley.com/documents/?uuid=fd594822-a9a6-45ef-a4bb-006a7584cdb8"]},{"id":"ITEM-2","itemData":{"author":[{"dropping-particle":"","family":"Sverzellati","given":"Nicola","non-dropping-particle":"","parse-names":false,"suffix":""},{"dropping-particle":"","family":"Lynch","given":"David A.","non-dropping-particle":"","parse-names":false,"suffix":""},{"dropping-particle":"","family":"Hansell","given":"David M.","non-dropping-particle":"","parse-names":false,"suffix":""},{"dropping-particle":"","family":"Johkoh","given":"Takeshi","non-dropping-particle":"","parse-names":false,"suffix":""},{"dropping-particle":"","family":"King","given":"Talmadge E.","non-dropping-particle":"","parse-names":false,"suffix":""},{"dropping-particle":"","family":"Travis","given":"William D.","non-dropping-particle":"","parse-names":false,"suffix":""}],"container-title":"Radiographics","id":"ITEM-2","issue":"2","issued":{"date-parts":[["2015"]]},"page":"1849-1872","title":"American Thoracic Society-European Respiratory Society Classification of the Idiopathic Interstitial Pneumonias: Advances in Knowledge since 2002","type":"article-journal","volume":"35"},"uris":["http://www.mendeley.com/documents/?uuid=c8f2a7cb-2329-452e-9e17-eb5ba4f076ca"]}],"mendeley":{"formattedCitation":"&lt;span style=\"baseline\"&gt;[2,4]&lt;/span&gt;","plainTextFormattedCitation":"[2,4]","previouslyFormattedCitation":"&lt;span style=\"baseline\"&gt;[1,3]&lt;/span&gt;"},"properties":{"noteIndex":0},"schema":"https://github.com/citation-style-language/schema/raw/master/csl-citation.json"}</w:instrText>
      </w:r>
      <w:r w:rsidR="009B0D0E" w:rsidRPr="00EE727F">
        <w:rPr>
          <w:rFonts w:ascii="Arial" w:hAnsi="Arial" w:cs="Arial"/>
        </w:rPr>
        <w:fldChar w:fldCharType="separate"/>
      </w:r>
      <w:r w:rsidR="00E069B9" w:rsidRPr="00EE727F">
        <w:rPr>
          <w:rFonts w:ascii="Arial" w:hAnsi="Arial" w:cs="Arial"/>
          <w:noProof/>
        </w:rPr>
        <w:t>[2,4]</w:t>
      </w:r>
      <w:r w:rsidR="009B0D0E" w:rsidRPr="00EE727F">
        <w:rPr>
          <w:rFonts w:ascii="Arial" w:hAnsi="Arial" w:cs="Arial"/>
        </w:rPr>
        <w:fldChar w:fldCharType="end"/>
      </w:r>
    </w:p>
    <w:p w14:paraId="6D47EA35" w14:textId="77777777" w:rsidR="005A31B3" w:rsidRPr="00EE727F" w:rsidRDefault="005A31B3" w:rsidP="005A31B3">
      <w:pPr>
        <w:pStyle w:val="NoSpacing"/>
        <w:numPr>
          <w:ilvl w:val="0"/>
          <w:numId w:val="2"/>
        </w:numPr>
        <w:spacing w:line="480" w:lineRule="auto"/>
        <w:rPr>
          <w:rFonts w:ascii="Arial" w:hAnsi="Arial" w:cs="Arial"/>
        </w:rPr>
      </w:pPr>
      <w:r w:rsidRPr="00EE727F">
        <w:rPr>
          <w:rFonts w:ascii="Arial" w:hAnsi="Arial" w:cs="Arial"/>
        </w:rPr>
        <w:t xml:space="preserve">The absence of “definite” UIP per the MDD </w:t>
      </w:r>
      <w:r w:rsidRPr="00EE727F">
        <w:rPr>
          <w:rFonts w:ascii="Arial" w:hAnsi="Arial" w:cs="Arial"/>
          <w:i/>
          <w:iCs/>
        </w:rPr>
        <w:t>and</w:t>
      </w:r>
      <w:r w:rsidRPr="00EE727F">
        <w:rPr>
          <w:rFonts w:ascii="Arial" w:hAnsi="Arial" w:cs="Arial"/>
        </w:rPr>
        <w:t xml:space="preserve"> </w:t>
      </w:r>
    </w:p>
    <w:p w14:paraId="7AF0D8B4" w14:textId="77777777" w:rsidR="005A31B3" w:rsidRPr="00EE727F" w:rsidRDefault="005A31B3" w:rsidP="005A31B3">
      <w:pPr>
        <w:pStyle w:val="NoSpacing"/>
        <w:numPr>
          <w:ilvl w:val="0"/>
          <w:numId w:val="2"/>
        </w:numPr>
        <w:spacing w:line="480" w:lineRule="auto"/>
        <w:rPr>
          <w:rFonts w:ascii="Arial" w:hAnsi="Arial" w:cs="Arial"/>
        </w:rPr>
      </w:pPr>
      <w:r w:rsidRPr="00EE727F">
        <w:rPr>
          <w:rFonts w:ascii="Arial" w:hAnsi="Arial" w:cs="Arial"/>
        </w:rPr>
        <w:t xml:space="preserve">MDD radiographic description indicates the presence of ground glass opacities, </w:t>
      </w:r>
      <w:r w:rsidRPr="00EE727F">
        <w:rPr>
          <w:rFonts w:ascii="Arial" w:hAnsi="Arial" w:cs="Arial"/>
          <w:i/>
          <w:iCs/>
        </w:rPr>
        <w:t>and</w:t>
      </w:r>
      <w:r w:rsidRPr="00EE727F">
        <w:rPr>
          <w:rFonts w:ascii="Arial" w:hAnsi="Arial" w:cs="Arial"/>
        </w:rPr>
        <w:t xml:space="preserve"> </w:t>
      </w:r>
    </w:p>
    <w:p w14:paraId="04B66F80" w14:textId="77777777" w:rsidR="005A31B3" w:rsidRPr="00EE727F" w:rsidRDefault="005A31B3" w:rsidP="005A31B3">
      <w:pPr>
        <w:pStyle w:val="NoSpacing"/>
        <w:numPr>
          <w:ilvl w:val="0"/>
          <w:numId w:val="2"/>
        </w:numPr>
        <w:spacing w:line="480" w:lineRule="auto"/>
        <w:rPr>
          <w:rFonts w:ascii="Arial" w:hAnsi="Arial" w:cs="Arial"/>
        </w:rPr>
      </w:pPr>
      <w:r w:rsidRPr="00EE727F">
        <w:rPr>
          <w:rFonts w:ascii="Arial" w:hAnsi="Arial" w:cs="Arial"/>
        </w:rPr>
        <w:t xml:space="preserve">The presence of consolidation, </w:t>
      </w:r>
      <w:r w:rsidRPr="00EE727F">
        <w:rPr>
          <w:rFonts w:ascii="Arial" w:hAnsi="Arial" w:cs="Arial"/>
          <w:i/>
          <w:iCs/>
        </w:rPr>
        <w:t>and</w:t>
      </w:r>
    </w:p>
    <w:p w14:paraId="65E02996" w14:textId="77777777" w:rsidR="005A31B3" w:rsidRPr="00EE727F" w:rsidRDefault="005A31B3" w:rsidP="005A31B3">
      <w:pPr>
        <w:pStyle w:val="NoSpacing"/>
        <w:numPr>
          <w:ilvl w:val="0"/>
          <w:numId w:val="2"/>
        </w:numPr>
        <w:spacing w:line="480" w:lineRule="auto"/>
        <w:rPr>
          <w:rFonts w:ascii="Arial" w:hAnsi="Arial" w:cs="Arial"/>
        </w:rPr>
      </w:pPr>
      <w:r w:rsidRPr="00EE727F">
        <w:rPr>
          <w:rFonts w:ascii="Arial" w:hAnsi="Arial" w:cs="Arial"/>
        </w:rPr>
        <w:t xml:space="preserve">Findings are persistent (sustained over the course of at least two sequential CT images) and idiopathic (e.g., not attributable to aspiration, infection, pulmonary edema, medication use, or other identifiable causes), </w:t>
      </w:r>
      <w:r w:rsidRPr="00EE727F">
        <w:rPr>
          <w:rFonts w:ascii="Arial" w:hAnsi="Arial" w:cs="Arial"/>
          <w:i/>
          <w:iCs/>
        </w:rPr>
        <w:t>and</w:t>
      </w:r>
    </w:p>
    <w:p w14:paraId="63A84026" w14:textId="77777777" w:rsidR="005A31B3" w:rsidRPr="00EE727F" w:rsidRDefault="005A31B3" w:rsidP="005A31B3">
      <w:pPr>
        <w:pStyle w:val="NoSpacing"/>
        <w:numPr>
          <w:ilvl w:val="0"/>
          <w:numId w:val="2"/>
        </w:numPr>
        <w:spacing w:line="480" w:lineRule="auto"/>
        <w:rPr>
          <w:rFonts w:ascii="Arial" w:hAnsi="Arial" w:cs="Arial"/>
        </w:rPr>
      </w:pPr>
      <w:r w:rsidRPr="00EE727F">
        <w:rPr>
          <w:rFonts w:ascii="Arial" w:hAnsi="Arial" w:cs="Arial"/>
        </w:rPr>
        <w:t>The treating pulmonologist and/or treating radiologist indicate possible OP</w:t>
      </w:r>
    </w:p>
    <w:p w14:paraId="48B1D7C8" w14:textId="77777777" w:rsidR="005A31B3" w:rsidRPr="00EE727F" w:rsidRDefault="005A31B3" w:rsidP="005A31B3">
      <w:pPr>
        <w:pStyle w:val="NoSpacing"/>
        <w:spacing w:line="480" w:lineRule="auto"/>
        <w:rPr>
          <w:rFonts w:ascii="Arial" w:hAnsi="Arial" w:cs="Arial"/>
        </w:rPr>
      </w:pPr>
    </w:p>
    <w:p w14:paraId="69AFF5A9" w14:textId="6DC93A7B" w:rsidR="005A31B3" w:rsidRPr="00EE727F" w:rsidRDefault="005A31B3" w:rsidP="005A31B3">
      <w:pPr>
        <w:pStyle w:val="NoSpacing"/>
        <w:spacing w:line="480" w:lineRule="auto"/>
        <w:rPr>
          <w:rFonts w:ascii="Arial" w:hAnsi="Arial" w:cs="Arial"/>
        </w:rPr>
      </w:pPr>
      <w:r w:rsidRPr="00EE727F">
        <w:rPr>
          <w:rFonts w:ascii="Arial" w:hAnsi="Arial" w:cs="Arial"/>
        </w:rPr>
        <w:lastRenderedPageBreak/>
        <w:t>The presence of NSIP, OP, or NSIP+OP on histopathology in patients classified as IPAF was established based on the documentation of these findings by the pathologist.</w:t>
      </w:r>
    </w:p>
    <w:p w14:paraId="5BD57A71" w14:textId="77777777" w:rsidR="005A31B3" w:rsidRPr="00EE727F" w:rsidRDefault="005A31B3" w:rsidP="005A31B3">
      <w:pPr>
        <w:pStyle w:val="NoSpacing"/>
        <w:spacing w:line="480" w:lineRule="auto"/>
        <w:rPr>
          <w:rFonts w:ascii="Arial" w:hAnsi="Arial" w:cs="Arial"/>
        </w:rPr>
      </w:pPr>
    </w:p>
    <w:p w14:paraId="5408DEAC" w14:textId="67986D7D" w:rsidR="005A31B3" w:rsidRPr="00EE727F" w:rsidRDefault="005A31B3" w:rsidP="005A31B3">
      <w:pPr>
        <w:pStyle w:val="Heading3"/>
        <w:rPr>
          <w:rFonts w:eastAsiaTheme="minorHAnsi"/>
          <w:sz w:val="22"/>
          <w:szCs w:val="22"/>
        </w:rPr>
      </w:pPr>
      <w:bookmarkStart w:id="5" w:name="_Toc93925436"/>
      <w:r w:rsidRPr="00EE727F">
        <w:rPr>
          <w:rFonts w:eastAsiaTheme="minorHAnsi"/>
          <w:sz w:val="22"/>
          <w:szCs w:val="22"/>
        </w:rPr>
        <w:t>Definitions of Additional Histopathologic Patterns:</w:t>
      </w:r>
      <w:bookmarkEnd w:id="5"/>
    </w:p>
    <w:p w14:paraId="7F9651B6" w14:textId="77777777" w:rsidR="005A31B3" w:rsidRPr="00EE727F" w:rsidRDefault="00617C5A" w:rsidP="00617C5A">
      <w:pPr>
        <w:ind w:left="0" w:firstLine="0"/>
        <w:rPr>
          <w:rFonts w:eastAsiaTheme="minorHAnsi"/>
          <w:color w:val="auto"/>
          <w:sz w:val="22"/>
        </w:rPr>
      </w:pPr>
      <w:r w:rsidRPr="00EE727F">
        <w:rPr>
          <w:rFonts w:eastAsiaTheme="minorHAnsi"/>
          <w:color w:val="auto"/>
          <w:sz w:val="22"/>
        </w:rPr>
        <w:t xml:space="preserve">We established the IPAF morphologic histopathologic patterns of “interstitial lymphoid aggregates with germinal centers” and “diffuse lymphoplasmacytic infiltration” based on documentation of these findings by the pathologist. </w:t>
      </w:r>
    </w:p>
    <w:p w14:paraId="06E31A22" w14:textId="0B3E7719" w:rsidR="005A31B3" w:rsidRPr="00EE727F" w:rsidRDefault="005A31B3" w:rsidP="00617C5A">
      <w:pPr>
        <w:ind w:left="0" w:firstLine="0"/>
        <w:rPr>
          <w:rFonts w:eastAsiaTheme="minorHAnsi"/>
          <w:color w:val="auto"/>
          <w:sz w:val="22"/>
        </w:rPr>
      </w:pPr>
    </w:p>
    <w:p w14:paraId="766BBE1D" w14:textId="2E0F186A" w:rsidR="005A31B3" w:rsidRPr="00EE727F" w:rsidRDefault="005A31B3" w:rsidP="005A31B3">
      <w:pPr>
        <w:pStyle w:val="Heading3"/>
        <w:rPr>
          <w:rFonts w:eastAsiaTheme="minorHAnsi"/>
          <w:sz w:val="22"/>
          <w:szCs w:val="22"/>
        </w:rPr>
      </w:pPr>
      <w:bookmarkStart w:id="6" w:name="_Toc93925437"/>
      <w:r w:rsidRPr="00EE727F">
        <w:rPr>
          <w:rFonts w:eastAsiaTheme="minorHAnsi"/>
          <w:sz w:val="22"/>
          <w:szCs w:val="22"/>
        </w:rPr>
        <w:t>Definitions of Multicompartment Criteria:</w:t>
      </w:r>
      <w:bookmarkEnd w:id="6"/>
    </w:p>
    <w:p w14:paraId="229730C4" w14:textId="44C9A59C" w:rsidR="00617C5A" w:rsidRPr="00EE727F" w:rsidRDefault="00617C5A" w:rsidP="00617C5A">
      <w:pPr>
        <w:ind w:left="0" w:firstLine="0"/>
        <w:rPr>
          <w:rFonts w:eastAsiaTheme="minorHAnsi"/>
          <w:color w:val="auto"/>
          <w:sz w:val="22"/>
        </w:rPr>
      </w:pPr>
      <w:r w:rsidRPr="00EE727F">
        <w:rPr>
          <w:rFonts w:eastAsiaTheme="minorHAnsi"/>
          <w:color w:val="auto"/>
          <w:sz w:val="22"/>
        </w:rPr>
        <w:t xml:space="preserve">We defined components of the multicompartment criteria within the IPAF morphologic domain as follows: </w:t>
      </w:r>
    </w:p>
    <w:p w14:paraId="1D369D35" w14:textId="77777777" w:rsidR="00617C5A" w:rsidRPr="00EE727F" w:rsidRDefault="00617C5A" w:rsidP="00617C5A">
      <w:pPr>
        <w:ind w:left="0" w:firstLine="0"/>
        <w:rPr>
          <w:rFonts w:eastAsiaTheme="minorHAnsi"/>
          <w:color w:val="auto"/>
          <w:sz w:val="22"/>
        </w:rPr>
      </w:pPr>
    </w:p>
    <w:p w14:paraId="5339B11A" w14:textId="1796978C" w:rsidR="00617C5A" w:rsidRPr="00EE727F" w:rsidRDefault="00617C5A" w:rsidP="00617C5A">
      <w:pPr>
        <w:pStyle w:val="ListParagraph"/>
        <w:numPr>
          <w:ilvl w:val="0"/>
          <w:numId w:val="3"/>
        </w:numPr>
        <w:rPr>
          <w:rFonts w:eastAsiaTheme="minorHAnsi"/>
          <w:color w:val="auto"/>
          <w:sz w:val="22"/>
        </w:rPr>
      </w:pPr>
      <w:r w:rsidRPr="00EE727F">
        <w:rPr>
          <w:rFonts w:eastAsiaTheme="minorHAnsi"/>
          <w:color w:val="auto"/>
          <w:sz w:val="22"/>
        </w:rPr>
        <w:t>intrinsic airways disease was established on the basis of</w:t>
      </w:r>
      <w:r w:rsidR="006274DE" w:rsidRPr="00EE727F">
        <w:rPr>
          <w:rFonts w:eastAsiaTheme="minorHAnsi"/>
          <w:color w:val="auto"/>
          <w:sz w:val="22"/>
        </w:rPr>
        <w:t xml:space="preserve"> forced expiratory volume in one second / forced vital capacity</w:t>
      </w:r>
      <w:r w:rsidRPr="00EE727F">
        <w:rPr>
          <w:rFonts w:eastAsiaTheme="minorHAnsi"/>
          <w:color w:val="auto"/>
          <w:sz w:val="22"/>
        </w:rPr>
        <w:t xml:space="preserve"> </w:t>
      </w:r>
      <w:r w:rsidR="006274DE" w:rsidRPr="00EE727F">
        <w:rPr>
          <w:rFonts w:eastAsiaTheme="minorHAnsi"/>
          <w:color w:val="auto"/>
          <w:sz w:val="22"/>
        </w:rPr>
        <w:t>(</w:t>
      </w:r>
      <w:r w:rsidRPr="00EE727F">
        <w:rPr>
          <w:rFonts w:eastAsiaTheme="minorHAnsi"/>
          <w:color w:val="auto"/>
          <w:sz w:val="22"/>
        </w:rPr>
        <w:t>FEV1/FVC</w:t>
      </w:r>
      <w:r w:rsidR="006274DE" w:rsidRPr="00EE727F">
        <w:rPr>
          <w:rFonts w:eastAsiaTheme="minorHAnsi"/>
          <w:color w:val="auto"/>
          <w:sz w:val="22"/>
        </w:rPr>
        <w:t>)</w:t>
      </w:r>
      <w:r w:rsidRPr="00EE727F">
        <w:rPr>
          <w:rFonts w:eastAsiaTheme="minorHAnsi"/>
          <w:color w:val="auto"/>
          <w:sz w:val="22"/>
        </w:rPr>
        <w:t xml:space="preserve"> &lt; 0.70 or idiopathic air trapping in multiple lobes on HRCT (each in the absence of a history of obstructive lung disease or “ever” tobacco use), constrictive or follicular bronchiolitis on histopathology, or severe non-traction bronchiectasis on </w:t>
      </w:r>
      <w:proofErr w:type="gramStart"/>
      <w:r w:rsidRPr="00EE727F">
        <w:rPr>
          <w:rFonts w:eastAsiaTheme="minorHAnsi"/>
          <w:color w:val="auto"/>
          <w:sz w:val="22"/>
        </w:rPr>
        <w:t>HRCT;</w:t>
      </w:r>
      <w:proofErr w:type="gramEnd"/>
    </w:p>
    <w:p w14:paraId="674C0AC9" w14:textId="28A9D7BD" w:rsidR="00617C5A" w:rsidRPr="00EE727F" w:rsidRDefault="00617C5A" w:rsidP="00617C5A">
      <w:pPr>
        <w:pStyle w:val="ListParagraph"/>
        <w:numPr>
          <w:ilvl w:val="0"/>
          <w:numId w:val="3"/>
        </w:numPr>
        <w:rPr>
          <w:rFonts w:eastAsiaTheme="minorHAnsi"/>
          <w:color w:val="auto"/>
          <w:sz w:val="22"/>
        </w:rPr>
      </w:pPr>
      <w:r w:rsidRPr="00EE727F">
        <w:rPr>
          <w:rFonts w:eastAsiaTheme="minorHAnsi"/>
          <w:color w:val="auto"/>
          <w:sz w:val="22"/>
        </w:rPr>
        <w:t xml:space="preserve">pulmonary vasculopathy was established based on the presence of cardiac catheterization hemodynamics indicating a mean pulmonary artery pressure ≥ 25 mmHg and a pulmonary capillary wedge pressure ≤ 15 mmHg, or the presence of an FVC %predicted / DLCO %predicted ratio &gt; 1.6 on at least two consecutive </w:t>
      </w:r>
      <w:r w:rsidR="006274DE" w:rsidRPr="00EE727F">
        <w:rPr>
          <w:rFonts w:eastAsiaTheme="minorHAnsi"/>
          <w:color w:val="auto"/>
          <w:sz w:val="22"/>
        </w:rPr>
        <w:t>pulmonary function tests (</w:t>
      </w:r>
      <w:r w:rsidRPr="00EE727F">
        <w:rPr>
          <w:rFonts w:eastAsiaTheme="minorHAnsi"/>
          <w:color w:val="auto"/>
          <w:sz w:val="22"/>
        </w:rPr>
        <w:t>PFTs</w:t>
      </w:r>
      <w:r w:rsidR="006274DE" w:rsidRPr="00EE727F">
        <w:rPr>
          <w:rFonts w:eastAsiaTheme="minorHAnsi"/>
          <w:color w:val="auto"/>
          <w:sz w:val="22"/>
        </w:rPr>
        <w:t>)</w:t>
      </w:r>
      <w:r w:rsidRPr="00EE727F">
        <w:rPr>
          <w:rFonts w:eastAsiaTheme="minorHAnsi"/>
          <w:color w:val="auto"/>
          <w:sz w:val="22"/>
        </w:rPr>
        <w:t>, or the presence of vasculopathy on pulmonary histopathology</w:t>
      </w:r>
      <w:r w:rsidR="009B0D0E" w:rsidRPr="00EE727F">
        <w:rPr>
          <w:rFonts w:eastAsiaTheme="minorHAnsi"/>
          <w:color w:val="auto"/>
          <w:sz w:val="22"/>
        </w:rPr>
        <w:t xml:space="preserve"> </w:t>
      </w:r>
      <w:r w:rsidR="009B0D0E" w:rsidRPr="00EE727F">
        <w:rPr>
          <w:rFonts w:eastAsiaTheme="minorHAnsi"/>
          <w:color w:val="auto"/>
          <w:sz w:val="22"/>
        </w:rPr>
        <w:fldChar w:fldCharType="begin" w:fldLock="1"/>
      </w:r>
      <w:r w:rsidR="00E069B9" w:rsidRPr="00EE727F">
        <w:rPr>
          <w:rFonts w:eastAsiaTheme="minorHAnsi"/>
          <w:color w:val="auto"/>
          <w:sz w:val="22"/>
        </w:rPr>
        <w:instrText>ADDIN CSL_CITATION {"citationItems":[{"id":"ITEM-1","itemData":{"DOI":"10.1007/s10067-018-4148-5","ISSN":"14349949","PMID":"29804150","abstract":"Two major complications in scleroderma patients that cause substantial morbidity and mortality are ischemic digital lesions (DL) and pulmonary hypertension (PH). The clinician’s ability to predict which patients will develop these complications is imperfect. We conducted a prospective observational cohort study of 300 patients with scleroderma who were followed for at least a 5-year period. At baseline, patients lacked evidence of PH and were without a current DL. At each 6-month visit, the patient was examined for signs/symptoms of PH and/or a DL. The primary outcomes were (1) PH defined as a mean pulmonary artery pressure ≥ 25 mmHg by right heart catheterization and (2) ≥ 1 DL defined as new onset of severe vascular compromise. Thirty patients (10%) developed PH (11 group 1/PAH, 4 group II, 15 group III) and 69 developed DL. The average time from enrollment until diagnosis of PH was 3.2 ± 2 years. In multivariable analyses, patients who developed PH were more likely to have diffuse disease (HR 3.2, p = 0.004), a forced vital capacity (FVC)/diffusing capacity of the lungs for carbon monoxide (DLCO) ratio &gt; 1.6 (HR 1.7, p = 0.008), and elevated RVSP (HR = 1.07, p = 0.007). Patients who developed PAH were more likely to have a FVC/DLCO ratio &gt; 1.6 (HR = 5.8, p = 0.014), and patients who developed group III PH were less likely to have an elevated FVC (HR = 0.92, p = 0.001). Patients were more likely to develop a DL if they had a history of prior DL (HR = 7.0, p &lt; 0.001), or were men (HR = 2.3, p = 0.007). In a prevalent cohort of scleroderma patients, individuals who develop PH or DL have simple to measure clinical features that can predict these complications years before they occur.","author":[{"dropping-particle":"","family":"Mecoli","given":"Christopher A.","non-dropping-particle":"","parse-names":false,"suffix":""},{"dropping-particle":"","family":"Shah","given":"Ami A.","non-dropping-particle":"","parse-names":false,"suffix":""},{"dropping-particle":"","family":"Boin","given":"Francesco","non-dropping-particle":"","parse-names":false,"suffix":""},{"dropping-particle":"","family":"Wigley","given":"Fredrick M.","non-dropping-particle":"","parse-names":false,"suffix":""},{"dropping-particle":"","family":"Hummers","given":"Laura K.","non-dropping-particle":"","parse-names":false,"suffix":""}],"container-title":"Clinical Rheumatology","id":"ITEM-1","issue":"9","issued":{"date-parts":[["2018"]]},"page":"2429-2437","publisher":"Clinical Rheumatology","title":"Vascular complications in systemic sclerosis: a prospective cohort study","type":"article-journal","volume":"37"},"uris":["http://www.mendeley.com/documents/?uuid=784b4d70-cb12-4479-966f-dc0343255bcd"]},{"id":"ITEM-2","itemData":{"DOI":"10.1002/art.1780350709","ISSN":"15290131","PMID":"1622414","abstract":"Objective. To determine the long</w:instrText>
      </w:r>
      <w:r w:rsidR="00E069B9" w:rsidRPr="00EE727F">
        <w:rPr>
          <w:rFonts w:ascii="Cambria Math" w:eastAsiaTheme="minorHAnsi" w:hAnsi="Cambria Math" w:cs="Cambria Math"/>
          <w:color w:val="auto"/>
          <w:sz w:val="22"/>
        </w:rPr>
        <w:instrText>‐</w:instrText>
      </w:r>
      <w:r w:rsidR="00E069B9" w:rsidRPr="00EE727F">
        <w:rPr>
          <w:rFonts w:eastAsiaTheme="minorHAnsi"/>
          <w:color w:val="auto"/>
          <w:sz w:val="22"/>
        </w:rPr>
        <w:instrText>term outcome of patients with systemic sclerosis (SSc) and an isolated reduction in the diffusing capacity for carbon monoxide (DLco) at the time of initial evaluation. Methods. Patients with an isolated reduction in DLco (i.e., normal forced vital capacity [FVC] and normal ratio of the forced expiratory volume in one second [FEV1] to the FVC) on initial evaluation were identified from among 815 patients with SSc who were carefully followed up throughout their illness. We requested that patients have repeat pulmonary function testing (PFT), and the outcomes of these tests, as well as cardiopulmonary and survival outcomes, were determined. Results. An isolated reduction in DLco, with a normal FVC was detected in 152 (19%) of the 815 patients. A subset of those with an isolated reduction in DLco (11%) developed isolated pulmonary hypertension and had severely reduced survival rates. Pulmonary hypertension was strongly associated with an initial DLco of &lt; 55% of predicted normal and a FVC (% predicted)/DLco (% predicted) ratio of &gt; 1.4. Among all patients in whom this ratio was &gt; 1.4, 22% developed isolated pulmonary hypertension, compared with only 2% of those whose ratio was &lt;1.4 (P &lt; 0.01). Of the 152 patients with isolated DLco reduction, 73 (48%) underwent PFTs a mean of 5.4 years (range 2.0–13.2) after the initial PFT. Only 6 (8%) of these 73 patients ever had serious pulmonary disease: 5 had isolated pulmonary hypertension, and 1 had severe pulmonary fibrosis. Half of the patients with a low initial DLco demonstrated a significant improvement (&gt;20%) at followup testing that could not be explained by the demographic, clinical, or laboratory findings at the first visit. Conclusion. Isolated reduction in DLco is a frequent abnormality in SSc. Overall, it is associated with a good prognosis for survival and for pulmonary morbidity. A small subset of patients (11%) who have a very low DLco (&lt;55% of predicted) have developed isolated pulmonary hypertension, all of whom had limited scleroderma. Copyright © 1992 American College of Rheumatology","author":[{"dropping-particle":"","family":"Steen","given":"Virginia D.","non-dropping-particle":"","parse-names":false,"suffix":""},{"dropping-particle":"","family":"Graham","given":"Galen","non-dropping-particle":"","parse-names":false,"suffix":""},{"dropping-particle":"","family":"Conte","given":"Claudia","non-dropping-particle":"","parse-names":false,"suffix":""},{"dropping-particle":"","family":"Owens","given":"Gregory","non-dropping-particle":"","parse-names":false,"suffix":""},{"dropping-particle":"","family":"Medsger","given":"Thomas A.","non-dropping-particle":"","parse-names":false,"suffix":""}],"container-title":"Arthritis &amp; Rheumatism","id":"ITEM-2","issue":"7","issued":{"date-parts":[["1992"]]},"page":"765-770","title":"Isolated diffusing capacity reduction in systemic sclerosis","type":"article-journal","volume":"35"},"uris":["http://www.mendeley.com/documents/?uuid=eb7c31dd-d791-4454-9fa0-ce9425234302"]}],"mendeley":{"formattedCitation":"&lt;span style=\"baseline\"&gt;[5,6]&lt;/span&gt;","plainTextFormattedCitation":"[5,6]","previouslyFormattedCitation":"&lt;span style=\"baseline\"&gt;[4,5]&lt;/span&gt;"},"properties":{"noteIndex":0},"schema":"https://github.com/citation-style-language/schema/raw/master/csl-citation.json"}</w:instrText>
      </w:r>
      <w:r w:rsidR="009B0D0E" w:rsidRPr="00EE727F">
        <w:rPr>
          <w:rFonts w:eastAsiaTheme="minorHAnsi"/>
          <w:color w:val="auto"/>
          <w:sz w:val="22"/>
        </w:rPr>
        <w:fldChar w:fldCharType="separate"/>
      </w:r>
      <w:r w:rsidR="00E069B9" w:rsidRPr="00EE727F">
        <w:rPr>
          <w:rFonts w:eastAsiaTheme="minorHAnsi"/>
          <w:noProof/>
          <w:color w:val="auto"/>
          <w:sz w:val="22"/>
        </w:rPr>
        <w:t>[5,6]</w:t>
      </w:r>
      <w:r w:rsidR="009B0D0E" w:rsidRPr="00EE727F">
        <w:rPr>
          <w:rFonts w:eastAsiaTheme="minorHAnsi"/>
          <w:color w:val="auto"/>
          <w:sz w:val="22"/>
        </w:rPr>
        <w:fldChar w:fldCharType="end"/>
      </w:r>
      <w:r w:rsidR="009B0D0E" w:rsidRPr="00EE727F">
        <w:rPr>
          <w:rFonts w:eastAsiaTheme="minorHAnsi"/>
          <w:color w:val="auto"/>
          <w:sz w:val="22"/>
        </w:rPr>
        <w:t xml:space="preserve"> </w:t>
      </w:r>
    </w:p>
    <w:p w14:paraId="6B46A0C7" w14:textId="77777777" w:rsidR="00617C5A" w:rsidRPr="00EE727F" w:rsidRDefault="00617C5A" w:rsidP="00617C5A">
      <w:pPr>
        <w:pStyle w:val="ListParagraph"/>
        <w:numPr>
          <w:ilvl w:val="0"/>
          <w:numId w:val="3"/>
        </w:numPr>
        <w:rPr>
          <w:rFonts w:eastAsiaTheme="minorHAnsi"/>
          <w:color w:val="auto"/>
          <w:sz w:val="22"/>
        </w:rPr>
      </w:pPr>
      <w:r w:rsidRPr="00EE727F">
        <w:rPr>
          <w:rFonts w:eastAsiaTheme="minorHAnsi"/>
          <w:color w:val="auto"/>
          <w:sz w:val="22"/>
        </w:rPr>
        <w:t xml:space="preserve">unexplained pleural or pericardial effusion or thickening was established based on their presence on HRCT (pleural) or echocardiographic (pleural, pericardial) imaging in the absence of an identifiable cause. </w:t>
      </w:r>
    </w:p>
    <w:p w14:paraId="0F92D161" w14:textId="77777777" w:rsidR="00617C5A" w:rsidRPr="00EE727F" w:rsidRDefault="00617C5A" w:rsidP="00617C5A">
      <w:pPr>
        <w:ind w:left="0" w:firstLine="0"/>
        <w:rPr>
          <w:rFonts w:eastAsiaTheme="minorHAnsi"/>
          <w:color w:val="auto"/>
          <w:sz w:val="22"/>
        </w:rPr>
      </w:pPr>
    </w:p>
    <w:p w14:paraId="20B3E1F3" w14:textId="75D98E02" w:rsidR="005A31B3" w:rsidRPr="00EE727F" w:rsidRDefault="005A31B3" w:rsidP="005A31B3">
      <w:pPr>
        <w:pStyle w:val="Heading2"/>
        <w:rPr>
          <w:rFonts w:eastAsiaTheme="minorHAnsi"/>
          <w:sz w:val="22"/>
          <w:szCs w:val="22"/>
        </w:rPr>
      </w:pPr>
      <w:bookmarkStart w:id="7" w:name="_Toc93925438"/>
      <w:r w:rsidRPr="00EE727F">
        <w:rPr>
          <w:rFonts w:eastAsiaTheme="minorHAnsi"/>
          <w:sz w:val="22"/>
          <w:szCs w:val="22"/>
        </w:rPr>
        <w:t xml:space="preserve">Supplementary </w:t>
      </w:r>
      <w:r w:rsidR="00AD6C3A" w:rsidRPr="00EE727F">
        <w:rPr>
          <w:rFonts w:eastAsiaTheme="minorHAnsi"/>
          <w:sz w:val="22"/>
          <w:szCs w:val="22"/>
        </w:rPr>
        <w:t>Methods</w:t>
      </w:r>
      <w:r w:rsidRPr="00EE727F">
        <w:rPr>
          <w:rFonts w:eastAsiaTheme="minorHAnsi"/>
          <w:sz w:val="22"/>
          <w:szCs w:val="22"/>
        </w:rPr>
        <w:t xml:space="preserve"> 2. Definitions of </w:t>
      </w:r>
      <w:r w:rsidR="003B4299" w:rsidRPr="00EE727F">
        <w:rPr>
          <w:rFonts w:eastAsiaTheme="minorHAnsi"/>
          <w:sz w:val="22"/>
          <w:szCs w:val="22"/>
        </w:rPr>
        <w:t>Mixed Connective Tissue Disease (</w:t>
      </w:r>
      <w:r w:rsidRPr="00EE727F">
        <w:rPr>
          <w:rFonts w:eastAsiaTheme="minorHAnsi"/>
          <w:sz w:val="22"/>
          <w:szCs w:val="22"/>
        </w:rPr>
        <w:t>MCTD</w:t>
      </w:r>
      <w:r w:rsidR="003B4299" w:rsidRPr="00EE727F">
        <w:rPr>
          <w:rFonts w:eastAsiaTheme="minorHAnsi"/>
          <w:sz w:val="22"/>
          <w:szCs w:val="22"/>
        </w:rPr>
        <w:t>)</w:t>
      </w:r>
      <w:r w:rsidRPr="00EE727F">
        <w:rPr>
          <w:rFonts w:eastAsiaTheme="minorHAnsi"/>
          <w:sz w:val="22"/>
          <w:szCs w:val="22"/>
        </w:rPr>
        <w:t xml:space="preserve">, </w:t>
      </w:r>
      <w:proofErr w:type="spellStart"/>
      <w:r w:rsidRPr="00EE727F">
        <w:rPr>
          <w:rFonts w:eastAsiaTheme="minorHAnsi"/>
          <w:sz w:val="22"/>
          <w:szCs w:val="22"/>
        </w:rPr>
        <w:t>Antisynthetase</w:t>
      </w:r>
      <w:proofErr w:type="spellEnd"/>
      <w:r w:rsidRPr="00EE727F">
        <w:rPr>
          <w:rFonts w:eastAsiaTheme="minorHAnsi"/>
          <w:sz w:val="22"/>
          <w:szCs w:val="22"/>
        </w:rPr>
        <w:t xml:space="preserve"> Syndrome, and anti-MDA5 </w:t>
      </w:r>
      <w:r w:rsidR="00184F94" w:rsidRPr="00EE727F">
        <w:rPr>
          <w:rFonts w:eastAsiaTheme="minorHAnsi"/>
          <w:sz w:val="22"/>
          <w:szCs w:val="22"/>
        </w:rPr>
        <w:t>D</w:t>
      </w:r>
      <w:r w:rsidRPr="00EE727F">
        <w:rPr>
          <w:rFonts w:eastAsiaTheme="minorHAnsi"/>
          <w:sz w:val="22"/>
          <w:szCs w:val="22"/>
        </w:rPr>
        <w:t>ermatomyositis.</w:t>
      </w:r>
      <w:bookmarkEnd w:id="7"/>
    </w:p>
    <w:p w14:paraId="0F6DC1CA" w14:textId="432E7393" w:rsidR="00617C5A" w:rsidRPr="00EE727F" w:rsidRDefault="00617C5A" w:rsidP="00617C5A">
      <w:pPr>
        <w:ind w:left="0" w:firstLine="0"/>
        <w:rPr>
          <w:rFonts w:eastAsiaTheme="minorHAnsi" w:cstheme="majorBidi"/>
          <w:b/>
          <w:color w:val="auto"/>
          <w:sz w:val="22"/>
        </w:rPr>
      </w:pPr>
      <w:r w:rsidRPr="00EE727F">
        <w:rPr>
          <w:rFonts w:eastAsiaTheme="minorHAnsi"/>
          <w:color w:val="auto"/>
          <w:sz w:val="22"/>
        </w:rPr>
        <w:t>Due to their potential overlap with IPAF classification criteria, we established diagnoses of MCTD based on either Kahn’s or Alarcon-Segovia’s criteria</w:t>
      </w:r>
      <w:r w:rsidR="00E069B9" w:rsidRPr="00EE727F">
        <w:rPr>
          <w:rFonts w:eastAsiaTheme="minorHAnsi"/>
          <w:color w:val="auto"/>
          <w:sz w:val="22"/>
        </w:rPr>
        <w:t xml:space="preserve"> </w:t>
      </w:r>
      <w:r w:rsidR="009B0D0E" w:rsidRPr="00EE727F">
        <w:rPr>
          <w:rFonts w:eastAsiaTheme="minorHAnsi"/>
          <w:color w:val="auto"/>
          <w:sz w:val="22"/>
        </w:rPr>
        <w:fldChar w:fldCharType="begin" w:fldLock="1"/>
      </w:r>
      <w:r w:rsidR="00E069B9" w:rsidRPr="00EE727F">
        <w:rPr>
          <w:rFonts w:eastAsiaTheme="minorHAnsi"/>
          <w:color w:val="auto"/>
          <w:sz w:val="22"/>
        </w:rPr>
        <w:instrText>ADDIN CSL_CITATION {"citationItems":[{"id":"ITEM-1","itemData":{"ISSN":"00211699","author":[{"dropping-particle":"","family":"Farhey","given":"Yolanda","non-dropping-particle":"","parse-names":false,"suffix":""},{"dropping-particle":"V","family":"Hess","given":"Evelyn","non-dropping-particle":"","parse-names":false,"suffix":""}],"container-title":"Arthritis Care and Research","id":"ITEM-1","issue":"5","issued":{"date-parts":[["1997"]]},"page":"333-342","title":"Mixed connective tissue disease","type":"article-journal","volume":"10"},"uris":["http://www.mendeley.com/documents/?uuid=17b91caa-1db7-4ff6-bcc6-ab2a6e736ede"]},{"id":"ITEM-2","itemData":{"author":[{"dropping-particle":"","family":"J M Amigues, A Cantagrel, M Abbal","given":"B Mazieres","non-dropping-particle":"","parse-names":false,"suffix":""}],"container-title":"J Rheumatol.","id":"ITEM-2","issue":"12","issued":{"date-parts":[["1996"]]},"page":"2055-62","title":"Comparative study of 4 diagnosis criteria sets for mixed connective tissue disease in patients with anti-RNP antibodies. Autoimmunity Group of the Hospitals of Toulouse","type":"article-journal","volume":"23"},"uris":["http://www.mendeley.com/documents/?uuid=66d0fbe8-f72a-4b78-b492-5314a53ac330"]}],"mendeley":{"formattedCitation":"&lt;span style=\"baseline\"&gt;[7,8]&lt;/span&gt;","plainTextFormattedCitation":"[7,8]","previouslyFormattedCitation":"&lt;span style=\"baseline\"&gt;[6,7]&lt;/span&gt;"},"properties":{"noteIndex":0},"schema":"https://github.com/citation-style-language/schema/raw/master/csl-citation.json"}</w:instrText>
      </w:r>
      <w:r w:rsidR="009B0D0E" w:rsidRPr="00EE727F">
        <w:rPr>
          <w:rFonts w:eastAsiaTheme="minorHAnsi"/>
          <w:color w:val="auto"/>
          <w:sz w:val="22"/>
        </w:rPr>
        <w:fldChar w:fldCharType="separate"/>
      </w:r>
      <w:r w:rsidR="00E069B9" w:rsidRPr="00EE727F">
        <w:rPr>
          <w:rFonts w:eastAsiaTheme="minorHAnsi"/>
          <w:noProof/>
          <w:color w:val="auto"/>
          <w:sz w:val="22"/>
        </w:rPr>
        <w:t>[7,8]</w:t>
      </w:r>
      <w:r w:rsidR="009B0D0E" w:rsidRPr="00EE727F">
        <w:rPr>
          <w:rFonts w:eastAsiaTheme="minorHAnsi"/>
          <w:color w:val="auto"/>
          <w:sz w:val="22"/>
        </w:rPr>
        <w:fldChar w:fldCharType="end"/>
      </w:r>
      <w:r w:rsidR="00E069B9" w:rsidRPr="00EE727F">
        <w:rPr>
          <w:rFonts w:eastAsiaTheme="minorHAnsi"/>
          <w:color w:val="auto"/>
          <w:sz w:val="22"/>
        </w:rPr>
        <w:t>.</w:t>
      </w:r>
      <w:r w:rsidRPr="00EE727F">
        <w:rPr>
          <w:rFonts w:eastAsiaTheme="minorHAnsi"/>
          <w:color w:val="auto"/>
          <w:sz w:val="22"/>
        </w:rPr>
        <w:t xml:space="preserve"> Similarly, given that the presence of an </w:t>
      </w:r>
      <w:proofErr w:type="spellStart"/>
      <w:r w:rsidRPr="00EE727F">
        <w:rPr>
          <w:rFonts w:eastAsiaTheme="minorHAnsi"/>
          <w:color w:val="auto"/>
          <w:sz w:val="22"/>
        </w:rPr>
        <w:t>antisynthetase</w:t>
      </w:r>
      <w:proofErr w:type="spellEnd"/>
      <w:r w:rsidRPr="00EE727F">
        <w:rPr>
          <w:rFonts w:eastAsiaTheme="minorHAnsi"/>
          <w:color w:val="auto"/>
          <w:sz w:val="22"/>
        </w:rPr>
        <w:t xml:space="preserve"> antibody in patients with </w:t>
      </w:r>
      <w:r w:rsidR="009A2964" w:rsidRPr="00EE727F">
        <w:rPr>
          <w:rFonts w:eastAsiaTheme="minorHAnsi"/>
          <w:color w:val="auto"/>
          <w:sz w:val="22"/>
        </w:rPr>
        <w:t>NSIP or OP</w:t>
      </w:r>
      <w:r w:rsidRPr="00EE727F">
        <w:rPr>
          <w:rFonts w:eastAsiaTheme="minorHAnsi"/>
          <w:color w:val="auto"/>
          <w:sz w:val="22"/>
        </w:rPr>
        <w:t xml:space="preserve"> would alone merit classification as IPAF, we established a diagnosis of the </w:t>
      </w:r>
      <w:proofErr w:type="spellStart"/>
      <w:r w:rsidRPr="00EE727F">
        <w:rPr>
          <w:rFonts w:eastAsiaTheme="minorHAnsi"/>
          <w:color w:val="auto"/>
          <w:sz w:val="22"/>
        </w:rPr>
        <w:t>antisynthetase</w:t>
      </w:r>
      <w:proofErr w:type="spellEnd"/>
      <w:r w:rsidRPr="00EE727F">
        <w:rPr>
          <w:rFonts w:eastAsiaTheme="minorHAnsi"/>
          <w:color w:val="auto"/>
          <w:sz w:val="22"/>
        </w:rPr>
        <w:t xml:space="preserve"> syndrome based on the criteria proposed by Solomon et. al. with modification based on the more recent idiopathic inflammatory myopathy classification criteria—patients with a positive anti-Jo1 antibody fulfilling the major criterion of dermato- or polymyositis required an IIM classification of “Definite IIM,” given the inclusion of Jo1 within the IIM classification criteria, whereas those with non-Jo1 </w:t>
      </w:r>
      <w:proofErr w:type="spellStart"/>
      <w:r w:rsidRPr="00EE727F">
        <w:rPr>
          <w:rFonts w:eastAsiaTheme="minorHAnsi"/>
          <w:color w:val="auto"/>
          <w:sz w:val="22"/>
        </w:rPr>
        <w:t>antisynthetase</w:t>
      </w:r>
      <w:proofErr w:type="spellEnd"/>
      <w:r w:rsidRPr="00EE727F">
        <w:rPr>
          <w:rFonts w:eastAsiaTheme="minorHAnsi"/>
          <w:color w:val="auto"/>
          <w:sz w:val="22"/>
        </w:rPr>
        <w:t xml:space="preserve"> antibodies required an IIM classification of only “Probable IIM”</w:t>
      </w:r>
      <w:r w:rsidR="003836E8" w:rsidRPr="00EE727F">
        <w:rPr>
          <w:rFonts w:eastAsiaTheme="minorHAnsi"/>
          <w:color w:val="auto"/>
          <w:sz w:val="22"/>
        </w:rPr>
        <w:t xml:space="preserve"> </w:t>
      </w:r>
      <w:r w:rsidR="003836E8" w:rsidRPr="00EE727F">
        <w:rPr>
          <w:rFonts w:eastAsiaTheme="minorHAnsi"/>
          <w:color w:val="auto"/>
          <w:sz w:val="22"/>
        </w:rPr>
        <w:fldChar w:fldCharType="begin" w:fldLock="1"/>
      </w:r>
      <w:r w:rsidR="00E069B9" w:rsidRPr="00EE727F">
        <w:rPr>
          <w:rFonts w:eastAsiaTheme="minorHAnsi"/>
          <w:color w:val="auto"/>
          <w:sz w:val="22"/>
        </w:rPr>
        <w:instrText>ADDIN CSL_CITATION {"citationItems":[{"id":"ITEM-1","itemData":{"DOI":"10.1590/S1806-37132011000100015","ISSN":"1806-3756","PMID":"21390438","abstract":"In patients with myositis, the lung is commonly involved, and the presence of anti-aminoacyl-tRNA synthetase (anti-ARS) antibodies marks the presence or predicts the development of interstitial lung disease (ILD). A distinct clinical entity-antisynthetase syndrome-is characterized by the presence of anti-ARS antibodies, myositis, ILD, fever, arthritis, Raynaud's phenomenon, and mechanic's hands. The most common anti-ARS antibody is anti-Jo-1. More recently described anti-ARS antibodies might confer a phenotype that is distinct from that of anti-Jo-1-positive patients and is characterized by a lower incidence of myositis and a higher incidence of ILD. Among patients with antisynthetase syndrome-related ILD, the response to immunosuppressive medications is generally, but not universally, favorable.","author":[{"dropping-particle":"","family":"Solomon","given":"Joshua","non-dropping-particle":"","parse-names":false,"suffix":""},{"dropping-particle":"","family":"Swigris","given":"Jeffrey J","non-dropping-particle":"","parse-names":false,"suffix":""},{"dropping-particle":"","family":"Brown","given":"Kevin K","non-dropping-particle":"","parse-names":false,"suffix":""}],"container-title":"Jornal brasileiro de pneumologia : publicacao oficial da Sociedade Brasileira de Pneumologia e Tisilogia","id":"ITEM-1","issue":"1","issued":{"date-parts":[["2013"]]},"page":"100-9","title":"Myositis-related interstitial lung disease and antisynthetase syndrome.","type":"article-journal","volume":"37"},"uris":["http://www.mendeley.com/documents/?uuid=67b67649-bc10-43e5-a976-d85463e17abe"]},{"id":"ITEM-2","itemData":{"DOI":"10.1097/CPM.0000000000000171.The","ISBN":"0000000000000","abstract":"Anti-synthetase syndrome is an autoimmune condition, characterized by antibodies directed against an aminoacycl transfer RNA synthetase along with clinical features that can include interstitial lung disease, myositis, Raynaud’s phenomenon, and arthritis. There is a higher prevalence and increased severity of interstitial lung disease in patients with anti-synthetase syndrome, as compared to dermatomyositis and polymyositis, inflammatory myopathies with which it may overlap phenotypically. Diagnosis is made by a multidisciplinary approach, synthesizing rheumatology and pulmonary evaluations, along with serologic, radiographic, and occasionally muscle and/or lung biopsy results. Patients with anti-synthetase syndrome often require multi-modality immunosuppressive therapy in order to control the muscle and/or pulmonary manifestations of their disease. The long-term care of these patients mandates careful attention to the adverse effects and complications of chronic immunosuppressive therapy, as well as disease-related sequelae that can include progressive interstitial lung disease necessitating lung transplantation, pulmonary hypertension, malignancy and decreased survival. It is hoped that greater awareness of the clinical features of this syndrome will allow for earlier diagnosis and appropriate treatment to improve outcomes in patients with anti-synthetase syndrome.","author":[{"dropping-particle":"","family":"Witt","given":"Leah J.","non-dropping-particle":"","parse-names":false,"suffix":""},{"dropping-particle":"","family":"Curran","given":"James J.","non-dropping-particle":"","parse-names":false,"suffix":""},{"dropping-particle":"","family":"Strek","given":"Mary E.","non-dropping-particle":"","parse-names":false,"suffix":""}],"container-title":"Clin Pulm Med.","id":"ITEM-2","issue":"5","issued":{"date-parts":[["2016"]]},"page":"218-226","title":"The Diagnosis and Treatment of Antisynthetase Syndrome","type":"article-journal","volume":"23"},"uris":["http://www.mendeley.com/documents/?uuid=78e7ce17-93d5-45f6-8a91-4afc10ceb1a2"]}],"mendeley":{"formattedCitation":"&lt;span style=\"baseline\"&gt;[9,10]&lt;/span&gt;","plainTextFormattedCitation":"[9,10]","previouslyFormattedCitation":"&lt;span style=\"baseline\"&gt;[8,9]&lt;/span&gt;"},"properties":{"noteIndex":0},"schema":"https://github.com/citation-style-language/schema/raw/master/csl-citation.json"}</w:instrText>
      </w:r>
      <w:r w:rsidR="003836E8" w:rsidRPr="00EE727F">
        <w:rPr>
          <w:rFonts w:eastAsiaTheme="minorHAnsi"/>
          <w:color w:val="auto"/>
          <w:sz w:val="22"/>
        </w:rPr>
        <w:fldChar w:fldCharType="separate"/>
      </w:r>
      <w:r w:rsidR="00E069B9" w:rsidRPr="00EE727F">
        <w:rPr>
          <w:rFonts w:eastAsiaTheme="minorHAnsi"/>
          <w:noProof/>
          <w:color w:val="auto"/>
          <w:sz w:val="22"/>
        </w:rPr>
        <w:t>[9,10]</w:t>
      </w:r>
      <w:r w:rsidR="003836E8" w:rsidRPr="00EE727F">
        <w:rPr>
          <w:rFonts w:eastAsiaTheme="minorHAnsi"/>
          <w:color w:val="auto"/>
          <w:sz w:val="22"/>
        </w:rPr>
        <w:fldChar w:fldCharType="end"/>
      </w:r>
      <w:r w:rsidR="00E069B9" w:rsidRPr="00EE727F">
        <w:rPr>
          <w:rFonts w:eastAsiaTheme="minorHAnsi"/>
          <w:color w:val="auto"/>
          <w:sz w:val="22"/>
        </w:rPr>
        <w:t>.</w:t>
      </w:r>
      <w:r w:rsidRPr="00EE727F">
        <w:rPr>
          <w:rFonts w:eastAsiaTheme="minorHAnsi"/>
          <w:color w:val="auto"/>
          <w:sz w:val="22"/>
        </w:rPr>
        <w:t xml:space="preserve"> We established a diagnosis of anti-MDA5 dermatomyositis based on the presence of ILD in association with characteristic cutaneous features and the presence of a detectable anti-MDA5 antibody</w:t>
      </w:r>
      <w:r w:rsidR="00E069B9" w:rsidRPr="00EE727F">
        <w:rPr>
          <w:rFonts w:eastAsiaTheme="minorHAnsi"/>
          <w:color w:val="auto"/>
          <w:sz w:val="22"/>
        </w:rPr>
        <w:t xml:space="preserve"> </w:t>
      </w:r>
      <w:r w:rsidR="009B0D0E" w:rsidRPr="00EE727F">
        <w:rPr>
          <w:rFonts w:eastAsiaTheme="minorHAnsi"/>
          <w:color w:val="auto"/>
          <w:sz w:val="22"/>
        </w:rPr>
        <w:fldChar w:fldCharType="begin" w:fldLock="1"/>
      </w:r>
      <w:r w:rsidR="00E069B9" w:rsidRPr="00EE727F">
        <w:rPr>
          <w:rFonts w:eastAsiaTheme="minorHAnsi"/>
          <w:color w:val="auto"/>
          <w:sz w:val="22"/>
        </w:rPr>
        <w:instrText>ADDIN CSL_CITATION {"citationItems":[{"id":"ITEM-1","itemData":{"DOI":"10.1016/j.jaad.2017.12.010","ISSN":"10976787","PMID":"29229575","abstract":"Melanoma differentiation–associated gene 5 (MDA5) is a recently described autoantigen target in a subset of patients with dermatomyositis. Anti-MDA5 dermatomyositis is characterized by a unique mucocutaneous and systemic phenotype that includes cutaneous and oral ulceration, painful palmar papules, alopecia, panniculitis, arthritis, a lower incidence of myositis, and, importantly, an elevated risk of interstitial lung disease with a potentially fatal course. Because the clinical features can differ substantially from those typically observed in cutaneous dermatomyositis, the diagnosis is often overlooked, which might negatively affect patient outcomes. This review aims to familiarize the clinician with the distinctive clinical features of anti-MDA5 dermatomyositis in order to enhance its recognition and to facilitate an appropriate screening and management strategy.","author":[{"dropping-particle":"","family":"Kurtzman","given":"Drew J.B.","non-dropping-particle":"","parse-names":false,"suffix":""},{"dropping-particle":"","family":"Vleugels","given":"Ruth Ann","non-dropping-particle":"","parse-names":false,"suffix":""}],"container-title":"Journal of the American Academy of Dermatology","id":"ITEM-1","issue":"4","issued":{"date-parts":[["2018"]]},"page":"776-785","publisher":"Elsevier Inc","title":"Anti-melanoma differentiation–associated gene 5 (MDA5) dermatomyositis: A concise review with an emphasis on distinctive clinical features","type":"article-journal","volume":"78"},"uris":["http://www.mendeley.com/documents/?uuid=a72781a6-9ca9-40ba-97ab-3d3865ea1730"]}],"mendeley":{"formattedCitation":"&lt;span style=\"baseline\"&gt;[11]&lt;/span&gt;","plainTextFormattedCitation":"[11]","previouslyFormattedCitation":"&lt;span style=\"baseline\"&gt;[10]&lt;/span&gt;"},"properties":{"noteIndex":0},"schema":"https://github.com/citation-style-language/schema/raw/master/csl-citation.json"}</w:instrText>
      </w:r>
      <w:r w:rsidR="009B0D0E" w:rsidRPr="00EE727F">
        <w:rPr>
          <w:rFonts w:eastAsiaTheme="minorHAnsi"/>
          <w:color w:val="auto"/>
          <w:sz w:val="22"/>
        </w:rPr>
        <w:fldChar w:fldCharType="separate"/>
      </w:r>
      <w:r w:rsidR="00E069B9" w:rsidRPr="00EE727F">
        <w:rPr>
          <w:rFonts w:eastAsiaTheme="minorHAnsi"/>
          <w:noProof/>
          <w:color w:val="auto"/>
          <w:sz w:val="22"/>
        </w:rPr>
        <w:t>[11]</w:t>
      </w:r>
      <w:r w:rsidR="009B0D0E" w:rsidRPr="00EE727F">
        <w:rPr>
          <w:rFonts w:eastAsiaTheme="minorHAnsi"/>
          <w:color w:val="auto"/>
          <w:sz w:val="22"/>
        </w:rPr>
        <w:fldChar w:fldCharType="end"/>
      </w:r>
      <w:r w:rsidR="00E069B9" w:rsidRPr="00EE727F">
        <w:rPr>
          <w:rFonts w:eastAsiaTheme="minorHAnsi"/>
          <w:color w:val="auto"/>
          <w:sz w:val="22"/>
        </w:rPr>
        <w:t>.</w:t>
      </w:r>
      <w:r w:rsidR="009B0D0E" w:rsidRPr="00EE727F">
        <w:rPr>
          <w:rFonts w:eastAsiaTheme="minorHAnsi" w:cstheme="majorBidi"/>
          <w:b/>
          <w:color w:val="auto"/>
          <w:sz w:val="22"/>
        </w:rPr>
        <w:t xml:space="preserve"> </w:t>
      </w:r>
    </w:p>
    <w:p w14:paraId="00B0205A" w14:textId="77777777" w:rsidR="00617C5A" w:rsidRPr="00EE727F" w:rsidRDefault="00617C5A" w:rsidP="00617C5A">
      <w:pPr>
        <w:pStyle w:val="ListParagraph"/>
        <w:rPr>
          <w:sz w:val="22"/>
        </w:rPr>
      </w:pPr>
    </w:p>
    <w:p w14:paraId="1B527FD1" w14:textId="44AEC602" w:rsidR="005A31B3" w:rsidRPr="00EE727F" w:rsidRDefault="005A31B3" w:rsidP="005A31B3">
      <w:pPr>
        <w:pStyle w:val="Heading2"/>
        <w:rPr>
          <w:rFonts w:eastAsiaTheme="minorHAnsi"/>
          <w:sz w:val="22"/>
          <w:szCs w:val="22"/>
        </w:rPr>
      </w:pPr>
      <w:bookmarkStart w:id="8" w:name="_Toc93925439"/>
      <w:r w:rsidRPr="00EE727F">
        <w:rPr>
          <w:rFonts w:eastAsiaTheme="minorHAnsi"/>
          <w:sz w:val="22"/>
          <w:szCs w:val="22"/>
        </w:rPr>
        <w:t xml:space="preserve">Supplementary </w:t>
      </w:r>
      <w:r w:rsidR="00AD6C3A" w:rsidRPr="00EE727F">
        <w:rPr>
          <w:rFonts w:eastAsiaTheme="minorHAnsi"/>
          <w:sz w:val="22"/>
          <w:szCs w:val="22"/>
        </w:rPr>
        <w:t>Methods</w:t>
      </w:r>
      <w:r w:rsidRPr="00EE727F">
        <w:rPr>
          <w:rFonts w:eastAsiaTheme="minorHAnsi"/>
          <w:sz w:val="22"/>
          <w:szCs w:val="22"/>
        </w:rPr>
        <w:t xml:space="preserve"> 3. Updated classification of patients with a</w:t>
      </w:r>
      <w:r w:rsidR="003B4299" w:rsidRPr="00EE727F">
        <w:rPr>
          <w:rFonts w:eastAsiaTheme="minorHAnsi"/>
          <w:sz w:val="22"/>
          <w:szCs w:val="22"/>
        </w:rPr>
        <w:t xml:space="preserve"> Multidisciplinary Discussion</w:t>
      </w:r>
      <w:r w:rsidRPr="00EE727F">
        <w:rPr>
          <w:rFonts w:eastAsiaTheme="minorHAnsi"/>
          <w:sz w:val="22"/>
          <w:szCs w:val="22"/>
        </w:rPr>
        <w:t xml:space="preserve"> </w:t>
      </w:r>
      <w:r w:rsidR="003B4299" w:rsidRPr="00EE727F">
        <w:rPr>
          <w:rFonts w:eastAsiaTheme="minorHAnsi"/>
          <w:sz w:val="22"/>
          <w:szCs w:val="22"/>
        </w:rPr>
        <w:t>(</w:t>
      </w:r>
      <w:r w:rsidRPr="00EE727F">
        <w:rPr>
          <w:rFonts w:eastAsiaTheme="minorHAnsi"/>
          <w:sz w:val="22"/>
          <w:szCs w:val="22"/>
        </w:rPr>
        <w:t>MDD</w:t>
      </w:r>
      <w:r w:rsidR="003B4299" w:rsidRPr="00EE727F">
        <w:rPr>
          <w:rFonts w:eastAsiaTheme="minorHAnsi"/>
          <w:sz w:val="22"/>
          <w:szCs w:val="22"/>
        </w:rPr>
        <w:t>)</w:t>
      </w:r>
      <w:r w:rsidRPr="00EE727F">
        <w:rPr>
          <w:rFonts w:eastAsiaTheme="minorHAnsi"/>
          <w:sz w:val="22"/>
          <w:szCs w:val="22"/>
        </w:rPr>
        <w:t xml:space="preserve"> diagnosis of</w:t>
      </w:r>
      <w:r w:rsidR="003B4299" w:rsidRPr="00EE727F">
        <w:rPr>
          <w:rFonts w:eastAsiaTheme="minorHAnsi"/>
          <w:sz w:val="22"/>
          <w:szCs w:val="22"/>
        </w:rPr>
        <w:t xml:space="preserve"> Idiopathic Pulmonary Fibrosis</w:t>
      </w:r>
      <w:r w:rsidRPr="00EE727F">
        <w:rPr>
          <w:rFonts w:eastAsiaTheme="minorHAnsi"/>
          <w:sz w:val="22"/>
          <w:szCs w:val="22"/>
        </w:rPr>
        <w:t xml:space="preserve"> </w:t>
      </w:r>
      <w:r w:rsidR="003B4299" w:rsidRPr="00EE727F">
        <w:rPr>
          <w:rFonts w:eastAsiaTheme="minorHAnsi"/>
          <w:sz w:val="22"/>
          <w:szCs w:val="22"/>
        </w:rPr>
        <w:t>(</w:t>
      </w:r>
      <w:r w:rsidRPr="00EE727F">
        <w:rPr>
          <w:rFonts w:eastAsiaTheme="minorHAnsi"/>
          <w:sz w:val="22"/>
          <w:szCs w:val="22"/>
        </w:rPr>
        <w:t>IPF</w:t>
      </w:r>
      <w:r w:rsidR="003B4299" w:rsidRPr="00EE727F">
        <w:rPr>
          <w:rFonts w:eastAsiaTheme="minorHAnsi"/>
          <w:sz w:val="22"/>
          <w:szCs w:val="22"/>
        </w:rPr>
        <w:t>)</w:t>
      </w:r>
      <w:r w:rsidRPr="00EE727F">
        <w:rPr>
          <w:rFonts w:eastAsiaTheme="minorHAnsi"/>
          <w:sz w:val="22"/>
          <w:szCs w:val="22"/>
        </w:rPr>
        <w:t xml:space="preserve"> or Unclassifiable.</w:t>
      </w:r>
      <w:bookmarkEnd w:id="8"/>
    </w:p>
    <w:p w14:paraId="5D98E835" w14:textId="5FB96517" w:rsidR="00617C5A" w:rsidRPr="00EE727F" w:rsidRDefault="00617C5A" w:rsidP="00617C5A">
      <w:pPr>
        <w:spacing w:after="160"/>
        <w:ind w:left="0" w:firstLine="0"/>
        <w:rPr>
          <w:rFonts w:eastAsiaTheme="minorHAnsi"/>
          <w:sz w:val="22"/>
        </w:rPr>
      </w:pPr>
      <w:bookmarkStart w:id="9" w:name="_Hlk92006360"/>
      <w:r w:rsidRPr="00EE727F">
        <w:rPr>
          <w:sz w:val="22"/>
        </w:rPr>
        <w:t xml:space="preserve">Patients with an initial MDD diagnosis of IPF (n=125) were reclassified as “IPAF” (n=4) or “CTD-ILD” (n=5) based on the presence of the </w:t>
      </w:r>
      <w:proofErr w:type="gramStart"/>
      <w:r w:rsidRPr="00EE727F">
        <w:rPr>
          <w:sz w:val="22"/>
        </w:rPr>
        <w:t>aforementioned classification</w:t>
      </w:r>
      <w:proofErr w:type="gramEnd"/>
      <w:r w:rsidRPr="00EE727F">
        <w:rPr>
          <w:sz w:val="22"/>
        </w:rPr>
        <w:t xml:space="preserve"> criteria for IPAF and CTD-ILD </w:t>
      </w:r>
      <w:r w:rsidR="00A50823" w:rsidRPr="00EE727F">
        <w:rPr>
          <w:sz w:val="22"/>
        </w:rPr>
        <w:t>(</w:t>
      </w:r>
      <w:r w:rsidRPr="00EE727F">
        <w:rPr>
          <w:sz w:val="22"/>
        </w:rPr>
        <w:t xml:space="preserve">at baseline) </w:t>
      </w:r>
      <w:bookmarkEnd w:id="9"/>
      <w:r w:rsidRPr="00EE727F">
        <w:rPr>
          <w:sz w:val="22"/>
        </w:rPr>
        <w:t>(</w:t>
      </w:r>
      <w:r w:rsidR="0073096D" w:rsidRPr="00EE727F">
        <w:rPr>
          <w:b/>
          <w:bCs/>
          <w:sz w:val="22"/>
        </w:rPr>
        <w:t>Supplementary Figure 2</w:t>
      </w:r>
      <w:r w:rsidRPr="00EE727F">
        <w:rPr>
          <w:sz w:val="22"/>
        </w:rPr>
        <w:t>). Patients with an initial MDD diagnosis of IPF (n=125) were assigned a final study classification of “Other or Unclassifiable” (n=3) only if additional radiographic or histopathologic data acquired after the date of MDD was deemed inconsistent with idiopathic UIP. Finally, patients initially given a non-IPF MDD diagnosis</w:t>
      </w:r>
      <w:r w:rsidR="00B25237" w:rsidRPr="00EE727F">
        <w:rPr>
          <w:sz w:val="22"/>
        </w:rPr>
        <w:t xml:space="preserve"> </w:t>
      </w:r>
      <w:r w:rsidRPr="00EE727F">
        <w:rPr>
          <w:sz w:val="22"/>
        </w:rPr>
        <w:t xml:space="preserve">were reclassified as IPF (n=13) only if additional radiologic or histopathologic information obtained </w:t>
      </w:r>
      <w:r w:rsidRPr="00EE727F">
        <w:rPr>
          <w:sz w:val="22"/>
        </w:rPr>
        <w:lastRenderedPageBreak/>
        <w:t>after the date of the MDD indicated the presence of UIP without an alternate cause throughout the entirety of follow-up.</w:t>
      </w:r>
      <w:r w:rsidRPr="00EE727F">
        <w:rPr>
          <w:rFonts w:eastAsiaTheme="minorHAnsi"/>
          <w:sz w:val="22"/>
        </w:rPr>
        <w:br w:type="page"/>
      </w:r>
    </w:p>
    <w:p w14:paraId="3B601705" w14:textId="7F96F93C" w:rsidR="00F96CF1" w:rsidRPr="00EE727F" w:rsidRDefault="00F96CF1" w:rsidP="00F96CF1">
      <w:pPr>
        <w:pStyle w:val="Heading2"/>
        <w:rPr>
          <w:noProof/>
          <w:sz w:val="22"/>
          <w:szCs w:val="22"/>
        </w:rPr>
      </w:pPr>
      <w:bookmarkStart w:id="10" w:name="_Toc93925440"/>
      <w:r w:rsidRPr="00EE727F">
        <w:rPr>
          <w:sz w:val="22"/>
          <w:szCs w:val="22"/>
        </w:rPr>
        <w:lastRenderedPageBreak/>
        <w:t>Supplementary Table 1:</w:t>
      </w:r>
      <w:r w:rsidRPr="00EE727F">
        <w:rPr>
          <w:noProof/>
          <w:sz w:val="22"/>
          <w:szCs w:val="22"/>
        </w:rPr>
        <w:t xml:space="preserve"> Comparison of the </w:t>
      </w:r>
      <w:r w:rsidR="00B76A52" w:rsidRPr="00EE727F">
        <w:rPr>
          <w:noProof/>
          <w:sz w:val="22"/>
          <w:szCs w:val="22"/>
        </w:rPr>
        <w:t xml:space="preserve">baseline </w:t>
      </w:r>
      <w:r w:rsidRPr="00EE727F">
        <w:rPr>
          <w:noProof/>
          <w:sz w:val="22"/>
          <w:szCs w:val="22"/>
        </w:rPr>
        <w:t xml:space="preserve">clinical and therapeutic characteristics of MDD </w:t>
      </w:r>
      <w:r w:rsidR="000031A8" w:rsidRPr="00EE727F">
        <w:rPr>
          <w:noProof/>
          <w:sz w:val="22"/>
          <w:szCs w:val="22"/>
        </w:rPr>
        <w:t>d</w:t>
      </w:r>
      <w:r w:rsidRPr="00EE727F">
        <w:rPr>
          <w:noProof/>
          <w:sz w:val="22"/>
          <w:szCs w:val="22"/>
        </w:rPr>
        <w:t>iagnoses</w:t>
      </w:r>
      <w:r w:rsidR="00B76A52" w:rsidRPr="00EE727F">
        <w:rPr>
          <w:noProof/>
          <w:sz w:val="22"/>
          <w:szCs w:val="22"/>
        </w:rPr>
        <w:t xml:space="preserve"> prior to </w:t>
      </w:r>
      <w:r w:rsidR="00645D6E" w:rsidRPr="00EE727F">
        <w:rPr>
          <w:noProof/>
          <w:sz w:val="22"/>
          <w:szCs w:val="22"/>
        </w:rPr>
        <w:t xml:space="preserve">final </w:t>
      </w:r>
      <w:r w:rsidR="00B76A52" w:rsidRPr="00EE727F">
        <w:rPr>
          <w:noProof/>
          <w:sz w:val="22"/>
          <w:szCs w:val="22"/>
        </w:rPr>
        <w:t>study classification</w:t>
      </w:r>
      <w:r w:rsidRPr="00EE727F">
        <w:rPr>
          <w:noProof/>
          <w:sz w:val="22"/>
          <w:szCs w:val="22"/>
        </w:rPr>
        <w:t>.</w:t>
      </w:r>
      <w:bookmarkEnd w:id="10"/>
    </w:p>
    <w:p w14:paraId="705FF028" w14:textId="1A536055" w:rsidR="00F96CF1" w:rsidRPr="00EE727F" w:rsidRDefault="00F96CF1" w:rsidP="006E401C">
      <w:pPr>
        <w:spacing w:after="5"/>
        <w:rPr>
          <w:sz w:val="22"/>
        </w:rPr>
      </w:pPr>
      <w:r w:rsidRPr="00EE727F">
        <w:rPr>
          <w:noProof/>
          <w:sz w:val="22"/>
        </w:rPr>
        <w:t xml:space="preserve">IPF = idiopathic pulmonary fibrosis; CTD-ILD = connective tissue disease interstitial lung disease; </w:t>
      </w:r>
      <w:r w:rsidR="000E4889" w:rsidRPr="00EE727F">
        <w:rPr>
          <w:noProof/>
          <w:sz w:val="22"/>
        </w:rPr>
        <w:t>COP = cryptogenic organizing pneumonia; i</w:t>
      </w:r>
      <w:r w:rsidRPr="00EE727F">
        <w:rPr>
          <w:noProof/>
          <w:sz w:val="22"/>
        </w:rPr>
        <w:t xml:space="preserve">NSIP = </w:t>
      </w:r>
      <w:r w:rsidR="000E4889" w:rsidRPr="00EE727F">
        <w:rPr>
          <w:noProof/>
          <w:sz w:val="22"/>
        </w:rPr>
        <w:t xml:space="preserve">idiopathic </w:t>
      </w:r>
      <w:r w:rsidRPr="00EE727F">
        <w:rPr>
          <w:noProof/>
          <w:sz w:val="22"/>
        </w:rPr>
        <w:t>nonspecific interstitial pneumonia; LIP = lymphoid interstitial pneumonia.</w:t>
      </w:r>
      <w:r w:rsidR="000E4889" w:rsidRPr="00EE727F">
        <w:rPr>
          <w:noProof/>
          <w:sz w:val="22"/>
        </w:rPr>
        <w:t xml:space="preserve"> Denominators or sample sizes within parentheses are provided for missing values. Race (Other) includes Latino, Native American, Pacific Islander, or unknown. Continuous variables are reported as mean ± S.D or as median [interquartile range]. Discrete variables are reported as counts (% of group total). FVC = forced vital capacity; FEV1 = forced expiratory volume in one second; TLC = total lung capacity; DLCO = diffusing capacity of carbon monoxide; 6MWT = 6-minute walk test; UIP = usual interstitial pneumonia; HRCT = high-resolution computed tomography (of the chest); “ILD glucocorticoid-sparing therapy” includes mycophenolate mofetil, azathioprine, tacrolimus, rituximab, or cyclophosphamide “Non-ILD glucocorticoid-sparing therapy” includes methotrexate, anti-TNFα biologics, anakinra, leflunomide, and hydroxychloroquine; “immunosuppression during follow-up” excludes immunosuppressive treatments rendered after lung transplant; “Antifibrotics” includes pirfenidone or nintedanib. </w:t>
      </w:r>
    </w:p>
    <w:p w14:paraId="4B9B5CEB" w14:textId="3B177882" w:rsidR="00F96CF1" w:rsidRPr="00EE727F" w:rsidRDefault="00D57E55" w:rsidP="00617C5A">
      <w:pPr>
        <w:spacing w:after="160"/>
        <w:ind w:left="0" w:firstLine="0"/>
        <w:rPr>
          <w:sz w:val="22"/>
        </w:rPr>
      </w:pPr>
      <w:r w:rsidRPr="00EE727F">
        <w:rPr>
          <w:noProof/>
          <w:sz w:val="22"/>
        </w:rPr>
        <w:lastRenderedPageBreak/>
        <w:drawing>
          <wp:inline distT="0" distB="0" distL="0" distR="0" wp14:anchorId="266876F2" wp14:editId="4E80642F">
            <wp:extent cx="5943600" cy="3991610"/>
            <wp:effectExtent l="0" t="0" r="0" b="8890"/>
            <wp:docPr id="10" name="Picture 4" descr="Shape&#10;&#10;Description automatically generated with medium confidence">
              <a:extLst xmlns:a="http://schemas.openxmlformats.org/drawingml/2006/main">
                <a:ext uri="{FF2B5EF4-FFF2-40B4-BE49-F238E27FC236}">
                  <a16:creationId xmlns:a16="http://schemas.microsoft.com/office/drawing/2014/main" id="{23DE44EB-F5D6-407F-B41B-F901EAC535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 descr="Shape&#10;&#10;Description automatically generated with medium confidence">
                      <a:extLst>
                        <a:ext uri="{FF2B5EF4-FFF2-40B4-BE49-F238E27FC236}">
                          <a16:creationId xmlns:a16="http://schemas.microsoft.com/office/drawing/2014/main" id="{23DE44EB-F5D6-407F-B41B-F901EAC5355C}"/>
                        </a:ext>
                      </a:extLst>
                    </pic:cNvPr>
                    <pic:cNvPicPr>
                      <a:picLocks noChangeAspect="1"/>
                    </pic:cNvPicPr>
                  </pic:nvPicPr>
                  <pic:blipFill>
                    <a:blip r:embed="rId9"/>
                    <a:stretch>
                      <a:fillRect/>
                    </a:stretch>
                  </pic:blipFill>
                  <pic:spPr>
                    <a:xfrm>
                      <a:off x="0" y="0"/>
                      <a:ext cx="5943600" cy="3991610"/>
                    </a:xfrm>
                    <a:prstGeom prst="rect">
                      <a:avLst/>
                    </a:prstGeom>
                  </pic:spPr>
                </pic:pic>
              </a:graphicData>
            </a:graphic>
          </wp:inline>
        </w:drawing>
      </w:r>
    </w:p>
    <w:p w14:paraId="788C6071" w14:textId="77777777" w:rsidR="00D57E55" w:rsidRPr="00EE727F" w:rsidRDefault="00D57E55">
      <w:pPr>
        <w:spacing w:after="160" w:line="259" w:lineRule="auto"/>
        <w:ind w:left="0" w:firstLine="0"/>
        <w:rPr>
          <w:rFonts w:eastAsiaTheme="majorEastAsia" w:cstheme="majorBidi"/>
          <w:b/>
          <w:color w:val="auto"/>
          <w:sz w:val="22"/>
        </w:rPr>
      </w:pPr>
      <w:r w:rsidRPr="00EE727F">
        <w:rPr>
          <w:sz w:val="22"/>
        </w:rPr>
        <w:br w:type="page"/>
      </w:r>
    </w:p>
    <w:p w14:paraId="13559461" w14:textId="77777777" w:rsidR="00B76A52" w:rsidRPr="00EE727F" w:rsidRDefault="00B76A52" w:rsidP="00B76A52">
      <w:pPr>
        <w:pStyle w:val="Heading2"/>
        <w:tabs>
          <w:tab w:val="left" w:pos="2610"/>
        </w:tabs>
        <w:rPr>
          <w:sz w:val="22"/>
          <w:szCs w:val="22"/>
        </w:rPr>
      </w:pPr>
      <w:bookmarkStart w:id="11" w:name="_Toc93925441"/>
      <w:bookmarkStart w:id="12" w:name="_Hlk92230747"/>
      <w:r w:rsidRPr="00EE727F">
        <w:rPr>
          <w:sz w:val="22"/>
          <w:szCs w:val="22"/>
        </w:rPr>
        <w:lastRenderedPageBreak/>
        <w:t>Supplementary Figure 2. Relationship between initial MDD diagnoses and final study classification after retrospective review of follow-up data.</w:t>
      </w:r>
      <w:bookmarkEnd w:id="11"/>
    </w:p>
    <w:p w14:paraId="4A7AFAD9" w14:textId="6FEC32C2" w:rsidR="00B76A52" w:rsidRPr="00EE727F" w:rsidRDefault="00B76A52" w:rsidP="006E401C">
      <w:pPr>
        <w:tabs>
          <w:tab w:val="left" w:pos="2610"/>
        </w:tabs>
        <w:ind w:left="0" w:firstLine="0"/>
        <w:rPr>
          <w:sz w:val="22"/>
        </w:rPr>
      </w:pPr>
      <w:r w:rsidRPr="00EE727F">
        <w:rPr>
          <w:sz w:val="22"/>
        </w:rPr>
        <w:t xml:space="preserve">MDD diagnoses for the 26 patients with MDD classifications of CTD-ILD that were subsequently classified as IPAF included the following: 10 UCTD, 4 MCTD, 3 DM/PM, 3 RA, 2 ASyS, 2 SLE, 1 </w:t>
      </w:r>
      <w:proofErr w:type="spellStart"/>
      <w:r w:rsidRPr="00EE727F">
        <w:rPr>
          <w:sz w:val="22"/>
        </w:rPr>
        <w:t>SSc</w:t>
      </w:r>
      <w:proofErr w:type="spellEnd"/>
      <w:r w:rsidRPr="00EE727F">
        <w:rPr>
          <w:sz w:val="22"/>
        </w:rPr>
        <w:t xml:space="preserve">, and 1 SS. </w:t>
      </w:r>
      <w:bookmarkEnd w:id="12"/>
      <w:r w:rsidRPr="00EE727F">
        <w:rPr>
          <w:sz w:val="22"/>
        </w:rPr>
        <w:t xml:space="preserve">UCTD = undifferentiated connective tissue disease; MCTD = mixed connective tissue disease; DM/PM = </w:t>
      </w:r>
      <w:proofErr w:type="spellStart"/>
      <w:r w:rsidRPr="00EE727F">
        <w:rPr>
          <w:sz w:val="22"/>
        </w:rPr>
        <w:t>polymositis</w:t>
      </w:r>
      <w:proofErr w:type="spellEnd"/>
      <w:r w:rsidRPr="00EE727F">
        <w:rPr>
          <w:sz w:val="22"/>
        </w:rPr>
        <w:t xml:space="preserve">/dermatomyositis; RA = rheumatoid arthritis; ASyS = </w:t>
      </w:r>
      <w:proofErr w:type="spellStart"/>
      <w:r w:rsidRPr="00EE727F">
        <w:rPr>
          <w:sz w:val="22"/>
        </w:rPr>
        <w:t>antisynthetase</w:t>
      </w:r>
      <w:proofErr w:type="spellEnd"/>
      <w:r w:rsidRPr="00EE727F">
        <w:rPr>
          <w:sz w:val="22"/>
        </w:rPr>
        <w:t xml:space="preserve"> syndrome; SLE = systemic lupus erythematosus; </w:t>
      </w:r>
      <w:proofErr w:type="spellStart"/>
      <w:r w:rsidRPr="00EE727F">
        <w:rPr>
          <w:sz w:val="22"/>
        </w:rPr>
        <w:t>SSc</w:t>
      </w:r>
      <w:proofErr w:type="spellEnd"/>
      <w:r w:rsidRPr="00EE727F">
        <w:rPr>
          <w:sz w:val="22"/>
        </w:rPr>
        <w:t xml:space="preserve"> = systemic sclerosis; SS = Sjogren’s syndrome. </w:t>
      </w:r>
      <w:proofErr w:type="spellStart"/>
      <w:r w:rsidRPr="00EE727F">
        <w:rPr>
          <w:sz w:val="22"/>
        </w:rPr>
        <w:t>iNSIP</w:t>
      </w:r>
      <w:proofErr w:type="spellEnd"/>
      <w:r w:rsidRPr="00EE727F">
        <w:rPr>
          <w:sz w:val="22"/>
        </w:rPr>
        <w:t xml:space="preserve"> = idiopathic nonspecific interstitial pneumonia; COP = cryptogenic organizing pneumonia; LIP = lymphoid interstitial pneumonia; IPAF = interstitial pneumonia with autoimmune features; CTD-ILD = connective tissue disease-associated interstitial lung disease; IPF = idiopathic pulmonary fibrosis.</w:t>
      </w:r>
    </w:p>
    <w:p w14:paraId="7FC4BE87" w14:textId="192E35DA" w:rsidR="00B76A52" w:rsidRPr="00EE727F" w:rsidRDefault="008F53A0" w:rsidP="006E401C">
      <w:pPr>
        <w:tabs>
          <w:tab w:val="left" w:pos="2610"/>
        </w:tabs>
        <w:spacing w:after="160"/>
        <w:ind w:left="0" w:firstLine="0"/>
        <w:rPr>
          <w:rStyle w:val="Heading2Char"/>
          <w:color w:val="auto"/>
          <w:sz w:val="22"/>
          <w:szCs w:val="22"/>
        </w:rPr>
      </w:pPr>
      <w:r w:rsidRPr="00EE727F">
        <w:rPr>
          <w:b/>
          <w:bCs/>
          <w:noProof/>
          <w:sz w:val="22"/>
        </w:rPr>
        <w:drawing>
          <wp:inline distT="0" distB="0" distL="0" distR="0" wp14:anchorId="4BB39634" wp14:editId="4E1A48A0">
            <wp:extent cx="5943600" cy="3147060"/>
            <wp:effectExtent l="0" t="0" r="0" b="0"/>
            <wp:docPr id="9" name="Picture 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able&#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147060"/>
                    </a:xfrm>
                    <a:prstGeom prst="rect">
                      <a:avLst/>
                    </a:prstGeom>
                    <a:noFill/>
                  </pic:spPr>
                </pic:pic>
              </a:graphicData>
            </a:graphic>
          </wp:inline>
        </w:drawing>
      </w:r>
    </w:p>
    <w:p w14:paraId="59E4A82A" w14:textId="2A9061DC" w:rsidR="00B76A52" w:rsidRPr="00EE727F" w:rsidRDefault="00B76A52" w:rsidP="00B76A52">
      <w:pPr>
        <w:pStyle w:val="Heading2"/>
        <w:rPr>
          <w:sz w:val="22"/>
          <w:szCs w:val="22"/>
        </w:rPr>
      </w:pPr>
      <w:bookmarkStart w:id="13" w:name="_Toc93925442"/>
      <w:r w:rsidRPr="00EE727F">
        <w:rPr>
          <w:rStyle w:val="Heading2Char"/>
          <w:b/>
          <w:sz w:val="22"/>
          <w:szCs w:val="22"/>
        </w:rPr>
        <w:lastRenderedPageBreak/>
        <w:t>Supplementary Figure 3: Relative proportion</w:t>
      </w:r>
      <w:r w:rsidRPr="00EE727F">
        <w:rPr>
          <w:sz w:val="22"/>
          <w:szCs w:val="22"/>
        </w:rPr>
        <w:t xml:space="preserve"> of different </w:t>
      </w:r>
      <w:r w:rsidR="00E63958" w:rsidRPr="00EE727F">
        <w:rPr>
          <w:sz w:val="22"/>
          <w:szCs w:val="22"/>
        </w:rPr>
        <w:t>connective tissue diseases (</w:t>
      </w:r>
      <w:r w:rsidRPr="00EE727F">
        <w:rPr>
          <w:sz w:val="22"/>
          <w:szCs w:val="22"/>
        </w:rPr>
        <w:t>CTDs</w:t>
      </w:r>
      <w:r w:rsidR="00E63958" w:rsidRPr="00EE727F">
        <w:rPr>
          <w:sz w:val="22"/>
          <w:szCs w:val="22"/>
        </w:rPr>
        <w:t>)</w:t>
      </w:r>
      <w:r w:rsidRPr="00EE727F">
        <w:rPr>
          <w:sz w:val="22"/>
          <w:szCs w:val="22"/>
        </w:rPr>
        <w:t xml:space="preserve"> in patients with</w:t>
      </w:r>
      <w:r w:rsidR="00E63958" w:rsidRPr="00EE727F">
        <w:rPr>
          <w:sz w:val="22"/>
          <w:szCs w:val="22"/>
        </w:rPr>
        <w:t xml:space="preserve"> connective tissue disease-</w:t>
      </w:r>
      <w:r w:rsidR="00AD3445" w:rsidRPr="00EE727F">
        <w:rPr>
          <w:sz w:val="22"/>
          <w:szCs w:val="22"/>
        </w:rPr>
        <w:t>associated interstitial lung disease</w:t>
      </w:r>
      <w:r w:rsidRPr="00EE727F">
        <w:rPr>
          <w:sz w:val="22"/>
          <w:szCs w:val="22"/>
        </w:rPr>
        <w:t xml:space="preserve"> </w:t>
      </w:r>
      <w:r w:rsidR="00AD3445" w:rsidRPr="00EE727F">
        <w:rPr>
          <w:sz w:val="22"/>
          <w:szCs w:val="22"/>
        </w:rPr>
        <w:t>(</w:t>
      </w:r>
      <w:r w:rsidRPr="00EE727F">
        <w:rPr>
          <w:sz w:val="22"/>
          <w:szCs w:val="22"/>
        </w:rPr>
        <w:t>CTD-ILD</w:t>
      </w:r>
      <w:r w:rsidR="00AD3445" w:rsidRPr="00EE727F">
        <w:rPr>
          <w:sz w:val="22"/>
          <w:szCs w:val="22"/>
        </w:rPr>
        <w:t>)</w:t>
      </w:r>
      <w:r w:rsidRPr="00EE727F">
        <w:rPr>
          <w:sz w:val="22"/>
          <w:szCs w:val="22"/>
        </w:rPr>
        <w:t>.</w:t>
      </w:r>
      <w:bookmarkEnd w:id="13"/>
    </w:p>
    <w:p w14:paraId="34144380" w14:textId="77777777" w:rsidR="00B76A52" w:rsidRPr="00EE727F" w:rsidRDefault="00B76A52" w:rsidP="00B76A52">
      <w:pPr>
        <w:ind w:left="0" w:firstLine="0"/>
        <w:rPr>
          <w:sz w:val="22"/>
        </w:rPr>
      </w:pPr>
      <w:r w:rsidRPr="00EE727F">
        <w:rPr>
          <w:sz w:val="22"/>
        </w:rPr>
        <w:t xml:space="preserve">The compound bar graph indicates the proportion of a given CTD with a UIP pattern. </w:t>
      </w:r>
      <w:proofErr w:type="spellStart"/>
      <w:r w:rsidRPr="00EE727F">
        <w:rPr>
          <w:sz w:val="22"/>
        </w:rPr>
        <w:t>Antisynthetase</w:t>
      </w:r>
      <w:proofErr w:type="spellEnd"/>
      <w:r w:rsidRPr="00EE727F">
        <w:rPr>
          <w:sz w:val="22"/>
        </w:rPr>
        <w:t xml:space="preserve">/MDA5 = </w:t>
      </w:r>
      <w:proofErr w:type="spellStart"/>
      <w:r w:rsidRPr="00EE727F">
        <w:rPr>
          <w:sz w:val="22"/>
        </w:rPr>
        <w:t>antisynthetase</w:t>
      </w:r>
      <w:proofErr w:type="spellEnd"/>
      <w:r w:rsidRPr="00EE727F">
        <w:rPr>
          <w:sz w:val="22"/>
        </w:rPr>
        <w:t xml:space="preserve"> syndrome or anti-MDA5 antibody dermatomyositis; DM or PM = dermatomyositis or polymyositis; Sjögren’s = Sjögren’s syndrome; AAV = ANCA-associated vasculitis; “Other” includes 1 patient with a </w:t>
      </w:r>
      <w:proofErr w:type="spellStart"/>
      <w:r w:rsidRPr="00EE727F">
        <w:rPr>
          <w:sz w:val="22"/>
        </w:rPr>
        <w:t>SSc</w:t>
      </w:r>
      <w:proofErr w:type="spellEnd"/>
      <w:r w:rsidRPr="00EE727F">
        <w:rPr>
          <w:sz w:val="22"/>
        </w:rPr>
        <w:t>/RA overlap, 1 patient with AAV/RA overlap, and 1 patient with primary antiphospholipid syndrome.</w:t>
      </w:r>
    </w:p>
    <w:p w14:paraId="086E6317" w14:textId="01F515F1" w:rsidR="00B76A52" w:rsidRPr="00EE727F" w:rsidRDefault="00B76A52" w:rsidP="00B76A52">
      <w:pPr>
        <w:ind w:left="0" w:firstLine="0"/>
        <w:jc w:val="center"/>
        <w:rPr>
          <w:sz w:val="22"/>
        </w:rPr>
      </w:pPr>
      <w:r w:rsidRPr="00EE727F">
        <w:rPr>
          <w:noProof/>
          <w:sz w:val="22"/>
        </w:rPr>
        <w:drawing>
          <wp:inline distT="0" distB="0" distL="0" distR="0" wp14:anchorId="4F8A51B7" wp14:editId="086DBA71">
            <wp:extent cx="5943600" cy="4337685"/>
            <wp:effectExtent l="0" t="0" r="0" b="5715"/>
            <wp:docPr id="12" name="Picture 1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5943600" cy="4337685"/>
                    </a:xfrm>
                    <a:prstGeom prst="rect">
                      <a:avLst/>
                    </a:prstGeom>
                  </pic:spPr>
                </pic:pic>
              </a:graphicData>
            </a:graphic>
          </wp:inline>
        </w:drawing>
      </w:r>
    </w:p>
    <w:p w14:paraId="0DDC17D0" w14:textId="559D3410" w:rsidR="00B76A52" w:rsidRPr="00EE727F" w:rsidRDefault="00B76A52" w:rsidP="00B76A52">
      <w:pPr>
        <w:spacing w:after="160" w:line="259" w:lineRule="auto"/>
        <w:ind w:left="0" w:firstLine="0"/>
        <w:rPr>
          <w:bCs/>
          <w:noProof/>
          <w:sz w:val="22"/>
        </w:rPr>
      </w:pPr>
      <w:r w:rsidRPr="00EE727F">
        <w:rPr>
          <w:bCs/>
          <w:noProof/>
          <w:sz w:val="22"/>
        </w:rPr>
        <w:br w:type="page"/>
      </w:r>
    </w:p>
    <w:p w14:paraId="21436B5C" w14:textId="4B7DF80D" w:rsidR="00D23F7C" w:rsidRPr="00EE727F" w:rsidRDefault="00D23F7C" w:rsidP="00D23F7C">
      <w:pPr>
        <w:pStyle w:val="Heading2"/>
        <w:rPr>
          <w:sz w:val="22"/>
          <w:szCs w:val="22"/>
        </w:rPr>
      </w:pPr>
      <w:bookmarkStart w:id="14" w:name="_Toc93925443"/>
      <w:r w:rsidRPr="00EE727F">
        <w:rPr>
          <w:bCs/>
          <w:noProof/>
          <w:sz w:val="22"/>
          <w:szCs w:val="22"/>
        </w:rPr>
        <w:lastRenderedPageBreak/>
        <w:t>Supplementary Figure 4:</w:t>
      </w:r>
      <w:r w:rsidRPr="00EE727F">
        <w:rPr>
          <w:noProof/>
          <w:sz w:val="22"/>
          <w:szCs w:val="22"/>
        </w:rPr>
        <w:t xml:space="preserve"> </w:t>
      </w:r>
      <w:r w:rsidRPr="00EE727F">
        <w:rPr>
          <w:sz w:val="22"/>
          <w:szCs w:val="22"/>
        </w:rPr>
        <w:t>Relative proportions of patients with a given CTD-ILD who were diagnosed with interstitial lung disease (ILD) either prior to, or concurrently with, their CTD diagnosis.</w:t>
      </w:r>
      <w:bookmarkEnd w:id="14"/>
    </w:p>
    <w:p w14:paraId="327A64F7" w14:textId="77777777" w:rsidR="00D23F7C" w:rsidRPr="00EE727F" w:rsidRDefault="00D23F7C" w:rsidP="00D23F7C">
      <w:pPr>
        <w:ind w:left="0" w:firstLine="0"/>
        <w:rPr>
          <w:sz w:val="22"/>
        </w:rPr>
      </w:pPr>
      <w:r w:rsidRPr="00EE727F">
        <w:rPr>
          <w:sz w:val="22"/>
        </w:rPr>
        <w:t xml:space="preserve">“ILD diagnosed ‘prior to’ CTD” in patients with CTD-ILD was specified as an ILD diagnosis established more than 6 months prior to the date of CTD diagnosis. “ILD diagnosed ‘concurrently with’ CTD” in patients with CTD-ILD was specified as an ILD diagnosis established within 6 months of the date of CTD diagnosis. Pairwise statistical comparisons were performed for the </w:t>
      </w:r>
      <w:proofErr w:type="gramStart"/>
      <w:r w:rsidRPr="00EE727F">
        <w:rPr>
          <w:sz w:val="22"/>
        </w:rPr>
        <w:t>most commonly observed</w:t>
      </w:r>
      <w:proofErr w:type="gramEnd"/>
      <w:r w:rsidRPr="00EE727F">
        <w:rPr>
          <w:sz w:val="22"/>
        </w:rPr>
        <w:t xml:space="preserve"> CTD-ILDs, depicted below. Additional pairwise comparisons not depicted did not meet the threshold for statistical significance. MDA5 = anti-MDA5 dermatomyositis; Sjögren’s = Sjögren’s syndrome.</w:t>
      </w:r>
    </w:p>
    <w:p w14:paraId="1C802895" w14:textId="77777777" w:rsidR="00D23F7C" w:rsidRPr="00EE727F" w:rsidRDefault="00D23F7C" w:rsidP="00D23F7C">
      <w:pPr>
        <w:ind w:left="0" w:firstLine="0"/>
        <w:jc w:val="center"/>
        <w:rPr>
          <w:sz w:val="22"/>
        </w:rPr>
      </w:pPr>
      <w:r w:rsidRPr="00EE727F">
        <w:rPr>
          <w:noProof/>
          <w:sz w:val="22"/>
        </w:rPr>
        <w:drawing>
          <wp:inline distT="0" distB="0" distL="0" distR="0" wp14:anchorId="00009FA2" wp14:editId="32F8AB32">
            <wp:extent cx="5943600" cy="4337685"/>
            <wp:effectExtent l="0" t="0" r="0" b="571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4337685"/>
                    </a:xfrm>
                    <a:prstGeom prst="rect">
                      <a:avLst/>
                    </a:prstGeom>
                  </pic:spPr>
                </pic:pic>
              </a:graphicData>
            </a:graphic>
          </wp:inline>
        </w:drawing>
      </w:r>
    </w:p>
    <w:p w14:paraId="7BA18F3A" w14:textId="77777777" w:rsidR="00D23F7C" w:rsidRPr="00EE727F" w:rsidRDefault="00D23F7C" w:rsidP="00D23F7C">
      <w:pPr>
        <w:spacing w:after="160" w:line="259" w:lineRule="auto"/>
        <w:ind w:left="0" w:firstLine="0"/>
        <w:rPr>
          <w:rFonts w:eastAsiaTheme="majorEastAsia" w:cstheme="majorBidi"/>
          <w:b/>
          <w:bCs/>
          <w:color w:val="auto"/>
          <w:sz w:val="22"/>
        </w:rPr>
      </w:pPr>
      <w:r w:rsidRPr="00EE727F">
        <w:rPr>
          <w:bCs/>
          <w:sz w:val="22"/>
        </w:rPr>
        <w:br w:type="page"/>
      </w:r>
    </w:p>
    <w:p w14:paraId="788D6859" w14:textId="266E6A59" w:rsidR="006418E1" w:rsidRPr="00EE727F" w:rsidRDefault="006418E1" w:rsidP="006418E1">
      <w:pPr>
        <w:pStyle w:val="Heading2"/>
        <w:rPr>
          <w:noProof/>
          <w:sz w:val="22"/>
          <w:szCs w:val="22"/>
        </w:rPr>
      </w:pPr>
      <w:bookmarkStart w:id="15" w:name="_Toc93925444"/>
      <w:r w:rsidRPr="00EE727F">
        <w:rPr>
          <w:sz w:val="22"/>
          <w:szCs w:val="22"/>
        </w:rPr>
        <w:lastRenderedPageBreak/>
        <w:t xml:space="preserve">Supplementary Table </w:t>
      </w:r>
      <w:r w:rsidR="002A6AE3" w:rsidRPr="00EE727F">
        <w:rPr>
          <w:sz w:val="22"/>
          <w:szCs w:val="22"/>
        </w:rPr>
        <w:t>2</w:t>
      </w:r>
      <w:r w:rsidRPr="00EE727F">
        <w:rPr>
          <w:sz w:val="22"/>
          <w:szCs w:val="22"/>
        </w:rPr>
        <w:t>:</w:t>
      </w:r>
      <w:r w:rsidRPr="00EE727F">
        <w:rPr>
          <w:noProof/>
          <w:sz w:val="22"/>
          <w:szCs w:val="22"/>
        </w:rPr>
        <w:t xml:space="preserve"> Domains and domain criteria fulfilled by the cohort of patients classified as IPAF (n=60).</w:t>
      </w:r>
      <w:bookmarkEnd w:id="15"/>
    </w:p>
    <w:p w14:paraId="63E9129E" w14:textId="77777777" w:rsidR="006418E1" w:rsidRPr="00EE727F" w:rsidRDefault="006418E1" w:rsidP="006418E1">
      <w:pPr>
        <w:ind w:left="0" w:firstLine="0"/>
        <w:rPr>
          <w:noProof/>
          <w:sz w:val="22"/>
        </w:rPr>
      </w:pPr>
      <w:r w:rsidRPr="00EE727F">
        <w:rPr>
          <w:noProof/>
          <w:sz w:val="22"/>
        </w:rPr>
        <w:t>NSIP = nonspecific interstitial pneumonia; OP = organizing pneumonia; LIP = lymphoid interstitial pneumonia.</w:t>
      </w:r>
    </w:p>
    <w:tbl>
      <w:tblPr>
        <w:tblW w:w="4824" w:type="pct"/>
        <w:tblCellMar>
          <w:left w:w="0" w:type="dxa"/>
          <w:right w:w="0" w:type="dxa"/>
        </w:tblCellMar>
        <w:tblLook w:val="0420" w:firstRow="1" w:lastRow="0" w:firstColumn="0" w:lastColumn="0" w:noHBand="0" w:noVBand="1"/>
      </w:tblPr>
      <w:tblGrid>
        <w:gridCol w:w="4358"/>
        <w:gridCol w:w="1763"/>
        <w:gridCol w:w="1456"/>
        <w:gridCol w:w="1454"/>
      </w:tblGrid>
      <w:tr w:rsidR="006418E1" w:rsidRPr="00EE727F" w14:paraId="7DC11BA4" w14:textId="77777777" w:rsidTr="0036572C">
        <w:trPr>
          <w:trHeight w:val="304"/>
        </w:trPr>
        <w:tc>
          <w:tcPr>
            <w:tcW w:w="2413"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7F7C3400" w14:textId="77777777" w:rsidR="006418E1" w:rsidRPr="00EE727F" w:rsidRDefault="006418E1" w:rsidP="00675F43">
            <w:pPr>
              <w:spacing w:line="240" w:lineRule="auto"/>
              <w:ind w:left="0" w:firstLine="0"/>
              <w:rPr>
                <w:rFonts w:ascii="Times New Roman" w:eastAsia="Times New Roman" w:hAnsi="Times New Roman" w:cs="Times New Roman"/>
                <w:color w:val="auto"/>
                <w:sz w:val="22"/>
              </w:rPr>
            </w:pPr>
          </w:p>
        </w:tc>
        <w:tc>
          <w:tcPr>
            <w:tcW w:w="976"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5AE3E6D3"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 xml:space="preserve">Number of Patients </w:t>
            </w:r>
            <w:r w:rsidRPr="00EE727F">
              <w:rPr>
                <w:rFonts w:eastAsia="Times New Roman"/>
                <w:kern w:val="24"/>
                <w:sz w:val="22"/>
              </w:rPr>
              <w:t>(n)</w:t>
            </w:r>
          </w:p>
        </w:tc>
        <w:tc>
          <w:tcPr>
            <w:tcW w:w="806"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741B0C2F"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 xml:space="preserve">% </w:t>
            </w:r>
            <w:proofErr w:type="gramStart"/>
            <w:r w:rsidRPr="00EE727F">
              <w:rPr>
                <w:rFonts w:eastAsia="Times New Roman"/>
                <w:b/>
                <w:bCs/>
                <w:kern w:val="24"/>
                <w:sz w:val="22"/>
              </w:rPr>
              <w:t>of</w:t>
            </w:r>
            <w:proofErr w:type="gramEnd"/>
            <w:r w:rsidRPr="00EE727F">
              <w:rPr>
                <w:rFonts w:eastAsia="Times New Roman"/>
                <w:b/>
                <w:bCs/>
                <w:kern w:val="24"/>
                <w:sz w:val="22"/>
              </w:rPr>
              <w:t xml:space="preserve"> Domain Total</w:t>
            </w:r>
          </w:p>
        </w:tc>
        <w:tc>
          <w:tcPr>
            <w:tcW w:w="805"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4CAF579E"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 xml:space="preserve">% </w:t>
            </w:r>
            <w:proofErr w:type="gramStart"/>
            <w:r w:rsidRPr="00EE727F">
              <w:rPr>
                <w:rFonts w:eastAsia="Times New Roman"/>
                <w:b/>
                <w:bCs/>
                <w:kern w:val="24"/>
                <w:sz w:val="22"/>
              </w:rPr>
              <w:t>of</w:t>
            </w:r>
            <w:proofErr w:type="gramEnd"/>
            <w:r w:rsidRPr="00EE727F">
              <w:rPr>
                <w:rFonts w:eastAsia="Times New Roman"/>
                <w:b/>
                <w:bCs/>
                <w:kern w:val="24"/>
                <w:sz w:val="22"/>
              </w:rPr>
              <w:t xml:space="preserve"> IPAF Total</w:t>
            </w:r>
          </w:p>
        </w:tc>
      </w:tr>
      <w:tr w:rsidR="006418E1" w:rsidRPr="00EE727F" w14:paraId="727E5DE0" w14:textId="77777777" w:rsidTr="0036572C">
        <w:trPr>
          <w:trHeight w:val="157"/>
        </w:trPr>
        <w:tc>
          <w:tcPr>
            <w:tcW w:w="2413"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44E5B36"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b/>
                <w:bCs/>
                <w:kern w:val="24"/>
                <w:sz w:val="22"/>
              </w:rPr>
              <w:t>Clinical Domain</w:t>
            </w:r>
          </w:p>
        </w:tc>
        <w:tc>
          <w:tcPr>
            <w:tcW w:w="976"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D0E1189" w14:textId="5753D0B7" w:rsidR="006418E1" w:rsidRPr="00EE727F" w:rsidRDefault="00636A63" w:rsidP="00675F43">
            <w:pPr>
              <w:spacing w:line="240" w:lineRule="auto"/>
              <w:ind w:left="0" w:firstLine="0"/>
              <w:jc w:val="center"/>
              <w:rPr>
                <w:rFonts w:eastAsia="Times New Roman"/>
                <w:b/>
                <w:bCs/>
                <w:color w:val="auto"/>
                <w:sz w:val="22"/>
              </w:rPr>
            </w:pPr>
            <w:r w:rsidRPr="00EE727F">
              <w:rPr>
                <w:rFonts w:eastAsia="Times New Roman"/>
                <w:b/>
                <w:bCs/>
                <w:sz w:val="22"/>
              </w:rPr>
              <w:t>24</w:t>
            </w:r>
          </w:p>
        </w:tc>
        <w:tc>
          <w:tcPr>
            <w:tcW w:w="806"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FC3BCC4"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w:t>
            </w:r>
          </w:p>
        </w:tc>
        <w:tc>
          <w:tcPr>
            <w:tcW w:w="805"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32D78C1" w14:textId="75E437DD" w:rsidR="006418E1" w:rsidRPr="00EE727F" w:rsidRDefault="00636A63" w:rsidP="00675F43">
            <w:pPr>
              <w:spacing w:line="240" w:lineRule="auto"/>
              <w:ind w:left="0" w:firstLine="0"/>
              <w:jc w:val="center"/>
              <w:rPr>
                <w:rFonts w:eastAsia="Times New Roman"/>
                <w:b/>
                <w:bCs/>
                <w:color w:val="auto"/>
                <w:sz w:val="22"/>
              </w:rPr>
            </w:pPr>
            <w:r w:rsidRPr="00EE727F">
              <w:rPr>
                <w:rFonts w:eastAsia="Times New Roman"/>
                <w:b/>
                <w:bCs/>
                <w:sz w:val="22"/>
              </w:rPr>
              <w:t>40.0%</w:t>
            </w:r>
          </w:p>
        </w:tc>
      </w:tr>
      <w:tr w:rsidR="006418E1" w:rsidRPr="00EE727F" w14:paraId="225F76F4" w14:textId="77777777" w:rsidTr="0036572C">
        <w:trPr>
          <w:trHeight w:val="157"/>
        </w:trPr>
        <w:tc>
          <w:tcPr>
            <w:tcW w:w="2413"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4E44B70"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Distal digital fissuring</w:t>
            </w:r>
          </w:p>
        </w:tc>
        <w:tc>
          <w:tcPr>
            <w:tcW w:w="976"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52F0BA2"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8DE411C"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174A15E"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31D469C9"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3634662"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Distal digital tip ulceration</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28FEBFA"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65CAF82"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CC5F853"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7920636B"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CEB117F"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Inflammatory arthritis</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10B07EF"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10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F3C2AA6" w14:textId="3307F472"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41.7%</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23CFF72" w14:textId="46475A7D"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16.7%</w:t>
            </w:r>
          </w:p>
        </w:tc>
      </w:tr>
      <w:tr w:rsidR="006418E1" w:rsidRPr="00EE727F" w14:paraId="07F3ECE8"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A930A1D"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Palmar telangiectasia</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5F7F040"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3C88870"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F270B94"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46792189"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3D44657"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Raynaud’s phenomenon</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19B4B13" w14:textId="402B8C71"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1</w:t>
            </w:r>
            <w:r w:rsidR="00636A63" w:rsidRPr="00EE727F">
              <w:rPr>
                <w:rFonts w:eastAsia="Times New Roman"/>
                <w:kern w:val="24"/>
                <w:sz w:val="22"/>
              </w:rPr>
              <w:t>5</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D9BFF13" w14:textId="43E9F8B6"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62.5%</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49580C1" w14:textId="4546D0BD"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25.0%</w:t>
            </w:r>
          </w:p>
        </w:tc>
      </w:tr>
      <w:tr w:rsidR="006418E1" w:rsidRPr="00EE727F" w14:paraId="38B5E35E"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008722B"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Unexplained digital edema</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F109697"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A6DF6D2"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7A2B991"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6B2C9EED" w14:textId="77777777" w:rsidTr="0036572C">
        <w:trPr>
          <w:trHeight w:val="157"/>
        </w:trPr>
        <w:tc>
          <w:tcPr>
            <w:tcW w:w="2413"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34E05202"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w:t>
            </w:r>
            <w:proofErr w:type="spellStart"/>
            <w:r w:rsidRPr="00EE727F">
              <w:rPr>
                <w:rFonts w:eastAsia="Times New Roman"/>
                <w:kern w:val="24"/>
                <w:sz w:val="22"/>
              </w:rPr>
              <w:t>Gottron’s</w:t>
            </w:r>
            <w:proofErr w:type="spellEnd"/>
            <w:r w:rsidRPr="00EE727F">
              <w:rPr>
                <w:rFonts w:eastAsia="Times New Roman"/>
                <w:kern w:val="24"/>
                <w:sz w:val="22"/>
              </w:rPr>
              <w:t xml:space="preserve"> sign</w:t>
            </w:r>
          </w:p>
        </w:tc>
        <w:tc>
          <w:tcPr>
            <w:tcW w:w="976"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1CB6EDCC"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30CD6122"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52142DC4"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0AA6D181" w14:textId="77777777" w:rsidTr="0036572C">
        <w:trPr>
          <w:trHeight w:val="157"/>
        </w:trPr>
        <w:tc>
          <w:tcPr>
            <w:tcW w:w="2413"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9D9EB6D"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b/>
                <w:bCs/>
                <w:kern w:val="24"/>
                <w:sz w:val="22"/>
              </w:rPr>
              <w:t>Serologic Domain</w:t>
            </w:r>
          </w:p>
        </w:tc>
        <w:tc>
          <w:tcPr>
            <w:tcW w:w="976"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8297BDB" w14:textId="10A5FF3B"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b/>
                <w:bCs/>
                <w:sz w:val="22"/>
              </w:rPr>
              <w:t>57</w:t>
            </w:r>
          </w:p>
        </w:tc>
        <w:tc>
          <w:tcPr>
            <w:tcW w:w="806"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5A81506E"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w:t>
            </w:r>
          </w:p>
        </w:tc>
        <w:tc>
          <w:tcPr>
            <w:tcW w:w="805"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DF77DEE" w14:textId="2DB5A361"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9</w:t>
            </w:r>
            <w:r w:rsidR="00636A63" w:rsidRPr="00EE727F">
              <w:rPr>
                <w:rFonts w:eastAsia="Times New Roman"/>
                <w:b/>
                <w:bCs/>
                <w:kern w:val="24"/>
                <w:sz w:val="22"/>
              </w:rPr>
              <w:t>5</w:t>
            </w:r>
            <w:r w:rsidRPr="00EE727F">
              <w:rPr>
                <w:rFonts w:eastAsia="Times New Roman"/>
                <w:b/>
                <w:bCs/>
                <w:kern w:val="24"/>
                <w:sz w:val="22"/>
              </w:rPr>
              <w:t>.</w:t>
            </w:r>
            <w:r w:rsidR="00636A63" w:rsidRPr="00EE727F">
              <w:rPr>
                <w:rFonts w:eastAsia="Times New Roman"/>
                <w:b/>
                <w:bCs/>
                <w:kern w:val="24"/>
                <w:sz w:val="22"/>
              </w:rPr>
              <w:t>0</w:t>
            </w:r>
            <w:r w:rsidRPr="00EE727F">
              <w:rPr>
                <w:rFonts w:eastAsia="Times New Roman"/>
                <w:b/>
                <w:bCs/>
                <w:kern w:val="24"/>
                <w:sz w:val="22"/>
              </w:rPr>
              <w:t>%</w:t>
            </w:r>
          </w:p>
        </w:tc>
      </w:tr>
      <w:tr w:rsidR="006418E1" w:rsidRPr="00EE727F" w14:paraId="3B4D3B00" w14:textId="77777777" w:rsidTr="0036572C">
        <w:trPr>
          <w:trHeight w:val="157"/>
        </w:trPr>
        <w:tc>
          <w:tcPr>
            <w:tcW w:w="2413"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CC004A0"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ANA ≥ 1:320</w:t>
            </w:r>
          </w:p>
        </w:tc>
        <w:tc>
          <w:tcPr>
            <w:tcW w:w="976"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D7E41E5" w14:textId="26909EC4"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2</w:t>
            </w:r>
            <w:r w:rsidR="00636A63" w:rsidRPr="00EE727F">
              <w:rPr>
                <w:rFonts w:eastAsia="Times New Roman"/>
                <w:kern w:val="24"/>
                <w:sz w:val="22"/>
              </w:rPr>
              <w:t>7</w:t>
            </w:r>
          </w:p>
        </w:tc>
        <w:tc>
          <w:tcPr>
            <w:tcW w:w="806"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FB2CAE0" w14:textId="311FDBBD"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47.4%</w:t>
            </w:r>
          </w:p>
        </w:tc>
        <w:tc>
          <w:tcPr>
            <w:tcW w:w="805"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91DE7A9" w14:textId="1D53993A"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45.0%</w:t>
            </w:r>
          </w:p>
        </w:tc>
      </w:tr>
      <w:tr w:rsidR="006418E1" w:rsidRPr="00EE727F" w14:paraId="4FA8B937"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CDD4B77"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ANA (nucleolar) and &lt; 1:320</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0A4CD40" w14:textId="6E931C92"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4</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D62F2DA" w14:textId="680B7372"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7.0%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80B96E5" w14:textId="3749FC6B"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6.7%</w:t>
            </w:r>
          </w:p>
        </w:tc>
      </w:tr>
      <w:tr w:rsidR="006418E1" w:rsidRPr="00EE727F" w14:paraId="7A5AC533"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6D64DA6"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ANA, (centromere) and &lt; 1:320</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66D848A" w14:textId="74328267"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282748E"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1BE3DF0"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3DDA7EB2"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74C2B65"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RF ≥ 2x upper limit of normal</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0298175" w14:textId="2516D89C"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8</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3582F16" w14:textId="13F63362"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color w:val="auto"/>
                <w:sz w:val="22"/>
              </w:rPr>
              <w:t>14.0%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91320B5" w14:textId="40AC5BA7"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13.3%</w:t>
            </w:r>
          </w:p>
        </w:tc>
      </w:tr>
      <w:tr w:rsidR="006418E1" w:rsidRPr="00EE727F" w14:paraId="22E26BAF"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23B3C53"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Anti-CCP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585DE78"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16</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BB482C7" w14:textId="3D123AA7"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28.1%</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709ED54" w14:textId="300449FA"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26.7%</w:t>
            </w:r>
          </w:p>
        </w:tc>
      </w:tr>
      <w:tr w:rsidR="006418E1" w:rsidRPr="00EE727F" w14:paraId="7E9E734C"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349ECF1"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Anti-dsDNA</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613C79F" w14:textId="15ADE05A" w:rsidR="006418E1" w:rsidRPr="00EE727F" w:rsidRDefault="00B56059" w:rsidP="00675F43">
            <w:pPr>
              <w:spacing w:line="240" w:lineRule="auto"/>
              <w:ind w:left="0" w:firstLine="0"/>
              <w:jc w:val="center"/>
              <w:rPr>
                <w:rFonts w:eastAsia="Times New Roman"/>
                <w:color w:val="auto"/>
                <w:sz w:val="22"/>
              </w:rPr>
            </w:pPr>
            <w:r w:rsidRPr="00EE727F">
              <w:rPr>
                <w:rFonts w:eastAsia="Times New Roman"/>
                <w:sz w:val="22"/>
              </w:rPr>
              <w:t>6</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FDDF215" w14:textId="468A2FC1"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5.3%</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09CE8DE" w14:textId="0C44DB59"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5.0%</w:t>
            </w:r>
          </w:p>
        </w:tc>
      </w:tr>
      <w:tr w:rsidR="006418E1" w:rsidRPr="00EE727F" w14:paraId="2ED5A3EF"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FBA24F8"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Anti-Ro or La (SS-A or SS-B)</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3290966" w14:textId="4035161B"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kern w:val="24"/>
                <w:sz w:val="22"/>
              </w:rPr>
              <w:t>1</w:t>
            </w:r>
            <w:r w:rsidR="00C4107A" w:rsidRPr="00EE727F">
              <w:rPr>
                <w:rFonts w:eastAsia="Times New Roman"/>
                <w:kern w:val="24"/>
                <w:sz w:val="22"/>
              </w:rPr>
              <w:t>5</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85A5697" w14:textId="1A8411D3"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color w:val="auto"/>
                <w:sz w:val="22"/>
              </w:rPr>
              <w:t>2</w:t>
            </w:r>
            <w:r w:rsidR="00C4107A" w:rsidRPr="00EE727F">
              <w:rPr>
                <w:rFonts w:eastAsia="Times New Roman"/>
                <w:color w:val="auto"/>
                <w:sz w:val="22"/>
              </w:rPr>
              <w:t>6.3%</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CB88BBC" w14:textId="6FB53F98" w:rsidR="006418E1" w:rsidRPr="00EE727F" w:rsidRDefault="00C4107A" w:rsidP="00675F43">
            <w:pPr>
              <w:spacing w:line="240" w:lineRule="auto"/>
              <w:ind w:left="0" w:firstLine="0"/>
              <w:jc w:val="center"/>
              <w:rPr>
                <w:rFonts w:eastAsia="Times New Roman"/>
                <w:color w:val="auto"/>
                <w:sz w:val="22"/>
              </w:rPr>
            </w:pPr>
            <w:r w:rsidRPr="00EE727F">
              <w:rPr>
                <w:rFonts w:eastAsia="Times New Roman"/>
                <w:kern w:val="24"/>
                <w:sz w:val="22"/>
              </w:rPr>
              <w:t>25.0%</w:t>
            </w:r>
          </w:p>
        </w:tc>
      </w:tr>
      <w:tr w:rsidR="006418E1" w:rsidRPr="00EE727F" w14:paraId="23C554F5"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4FECC3C"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Anti-ribonucleoprotein (RNP)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DEDED6B" w14:textId="3222BA53" w:rsidR="006418E1" w:rsidRPr="00EE727F" w:rsidRDefault="00B56059" w:rsidP="00675F43">
            <w:pPr>
              <w:spacing w:line="240" w:lineRule="auto"/>
              <w:ind w:left="0" w:firstLine="0"/>
              <w:jc w:val="center"/>
              <w:rPr>
                <w:rFonts w:eastAsia="Times New Roman"/>
                <w:color w:val="auto"/>
                <w:sz w:val="22"/>
              </w:rPr>
            </w:pPr>
            <w:r w:rsidRPr="00EE727F">
              <w:rPr>
                <w:rFonts w:eastAsia="Times New Roman"/>
                <w:sz w:val="22"/>
              </w:rPr>
              <w:t>5</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BB9F09F" w14:textId="7AB255BE"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5.3%</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750D9ED" w14:textId="4A39F1F3"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kern w:val="24"/>
                <w:sz w:val="22"/>
              </w:rPr>
              <w:t>5.0%</w:t>
            </w:r>
          </w:p>
        </w:tc>
      </w:tr>
      <w:tr w:rsidR="006418E1" w:rsidRPr="00EE727F" w14:paraId="40CF04B7"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458F825"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Anti-Smith (</w:t>
            </w:r>
            <w:proofErr w:type="spellStart"/>
            <w:r w:rsidRPr="00EE727F">
              <w:rPr>
                <w:rFonts w:eastAsia="Times New Roman"/>
                <w:kern w:val="24"/>
                <w:sz w:val="22"/>
              </w:rPr>
              <w:t>Sm</w:t>
            </w:r>
            <w:proofErr w:type="spellEnd"/>
            <w:r w:rsidRPr="00EE727F">
              <w:rPr>
                <w:rFonts w:eastAsia="Times New Roman"/>
                <w:kern w:val="24"/>
                <w:sz w:val="22"/>
              </w:rPr>
              <w:t>)</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43485AC" w14:textId="5EEB87FE" w:rsidR="006418E1" w:rsidRPr="00EE727F" w:rsidRDefault="00B56059" w:rsidP="00675F43">
            <w:pPr>
              <w:spacing w:line="240" w:lineRule="auto"/>
              <w:ind w:left="0" w:firstLine="0"/>
              <w:jc w:val="center"/>
              <w:rPr>
                <w:rFonts w:eastAsia="Times New Roman"/>
                <w:color w:val="auto"/>
                <w:sz w:val="22"/>
              </w:rPr>
            </w:pPr>
            <w:r w:rsidRPr="00EE727F">
              <w:rPr>
                <w:rFonts w:eastAsia="Times New Roman"/>
                <w:sz w:val="22"/>
              </w:rPr>
              <w:t>2</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DF8F658" w14:textId="50A1EEBE"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kern w:val="24"/>
                <w:sz w:val="22"/>
              </w:rPr>
              <w:t>1.8%</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30F6629" w14:textId="157B7326"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kern w:val="24"/>
                <w:sz w:val="22"/>
              </w:rPr>
              <w:t>1.7%</w:t>
            </w:r>
          </w:p>
        </w:tc>
      </w:tr>
      <w:tr w:rsidR="006418E1" w:rsidRPr="00EE727F" w14:paraId="0B6ED811"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0F4C7CE"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Anti-topoisomerase (Scl-70)</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9A2162F" w14:textId="07F1DFC8"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kern w:val="24"/>
                <w:sz w:val="22"/>
              </w:rPr>
              <w:t>2</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A39D593" w14:textId="4931E67B"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3.5%</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C353B4" w14:textId="47A2CEC0"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kern w:val="24"/>
                <w:sz w:val="22"/>
              </w:rPr>
              <w:t>3.3%</w:t>
            </w:r>
          </w:p>
        </w:tc>
      </w:tr>
      <w:tr w:rsidR="006418E1" w:rsidRPr="00EE727F" w14:paraId="3CAA2193" w14:textId="77777777" w:rsidTr="0036572C">
        <w:trPr>
          <w:trHeight w:val="304"/>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DFAA824" w14:textId="77777777" w:rsidR="0036572C" w:rsidRPr="00EE727F" w:rsidRDefault="006418E1" w:rsidP="00675F43">
            <w:pPr>
              <w:spacing w:line="240" w:lineRule="auto"/>
              <w:ind w:left="0" w:firstLine="0"/>
              <w:rPr>
                <w:rFonts w:eastAsia="Times New Roman"/>
                <w:kern w:val="24"/>
                <w:sz w:val="22"/>
              </w:rPr>
            </w:pPr>
            <w:r w:rsidRPr="00EE727F">
              <w:rPr>
                <w:rFonts w:eastAsia="Times New Roman"/>
                <w:kern w:val="24"/>
                <w:sz w:val="22"/>
              </w:rPr>
              <w:t xml:space="preserve">  Anti-tRNA synthetase (</w:t>
            </w:r>
            <w:r w:rsidRPr="00EE727F">
              <w:rPr>
                <w:rFonts w:eastAsia="Times New Roman"/>
                <w:i/>
                <w:iCs/>
                <w:kern w:val="24"/>
                <w:sz w:val="22"/>
              </w:rPr>
              <w:t>e.g.</w:t>
            </w:r>
            <w:r w:rsidR="0036572C" w:rsidRPr="00EE727F">
              <w:rPr>
                <w:rFonts w:eastAsia="Times New Roman"/>
                <w:i/>
                <w:iCs/>
                <w:kern w:val="24"/>
                <w:sz w:val="22"/>
              </w:rPr>
              <w:t>,</w:t>
            </w:r>
            <w:r w:rsidRPr="00EE727F">
              <w:rPr>
                <w:rFonts w:eastAsia="Times New Roman"/>
                <w:kern w:val="24"/>
                <w:sz w:val="22"/>
              </w:rPr>
              <w:t xml:space="preserve"> Jo-1, PL-7, </w:t>
            </w:r>
          </w:p>
          <w:p w14:paraId="2A4CF60F" w14:textId="17375A5E" w:rsidR="006418E1" w:rsidRPr="00EE727F" w:rsidRDefault="0036572C" w:rsidP="00675F43">
            <w:pPr>
              <w:spacing w:line="240" w:lineRule="auto"/>
              <w:ind w:left="0" w:firstLine="0"/>
              <w:rPr>
                <w:rFonts w:eastAsia="Times New Roman"/>
                <w:kern w:val="24"/>
                <w:sz w:val="22"/>
              </w:rPr>
            </w:pPr>
            <w:r w:rsidRPr="00EE727F">
              <w:rPr>
                <w:rFonts w:eastAsia="Times New Roman"/>
                <w:kern w:val="24"/>
                <w:sz w:val="22"/>
              </w:rPr>
              <w:t xml:space="preserve">    </w:t>
            </w:r>
            <w:r w:rsidR="006418E1" w:rsidRPr="00EE727F">
              <w:rPr>
                <w:rFonts w:eastAsia="Times New Roman"/>
                <w:kern w:val="24"/>
                <w:sz w:val="22"/>
              </w:rPr>
              <w:t>PL-12, EJ, OJ, Ks, Zo, YRS)</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5885A4A" w14:textId="5DD85B5F"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kern w:val="24"/>
                <w:sz w:val="22"/>
              </w:rPr>
              <w:t>8</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AFCB59B" w14:textId="27694290"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14.0%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BCFC44B" w14:textId="2B664F43"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13.3%</w:t>
            </w:r>
          </w:p>
        </w:tc>
      </w:tr>
      <w:tr w:rsidR="006418E1" w:rsidRPr="00EE727F" w14:paraId="07CEE412"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5D6E44F"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Anti-PM-</w:t>
            </w:r>
            <w:proofErr w:type="spellStart"/>
            <w:r w:rsidRPr="00EE727F">
              <w:rPr>
                <w:rFonts w:eastAsia="Times New Roman"/>
                <w:kern w:val="24"/>
                <w:sz w:val="22"/>
              </w:rPr>
              <w:t>Scl</w:t>
            </w:r>
            <w:proofErr w:type="spellEnd"/>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00197B9"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82652B2"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13F633C"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2F99B526" w14:textId="77777777" w:rsidTr="0036572C">
        <w:trPr>
          <w:trHeight w:val="157"/>
        </w:trPr>
        <w:tc>
          <w:tcPr>
            <w:tcW w:w="2413"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27102FE7"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Anti-MDA-5</w:t>
            </w:r>
          </w:p>
        </w:tc>
        <w:tc>
          <w:tcPr>
            <w:tcW w:w="976"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330A6E96"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324136C7"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000000"/>
              <w:right w:val="single" w:sz="8" w:space="0" w:color="FFFFFF"/>
            </w:tcBorders>
            <w:shd w:val="clear" w:color="auto" w:fill="FFFFFF"/>
            <w:tcMar>
              <w:top w:w="72" w:type="dxa"/>
              <w:left w:w="144" w:type="dxa"/>
              <w:bottom w:w="72" w:type="dxa"/>
              <w:right w:w="144" w:type="dxa"/>
            </w:tcMar>
            <w:vAlign w:val="center"/>
            <w:hideMark/>
          </w:tcPr>
          <w:p w14:paraId="0ADF324F"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5FC03472" w14:textId="77777777" w:rsidTr="0036572C">
        <w:trPr>
          <w:trHeight w:val="157"/>
        </w:trPr>
        <w:tc>
          <w:tcPr>
            <w:tcW w:w="2413"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36C75257"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b/>
                <w:bCs/>
                <w:kern w:val="24"/>
                <w:sz w:val="22"/>
              </w:rPr>
              <w:t>Morphologic Domain</w:t>
            </w:r>
          </w:p>
        </w:tc>
        <w:tc>
          <w:tcPr>
            <w:tcW w:w="976"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7AE9DCA" w14:textId="03C6C474"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4</w:t>
            </w:r>
            <w:r w:rsidR="00636A63" w:rsidRPr="00EE727F">
              <w:rPr>
                <w:rFonts w:eastAsia="Times New Roman"/>
                <w:b/>
                <w:bCs/>
                <w:kern w:val="24"/>
                <w:sz w:val="22"/>
              </w:rPr>
              <w:t>9</w:t>
            </w:r>
          </w:p>
        </w:tc>
        <w:tc>
          <w:tcPr>
            <w:tcW w:w="806"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20E7FB1E"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b/>
                <w:bCs/>
                <w:kern w:val="24"/>
                <w:sz w:val="22"/>
              </w:rPr>
              <w:t>-</w:t>
            </w:r>
          </w:p>
        </w:tc>
        <w:tc>
          <w:tcPr>
            <w:tcW w:w="805"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7E99723B" w14:textId="4420B6CC" w:rsidR="006418E1" w:rsidRPr="00EE727F" w:rsidRDefault="00065CCE" w:rsidP="00675F43">
            <w:pPr>
              <w:spacing w:line="240" w:lineRule="auto"/>
              <w:ind w:left="0" w:firstLine="0"/>
              <w:jc w:val="center"/>
              <w:rPr>
                <w:rFonts w:eastAsia="Times New Roman"/>
                <w:b/>
                <w:bCs/>
                <w:color w:val="auto"/>
                <w:sz w:val="22"/>
              </w:rPr>
            </w:pPr>
            <w:r w:rsidRPr="00EE727F">
              <w:rPr>
                <w:rFonts w:eastAsia="Times New Roman"/>
                <w:b/>
                <w:bCs/>
                <w:sz w:val="22"/>
              </w:rPr>
              <w:t>81.7%</w:t>
            </w:r>
          </w:p>
        </w:tc>
      </w:tr>
      <w:tr w:rsidR="006418E1" w:rsidRPr="00EE727F" w14:paraId="4F361886" w14:textId="77777777" w:rsidTr="0036572C">
        <w:trPr>
          <w:trHeight w:val="157"/>
        </w:trPr>
        <w:tc>
          <w:tcPr>
            <w:tcW w:w="2413"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BA8F2B8"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lastRenderedPageBreak/>
              <w:t xml:space="preserve">  Suggestive radiology patterns by HRCT</w:t>
            </w:r>
          </w:p>
        </w:tc>
        <w:tc>
          <w:tcPr>
            <w:tcW w:w="976"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B747FF8" w14:textId="2EDE8BBA" w:rsidR="006418E1" w:rsidRPr="00EE727F" w:rsidRDefault="00636A63" w:rsidP="00675F43">
            <w:pPr>
              <w:spacing w:line="240" w:lineRule="auto"/>
              <w:ind w:left="0" w:firstLine="0"/>
              <w:jc w:val="center"/>
              <w:rPr>
                <w:rFonts w:eastAsia="Times New Roman"/>
                <w:color w:val="auto"/>
                <w:sz w:val="22"/>
              </w:rPr>
            </w:pPr>
            <w:r w:rsidRPr="00EE727F">
              <w:rPr>
                <w:rFonts w:eastAsia="Times New Roman"/>
                <w:sz w:val="22"/>
              </w:rPr>
              <w:t>30</w:t>
            </w:r>
          </w:p>
        </w:tc>
        <w:tc>
          <w:tcPr>
            <w:tcW w:w="806"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F5E2223" w14:textId="13713461"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61.2%</w:t>
            </w:r>
          </w:p>
        </w:tc>
        <w:tc>
          <w:tcPr>
            <w:tcW w:w="805"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95078C5" w14:textId="4AC61112"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50.0%</w:t>
            </w:r>
          </w:p>
        </w:tc>
      </w:tr>
      <w:tr w:rsidR="006418E1" w:rsidRPr="00EE727F" w14:paraId="6541E4EE"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957A94A"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NSIP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3066934" w14:textId="11093CD2"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2</w:t>
            </w:r>
            <w:r w:rsidR="00636A63" w:rsidRPr="00EE727F">
              <w:rPr>
                <w:rFonts w:eastAsia="Times New Roman"/>
                <w:kern w:val="24"/>
                <w:sz w:val="22"/>
              </w:rPr>
              <w:t>9</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7FECA42" w14:textId="1DAB1554"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59.2%</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4A1FBB3" w14:textId="3B7EE277"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48.3%</w:t>
            </w:r>
          </w:p>
        </w:tc>
      </w:tr>
      <w:tr w:rsidR="006418E1" w:rsidRPr="00EE727F" w14:paraId="00080928"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BF875AC"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OP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5C720F2"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1</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347DF78" w14:textId="298D9549"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2.0%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54ECAA" w14:textId="7A656C97"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1.7%</w:t>
            </w:r>
          </w:p>
        </w:tc>
      </w:tr>
      <w:tr w:rsidR="006418E1" w:rsidRPr="00EE727F" w14:paraId="56F98FCB"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F53FD60"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NSIP with OP overlap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42C2E68"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DFD2DCA"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4D26856"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5A7CF537"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F0E55CF"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LIP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3FEB1BB"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CF50A01"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F8DB59B"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60410D24"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6D82D21"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Histopathology patterns</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E47FEEA" w14:textId="52B11A80"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21</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B0B2C21" w14:textId="076A2986"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42.9%</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6A8AEA7" w14:textId="7A98432E"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35.0%</w:t>
            </w:r>
          </w:p>
        </w:tc>
      </w:tr>
      <w:tr w:rsidR="006418E1" w:rsidRPr="00EE727F" w14:paraId="3A9577EC"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AA1FB11"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NSIP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3297E9C" w14:textId="2E9FD49A"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kern w:val="24"/>
                <w:sz w:val="22"/>
              </w:rPr>
              <w:t>10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9EB12CC" w14:textId="07A55B81"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20.4%</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A3CD3C7" w14:textId="5450EFB4"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16.7%</w:t>
            </w:r>
          </w:p>
        </w:tc>
      </w:tr>
      <w:tr w:rsidR="006418E1" w:rsidRPr="00EE727F" w14:paraId="41E5368B"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3267187"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OP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4DE04E3" w14:textId="7BA8C844"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3</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46E3ED3" w14:textId="06F866AC"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6.1%</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46CEDA1" w14:textId="7108333D"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5.0%</w:t>
            </w:r>
          </w:p>
        </w:tc>
      </w:tr>
      <w:tr w:rsidR="006418E1" w:rsidRPr="00EE727F" w14:paraId="7B775FCC"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16A5268"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NSIP with OP overlap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6E82671" w14:textId="02B89668"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2</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3177B8C" w14:textId="62F056FA"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4.1%</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6EB49B4" w14:textId="1CD0E3D1"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3.3%</w:t>
            </w:r>
          </w:p>
        </w:tc>
      </w:tr>
      <w:tr w:rsidR="006418E1" w:rsidRPr="00EE727F" w14:paraId="4C9143DD"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DA30B0C"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LIP</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2EBA19A"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4A36D69"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CA90E2B"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0.0%</w:t>
            </w:r>
          </w:p>
        </w:tc>
      </w:tr>
      <w:tr w:rsidR="006418E1" w:rsidRPr="00EE727F" w14:paraId="0D17902B" w14:textId="77777777" w:rsidTr="0036572C">
        <w:trPr>
          <w:trHeight w:val="304"/>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72AFD9E" w14:textId="77777777" w:rsidR="0036572C" w:rsidRPr="00EE727F" w:rsidRDefault="006418E1" w:rsidP="00675F43">
            <w:pPr>
              <w:spacing w:line="240" w:lineRule="auto"/>
              <w:ind w:left="0" w:firstLine="0"/>
              <w:rPr>
                <w:rFonts w:eastAsia="Times New Roman"/>
                <w:kern w:val="24"/>
                <w:sz w:val="22"/>
              </w:rPr>
            </w:pPr>
            <w:r w:rsidRPr="00EE727F">
              <w:rPr>
                <w:rFonts w:eastAsia="Times New Roman"/>
                <w:kern w:val="24"/>
                <w:sz w:val="22"/>
              </w:rPr>
              <w:t xml:space="preserve">    </w:t>
            </w:r>
            <w:r w:rsidR="0036572C" w:rsidRPr="00EE727F">
              <w:rPr>
                <w:rFonts w:eastAsia="Times New Roman"/>
                <w:kern w:val="24"/>
                <w:sz w:val="22"/>
              </w:rPr>
              <w:t xml:space="preserve"> </w:t>
            </w:r>
            <w:r w:rsidRPr="00EE727F">
              <w:rPr>
                <w:rFonts w:eastAsia="Times New Roman"/>
                <w:kern w:val="24"/>
                <w:sz w:val="22"/>
              </w:rPr>
              <w:t>Interstitial lymphoid aggregates wit</w:t>
            </w:r>
            <w:r w:rsidR="0036572C" w:rsidRPr="00EE727F">
              <w:rPr>
                <w:rFonts w:eastAsia="Times New Roman"/>
                <w:kern w:val="24"/>
                <w:sz w:val="22"/>
              </w:rPr>
              <w:t xml:space="preserve">h </w:t>
            </w:r>
          </w:p>
          <w:p w14:paraId="2752CDB6" w14:textId="588955C5" w:rsidR="006418E1" w:rsidRPr="00EE727F" w:rsidRDefault="0036572C" w:rsidP="00675F43">
            <w:pPr>
              <w:spacing w:line="240" w:lineRule="auto"/>
              <w:ind w:left="0" w:firstLine="0"/>
              <w:rPr>
                <w:rFonts w:eastAsia="Times New Roman"/>
                <w:kern w:val="24"/>
                <w:sz w:val="22"/>
              </w:rPr>
            </w:pPr>
            <w:r w:rsidRPr="00EE727F">
              <w:rPr>
                <w:rFonts w:eastAsia="Times New Roman"/>
                <w:kern w:val="24"/>
                <w:sz w:val="22"/>
              </w:rPr>
              <w:t xml:space="preserve">       </w:t>
            </w:r>
            <w:r w:rsidR="006418E1" w:rsidRPr="00EE727F">
              <w:rPr>
                <w:rFonts w:eastAsia="Times New Roman"/>
                <w:kern w:val="24"/>
                <w:sz w:val="22"/>
              </w:rPr>
              <w:t>germinal centers</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EAA92F7" w14:textId="695918F6"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kern w:val="24"/>
                <w:sz w:val="22"/>
              </w:rPr>
              <w:t>5</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0D4CB05" w14:textId="348059E7"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10.2%</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E7D6EFC" w14:textId="5BF435D1"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8.3%</w:t>
            </w:r>
          </w:p>
        </w:tc>
      </w:tr>
      <w:tr w:rsidR="006418E1" w:rsidRPr="00EE727F" w14:paraId="64D39645" w14:textId="77777777" w:rsidTr="0036572C">
        <w:trPr>
          <w:trHeight w:val="316"/>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2C8E2BC" w14:textId="77777777" w:rsidR="0036572C" w:rsidRPr="00EE727F" w:rsidRDefault="006418E1" w:rsidP="00675F43">
            <w:pPr>
              <w:spacing w:line="240" w:lineRule="auto"/>
              <w:ind w:left="0" w:firstLine="0"/>
              <w:rPr>
                <w:rFonts w:eastAsia="Times New Roman"/>
                <w:kern w:val="24"/>
                <w:sz w:val="22"/>
              </w:rPr>
            </w:pPr>
            <w:r w:rsidRPr="00EE727F">
              <w:rPr>
                <w:rFonts w:eastAsia="Times New Roman"/>
                <w:kern w:val="24"/>
                <w:sz w:val="22"/>
              </w:rPr>
              <w:t xml:space="preserve">     Diffuse lymphoplasmacytic infiltration (with </w:t>
            </w:r>
          </w:p>
          <w:p w14:paraId="6530934E" w14:textId="5E85445A" w:rsidR="006418E1" w:rsidRPr="00EE727F" w:rsidRDefault="0036572C" w:rsidP="00675F43">
            <w:pPr>
              <w:spacing w:line="240" w:lineRule="auto"/>
              <w:ind w:left="0" w:firstLine="0"/>
              <w:rPr>
                <w:rFonts w:eastAsia="Times New Roman"/>
                <w:kern w:val="24"/>
                <w:sz w:val="22"/>
              </w:rPr>
            </w:pPr>
            <w:r w:rsidRPr="00EE727F">
              <w:rPr>
                <w:rFonts w:eastAsia="Times New Roman"/>
                <w:kern w:val="24"/>
                <w:sz w:val="22"/>
              </w:rPr>
              <w:t xml:space="preserve">       </w:t>
            </w:r>
            <w:r w:rsidR="006418E1" w:rsidRPr="00EE727F">
              <w:rPr>
                <w:rFonts w:eastAsia="Times New Roman"/>
                <w:kern w:val="24"/>
                <w:sz w:val="22"/>
              </w:rPr>
              <w:t>or without lymphoid follicles)</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38FFBD1"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1</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5BC4AA8" w14:textId="4914185A"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2.0%</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388DEAD" w14:textId="7DB585A4"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1.7%</w:t>
            </w:r>
          </w:p>
        </w:tc>
      </w:tr>
      <w:tr w:rsidR="006418E1" w:rsidRPr="00EE727F" w14:paraId="0B7D8FC2"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438C5FC"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Multi-compartment involvement</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110241F" w14:textId="5559BB4D"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1</w:t>
            </w:r>
            <w:r w:rsidR="0055702F" w:rsidRPr="00EE727F">
              <w:rPr>
                <w:rFonts w:eastAsia="Times New Roman"/>
                <w:kern w:val="24"/>
                <w:sz w:val="22"/>
              </w:rPr>
              <w:t>6</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3468F5A" w14:textId="26CEE9EF"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32.7%</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4F66495" w14:textId="452C89E5"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26.7%</w:t>
            </w:r>
          </w:p>
        </w:tc>
      </w:tr>
      <w:tr w:rsidR="006418E1" w:rsidRPr="00EE727F" w14:paraId="7255E845" w14:textId="77777777" w:rsidTr="0036572C">
        <w:trPr>
          <w:trHeight w:val="157"/>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B00C0F8"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Unexplained pleural effusion or thickening</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6F7CC7A" w14:textId="77777777" w:rsidR="006418E1" w:rsidRPr="00EE727F" w:rsidRDefault="006418E1" w:rsidP="00675F43">
            <w:pPr>
              <w:spacing w:line="240" w:lineRule="auto"/>
              <w:ind w:left="0" w:firstLine="0"/>
              <w:jc w:val="center"/>
              <w:rPr>
                <w:rFonts w:eastAsia="Times New Roman"/>
                <w:color w:val="auto"/>
                <w:sz w:val="22"/>
              </w:rPr>
            </w:pPr>
            <w:r w:rsidRPr="00EE727F">
              <w:rPr>
                <w:rFonts w:eastAsia="Times New Roman"/>
                <w:kern w:val="24"/>
                <w:sz w:val="22"/>
              </w:rPr>
              <w:t>4</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B6C2AD4" w14:textId="432E0D6A"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8.2%</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FB3DDEF" w14:textId="056A571A"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6.7%</w:t>
            </w:r>
          </w:p>
        </w:tc>
      </w:tr>
      <w:tr w:rsidR="006418E1" w:rsidRPr="00EE727F" w14:paraId="274C4804" w14:textId="77777777" w:rsidTr="0036572C">
        <w:trPr>
          <w:trHeight w:val="304"/>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266DA47" w14:textId="77777777" w:rsidR="0036572C" w:rsidRPr="00EE727F" w:rsidRDefault="006418E1" w:rsidP="00675F43">
            <w:pPr>
              <w:spacing w:line="240" w:lineRule="auto"/>
              <w:ind w:left="0" w:firstLine="0"/>
              <w:rPr>
                <w:rFonts w:eastAsia="Times New Roman"/>
                <w:kern w:val="24"/>
                <w:sz w:val="22"/>
              </w:rPr>
            </w:pPr>
            <w:r w:rsidRPr="00EE727F">
              <w:rPr>
                <w:rFonts w:eastAsia="Times New Roman"/>
                <w:kern w:val="24"/>
                <w:sz w:val="22"/>
              </w:rPr>
              <w:t xml:space="preserve">     Unexplained pericardial effusion or </w:t>
            </w:r>
          </w:p>
          <w:p w14:paraId="64BCA616" w14:textId="6DF610C3" w:rsidR="006418E1" w:rsidRPr="00EE727F" w:rsidRDefault="0036572C" w:rsidP="00675F43">
            <w:pPr>
              <w:spacing w:line="240" w:lineRule="auto"/>
              <w:ind w:left="0" w:firstLine="0"/>
              <w:rPr>
                <w:rFonts w:eastAsia="Times New Roman"/>
                <w:color w:val="auto"/>
                <w:sz w:val="22"/>
              </w:rPr>
            </w:pPr>
            <w:r w:rsidRPr="00EE727F">
              <w:rPr>
                <w:rFonts w:eastAsia="Times New Roman"/>
                <w:kern w:val="24"/>
                <w:sz w:val="22"/>
              </w:rPr>
              <w:t xml:space="preserve">       </w:t>
            </w:r>
            <w:r w:rsidR="006418E1" w:rsidRPr="00EE727F">
              <w:rPr>
                <w:rFonts w:eastAsia="Times New Roman"/>
                <w:kern w:val="24"/>
                <w:sz w:val="22"/>
              </w:rPr>
              <w:t>thickening</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43C801F" w14:textId="6C11CD8E"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2</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00BEED8" w14:textId="0CA20E67"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4.1%</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4D6962F" w14:textId="451D6308"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3.3%</w:t>
            </w:r>
          </w:p>
        </w:tc>
      </w:tr>
      <w:tr w:rsidR="006418E1" w:rsidRPr="00EE727F" w14:paraId="541F59A5" w14:textId="77777777" w:rsidTr="0036572C">
        <w:trPr>
          <w:trHeight w:val="304"/>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CC9C929" w14:textId="77777777" w:rsidR="0036572C" w:rsidRPr="00EE727F" w:rsidRDefault="006418E1" w:rsidP="00675F43">
            <w:pPr>
              <w:spacing w:line="240" w:lineRule="auto"/>
              <w:ind w:left="0" w:firstLine="0"/>
              <w:rPr>
                <w:rFonts w:eastAsia="Times New Roman"/>
                <w:kern w:val="24"/>
                <w:sz w:val="22"/>
              </w:rPr>
            </w:pPr>
            <w:r w:rsidRPr="00EE727F">
              <w:rPr>
                <w:rFonts w:eastAsia="Times New Roman"/>
                <w:kern w:val="24"/>
                <w:sz w:val="22"/>
              </w:rPr>
              <w:t xml:space="preserve">     Unexplained intrinsic airways disease (by </w:t>
            </w:r>
          </w:p>
          <w:p w14:paraId="4FAC79DA" w14:textId="7D013EF0" w:rsidR="006418E1" w:rsidRPr="00EE727F" w:rsidRDefault="0036572C" w:rsidP="00675F43">
            <w:pPr>
              <w:spacing w:line="240" w:lineRule="auto"/>
              <w:ind w:left="0" w:firstLine="0"/>
              <w:rPr>
                <w:rFonts w:eastAsia="Times New Roman"/>
                <w:kern w:val="24"/>
                <w:sz w:val="22"/>
              </w:rPr>
            </w:pPr>
            <w:r w:rsidRPr="00EE727F">
              <w:rPr>
                <w:rFonts w:eastAsia="Times New Roman"/>
                <w:kern w:val="24"/>
                <w:sz w:val="22"/>
              </w:rPr>
              <w:t xml:space="preserve">       </w:t>
            </w:r>
            <w:r w:rsidR="006418E1" w:rsidRPr="00EE727F">
              <w:rPr>
                <w:rFonts w:eastAsia="Times New Roman"/>
                <w:kern w:val="24"/>
                <w:sz w:val="22"/>
              </w:rPr>
              <w:t>PFT, imaging, or pathology)</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6CB8161" w14:textId="361E87B2"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7</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82F3044" w14:textId="3A81D2EF"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14.3%</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55B8C39" w14:textId="0452F56C"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kern w:val="24"/>
                <w:sz w:val="22"/>
              </w:rPr>
              <w:t>11.7%</w:t>
            </w:r>
          </w:p>
        </w:tc>
      </w:tr>
      <w:tr w:rsidR="006418E1" w:rsidRPr="00EE727F" w14:paraId="67ECC302" w14:textId="77777777" w:rsidTr="0036572C">
        <w:trPr>
          <w:trHeight w:val="168"/>
        </w:trPr>
        <w:tc>
          <w:tcPr>
            <w:tcW w:w="2413"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1BF015B" w14:textId="77777777" w:rsidR="006418E1" w:rsidRPr="00EE727F" w:rsidRDefault="006418E1" w:rsidP="00675F43">
            <w:pPr>
              <w:spacing w:line="240" w:lineRule="auto"/>
              <w:ind w:left="0" w:firstLine="0"/>
              <w:rPr>
                <w:rFonts w:eastAsia="Times New Roman"/>
                <w:color w:val="auto"/>
                <w:sz w:val="22"/>
              </w:rPr>
            </w:pPr>
            <w:r w:rsidRPr="00EE727F">
              <w:rPr>
                <w:rFonts w:eastAsia="Times New Roman"/>
                <w:kern w:val="24"/>
                <w:sz w:val="22"/>
              </w:rPr>
              <w:t xml:space="preserve">     Unexplained pulmonary vasculopathy</w:t>
            </w:r>
          </w:p>
        </w:tc>
        <w:tc>
          <w:tcPr>
            <w:tcW w:w="97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7A3E7E9" w14:textId="3E8F57B3" w:rsidR="006418E1" w:rsidRPr="00EE727F" w:rsidRDefault="0055702F" w:rsidP="00675F43">
            <w:pPr>
              <w:spacing w:line="240" w:lineRule="auto"/>
              <w:ind w:left="0" w:firstLine="0"/>
              <w:jc w:val="center"/>
              <w:rPr>
                <w:rFonts w:eastAsia="Times New Roman"/>
                <w:color w:val="auto"/>
                <w:sz w:val="22"/>
              </w:rPr>
            </w:pPr>
            <w:r w:rsidRPr="00EE727F">
              <w:rPr>
                <w:rFonts w:eastAsia="Times New Roman"/>
                <w:sz w:val="22"/>
              </w:rPr>
              <w:t>6</w:t>
            </w:r>
          </w:p>
        </w:tc>
        <w:tc>
          <w:tcPr>
            <w:tcW w:w="806"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604A60B" w14:textId="186572B5"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12.2%</w:t>
            </w:r>
          </w:p>
        </w:tc>
        <w:tc>
          <w:tcPr>
            <w:tcW w:w="805"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B62CA04" w14:textId="568670D8" w:rsidR="006418E1" w:rsidRPr="00EE727F" w:rsidRDefault="00065CCE" w:rsidP="00675F43">
            <w:pPr>
              <w:spacing w:line="240" w:lineRule="auto"/>
              <w:ind w:left="0" w:firstLine="0"/>
              <w:jc w:val="center"/>
              <w:rPr>
                <w:rFonts w:eastAsia="Times New Roman"/>
                <w:color w:val="auto"/>
                <w:sz w:val="22"/>
              </w:rPr>
            </w:pPr>
            <w:r w:rsidRPr="00EE727F">
              <w:rPr>
                <w:rFonts w:eastAsia="Times New Roman"/>
                <w:sz w:val="22"/>
              </w:rPr>
              <w:t>10.0%</w:t>
            </w:r>
          </w:p>
        </w:tc>
      </w:tr>
    </w:tbl>
    <w:p w14:paraId="61A56EFC" w14:textId="77777777" w:rsidR="00887C22" w:rsidRPr="00EE727F" w:rsidRDefault="00887C22">
      <w:pPr>
        <w:spacing w:after="160" w:line="259" w:lineRule="auto"/>
        <w:ind w:left="0" w:firstLine="0"/>
        <w:rPr>
          <w:b/>
          <w:bCs/>
          <w:sz w:val="22"/>
        </w:rPr>
      </w:pPr>
      <w:r w:rsidRPr="00EE727F">
        <w:rPr>
          <w:b/>
          <w:bCs/>
          <w:sz w:val="22"/>
        </w:rPr>
        <w:br w:type="page"/>
      </w:r>
    </w:p>
    <w:p w14:paraId="4452600C" w14:textId="77777777" w:rsidR="00D23F7C" w:rsidRPr="00EE727F" w:rsidRDefault="00D23F7C" w:rsidP="00D23F7C">
      <w:pPr>
        <w:pStyle w:val="Heading2"/>
        <w:rPr>
          <w:sz w:val="22"/>
          <w:szCs w:val="22"/>
        </w:rPr>
      </w:pPr>
      <w:bookmarkStart w:id="16" w:name="_Toc93925445"/>
      <w:r w:rsidRPr="00EE727F">
        <w:rPr>
          <w:bCs/>
          <w:noProof/>
          <w:sz w:val="22"/>
          <w:szCs w:val="22"/>
        </w:rPr>
        <w:lastRenderedPageBreak/>
        <w:t>Supplementary Figure 5:</w:t>
      </w:r>
      <w:r w:rsidRPr="00EE727F">
        <w:rPr>
          <w:noProof/>
          <w:sz w:val="22"/>
          <w:szCs w:val="22"/>
        </w:rPr>
        <w:t xml:space="preserve"> </w:t>
      </w:r>
      <w:r w:rsidRPr="00EE727F">
        <w:rPr>
          <w:sz w:val="22"/>
          <w:szCs w:val="22"/>
        </w:rPr>
        <w:t>Proportion of patients with CTD-ILD and IPAF with clinical features comprising the IPAF clinical domain.</w:t>
      </w:r>
      <w:bookmarkEnd w:id="16"/>
    </w:p>
    <w:p w14:paraId="273B9855" w14:textId="77777777" w:rsidR="00D23F7C" w:rsidRPr="00EE727F" w:rsidRDefault="00D23F7C" w:rsidP="00D23F7C">
      <w:pPr>
        <w:ind w:left="0" w:firstLine="0"/>
        <w:rPr>
          <w:sz w:val="22"/>
        </w:rPr>
      </w:pPr>
      <w:r w:rsidRPr="00EE727F">
        <w:rPr>
          <w:sz w:val="22"/>
        </w:rPr>
        <w:t xml:space="preserve">The distribution of clinical domain features for patients classified as IPAF is also depicted in </w:t>
      </w:r>
      <w:r w:rsidRPr="00EE727F">
        <w:rPr>
          <w:b/>
          <w:bCs/>
          <w:sz w:val="22"/>
        </w:rPr>
        <w:t>Figure 2</w:t>
      </w:r>
      <w:r w:rsidRPr="00EE727F">
        <w:rPr>
          <w:sz w:val="22"/>
        </w:rPr>
        <w:t>. Raynaud’s = Raynaud’s phenomenon.</w:t>
      </w:r>
    </w:p>
    <w:p w14:paraId="344FC4E7" w14:textId="77777777" w:rsidR="00D23F7C" w:rsidRPr="00EE727F" w:rsidRDefault="00D23F7C" w:rsidP="00D23F7C">
      <w:pPr>
        <w:spacing w:after="160" w:line="259" w:lineRule="auto"/>
        <w:ind w:left="0" w:firstLine="0"/>
        <w:rPr>
          <w:rFonts w:eastAsiaTheme="majorEastAsia" w:cstheme="majorBidi"/>
          <w:b/>
          <w:bCs/>
          <w:noProof/>
          <w:color w:val="auto"/>
          <w:sz w:val="22"/>
        </w:rPr>
      </w:pPr>
      <w:r w:rsidRPr="00EE727F">
        <w:rPr>
          <w:i/>
          <w:iCs/>
          <w:noProof/>
          <w:sz w:val="22"/>
        </w:rPr>
        <w:drawing>
          <wp:inline distT="0" distB="0" distL="0" distR="0" wp14:anchorId="7341AB74" wp14:editId="395B83AB">
            <wp:extent cx="4844415" cy="351409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4415" cy="3514090"/>
                    </a:xfrm>
                    <a:prstGeom prst="rect">
                      <a:avLst/>
                    </a:prstGeom>
                    <a:noFill/>
                  </pic:spPr>
                </pic:pic>
              </a:graphicData>
            </a:graphic>
          </wp:inline>
        </w:drawing>
      </w:r>
      <w:r w:rsidRPr="00EE727F">
        <w:rPr>
          <w:bCs/>
          <w:noProof/>
          <w:sz w:val="22"/>
        </w:rPr>
        <w:br w:type="page"/>
      </w:r>
    </w:p>
    <w:p w14:paraId="731C4B6A" w14:textId="0858E26B" w:rsidR="00887C22" w:rsidRPr="00EE727F" w:rsidRDefault="00887C22" w:rsidP="00887C22">
      <w:pPr>
        <w:pStyle w:val="Heading2"/>
        <w:rPr>
          <w:sz w:val="22"/>
          <w:szCs w:val="22"/>
        </w:rPr>
      </w:pPr>
      <w:bookmarkStart w:id="17" w:name="_Toc93925446"/>
      <w:r w:rsidRPr="00EE727F">
        <w:rPr>
          <w:sz w:val="22"/>
          <w:szCs w:val="22"/>
        </w:rPr>
        <w:lastRenderedPageBreak/>
        <w:t xml:space="preserve">Supplementary Table </w:t>
      </w:r>
      <w:r w:rsidR="002A6AE3" w:rsidRPr="00EE727F">
        <w:rPr>
          <w:sz w:val="22"/>
          <w:szCs w:val="22"/>
        </w:rPr>
        <w:t>3</w:t>
      </w:r>
      <w:r w:rsidRPr="00EE727F">
        <w:rPr>
          <w:sz w:val="22"/>
          <w:szCs w:val="22"/>
        </w:rPr>
        <w:t xml:space="preserve">: </w:t>
      </w:r>
      <w:r w:rsidR="00B56059" w:rsidRPr="00EE727F">
        <w:rPr>
          <w:sz w:val="22"/>
          <w:szCs w:val="22"/>
        </w:rPr>
        <w:t xml:space="preserve">Frequency of positive, negative, and missing serologies for </w:t>
      </w:r>
      <w:r w:rsidR="00DF2A3D" w:rsidRPr="00EE727F">
        <w:rPr>
          <w:sz w:val="22"/>
          <w:szCs w:val="22"/>
        </w:rPr>
        <w:t>patients</w:t>
      </w:r>
      <w:r w:rsidR="00B56059" w:rsidRPr="00EE727F">
        <w:rPr>
          <w:sz w:val="22"/>
          <w:szCs w:val="22"/>
        </w:rPr>
        <w:t xml:space="preserve"> fulfilling IPAF criteria (n=60).</w:t>
      </w:r>
      <w:bookmarkEnd w:id="17"/>
      <w:r w:rsidR="00B56059" w:rsidRPr="00EE727F">
        <w:rPr>
          <w:sz w:val="22"/>
          <w:szCs w:val="22"/>
        </w:rPr>
        <w:t xml:space="preserve"> </w:t>
      </w:r>
      <w:r w:rsidRPr="00EE727F">
        <w:rPr>
          <w:sz w:val="22"/>
          <w:szCs w:val="22"/>
        </w:rPr>
        <w:t xml:space="preserve"> </w:t>
      </w:r>
    </w:p>
    <w:p w14:paraId="2EC2A775" w14:textId="6D94B5AA" w:rsidR="00B56059" w:rsidRPr="00EE727F" w:rsidRDefault="000A4D35" w:rsidP="00B56059">
      <w:pPr>
        <w:rPr>
          <w:sz w:val="22"/>
        </w:rPr>
      </w:pPr>
      <w:r w:rsidRPr="00EE727F">
        <w:rPr>
          <w:noProof/>
          <w:sz w:val="22"/>
        </w:rPr>
        <w:t>Percentages</w:t>
      </w:r>
      <w:r w:rsidR="00B56059" w:rsidRPr="00EE727F">
        <w:rPr>
          <w:noProof/>
          <w:sz w:val="22"/>
        </w:rPr>
        <w:t xml:space="preserve"> are calculated based on the total number of IPAF patients (n=60)</w:t>
      </w:r>
      <w:r w:rsidRPr="00EE727F">
        <w:rPr>
          <w:noProof/>
          <w:sz w:val="22"/>
        </w:rPr>
        <w:t>.</w:t>
      </w:r>
      <w:r w:rsidR="00B56059" w:rsidRPr="00EE727F">
        <w:rPr>
          <w:noProof/>
          <w:sz w:val="22"/>
        </w:rPr>
        <w:t xml:space="preserve"> </w:t>
      </w:r>
      <w:r w:rsidRPr="00EE727F">
        <w:rPr>
          <w:noProof/>
          <w:sz w:val="22"/>
        </w:rPr>
        <w:t>P</w:t>
      </w:r>
      <w:r w:rsidR="00B56059" w:rsidRPr="00EE727F">
        <w:rPr>
          <w:noProof/>
          <w:sz w:val="22"/>
        </w:rPr>
        <w:t xml:space="preserve">ercentages for </w:t>
      </w:r>
      <w:r w:rsidRPr="00EE727F">
        <w:rPr>
          <w:noProof/>
          <w:sz w:val="22"/>
        </w:rPr>
        <w:t xml:space="preserve">nuclear antigens </w:t>
      </w:r>
      <w:r w:rsidR="00B56059" w:rsidRPr="00EE727F">
        <w:rPr>
          <w:noProof/>
          <w:sz w:val="22"/>
        </w:rPr>
        <w:t xml:space="preserve">dsDNA, Sm, RNP, </w:t>
      </w:r>
      <w:r w:rsidRPr="00EE727F">
        <w:rPr>
          <w:noProof/>
          <w:sz w:val="22"/>
        </w:rPr>
        <w:t xml:space="preserve">and </w:t>
      </w:r>
      <w:r w:rsidR="00B56059" w:rsidRPr="00EE727F">
        <w:rPr>
          <w:noProof/>
          <w:sz w:val="22"/>
        </w:rPr>
        <w:t xml:space="preserve">Scl70 </w:t>
      </w:r>
      <w:r w:rsidR="00635496" w:rsidRPr="00EE727F">
        <w:rPr>
          <w:noProof/>
          <w:sz w:val="22"/>
        </w:rPr>
        <w:t>were</w:t>
      </w:r>
      <w:r w:rsidR="00B56059" w:rsidRPr="00EE727F">
        <w:rPr>
          <w:noProof/>
          <w:sz w:val="22"/>
        </w:rPr>
        <w:t xml:space="preserve"> </w:t>
      </w:r>
      <w:r w:rsidR="00956CC8" w:rsidRPr="00EE727F">
        <w:rPr>
          <w:noProof/>
          <w:sz w:val="22"/>
        </w:rPr>
        <w:t>calculated based on the</w:t>
      </w:r>
      <w:r w:rsidR="00B56059" w:rsidRPr="00EE727F">
        <w:rPr>
          <w:noProof/>
          <w:sz w:val="22"/>
        </w:rPr>
        <w:t xml:space="preserve"> total number of positive ANA tests (n=31).</w:t>
      </w:r>
      <w:r w:rsidRPr="00EE727F">
        <w:rPr>
          <w:noProof/>
          <w:sz w:val="22"/>
        </w:rPr>
        <w:t xml:space="preserve"> ANA testing at our institution routinely indicates the presence of cytoplasmic speckling when present regardless of the presence of a nuclear staining pattern. While there were no missing ANA results in this study, we reported cytoplasmic speckling as “missing” if ANA testing was performed outside of our institution given that we could not be certain that these findings would be routinely reported.</w:t>
      </w:r>
      <w:r w:rsidR="00635496" w:rsidRPr="00EE727F">
        <w:rPr>
          <w:noProof/>
          <w:sz w:val="22"/>
        </w:rPr>
        <w:t xml:space="preserve"> </w:t>
      </w:r>
    </w:p>
    <w:tbl>
      <w:tblPr>
        <w:tblW w:w="5000" w:type="pct"/>
        <w:tblCellMar>
          <w:left w:w="0" w:type="dxa"/>
          <w:right w:w="0" w:type="dxa"/>
        </w:tblCellMar>
        <w:tblLook w:val="0420" w:firstRow="1" w:lastRow="0" w:firstColumn="0" w:lastColumn="0" w:noHBand="0" w:noVBand="1"/>
      </w:tblPr>
      <w:tblGrid>
        <w:gridCol w:w="4735"/>
        <w:gridCol w:w="1531"/>
        <w:gridCol w:w="1531"/>
        <w:gridCol w:w="1531"/>
        <w:gridCol w:w="32"/>
      </w:tblGrid>
      <w:tr w:rsidR="00DB490B" w:rsidRPr="00EE727F" w14:paraId="1C964113" w14:textId="7CDC6406" w:rsidTr="00FE2B62">
        <w:trPr>
          <w:trHeight w:val="304"/>
        </w:trPr>
        <w:tc>
          <w:tcPr>
            <w:tcW w:w="2529"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1F86150D" w14:textId="77777777" w:rsidR="00DB490B" w:rsidRPr="00EE727F" w:rsidRDefault="00DB490B" w:rsidP="00675F43">
            <w:pPr>
              <w:spacing w:line="240" w:lineRule="auto"/>
              <w:ind w:left="0" w:firstLine="0"/>
              <w:rPr>
                <w:rFonts w:ascii="Times New Roman" w:eastAsia="Times New Roman" w:hAnsi="Times New Roman" w:cs="Times New Roman"/>
                <w:color w:val="auto"/>
                <w:sz w:val="22"/>
              </w:rPr>
            </w:pPr>
          </w:p>
        </w:tc>
        <w:tc>
          <w:tcPr>
            <w:tcW w:w="818"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75E24ACB" w14:textId="080CD631" w:rsidR="00DB490B" w:rsidRPr="00EE727F" w:rsidRDefault="00DB490B" w:rsidP="00675F43">
            <w:pPr>
              <w:spacing w:line="240" w:lineRule="auto"/>
              <w:ind w:left="0" w:firstLine="0"/>
              <w:jc w:val="center"/>
              <w:rPr>
                <w:rFonts w:eastAsia="Times New Roman"/>
                <w:color w:val="auto"/>
                <w:sz w:val="22"/>
              </w:rPr>
            </w:pPr>
            <w:r w:rsidRPr="00EE727F">
              <w:rPr>
                <w:rFonts w:eastAsia="Times New Roman"/>
                <w:b/>
                <w:bCs/>
                <w:kern w:val="24"/>
                <w:sz w:val="22"/>
              </w:rPr>
              <w:t>Positive</w:t>
            </w:r>
          </w:p>
        </w:tc>
        <w:tc>
          <w:tcPr>
            <w:tcW w:w="818"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055C3AFF" w14:textId="24CD3CAC" w:rsidR="00DB490B" w:rsidRPr="00EE727F" w:rsidRDefault="00DB490B" w:rsidP="00675F43">
            <w:pPr>
              <w:spacing w:line="240" w:lineRule="auto"/>
              <w:ind w:left="0" w:firstLine="0"/>
              <w:jc w:val="center"/>
              <w:rPr>
                <w:rFonts w:eastAsia="Times New Roman"/>
                <w:b/>
                <w:bCs/>
                <w:color w:val="auto"/>
                <w:sz w:val="22"/>
              </w:rPr>
            </w:pPr>
            <w:r w:rsidRPr="00EE727F">
              <w:rPr>
                <w:rFonts w:eastAsia="Times New Roman"/>
                <w:b/>
                <w:bCs/>
                <w:sz w:val="22"/>
              </w:rPr>
              <w:t>Negative</w:t>
            </w:r>
          </w:p>
        </w:tc>
        <w:tc>
          <w:tcPr>
            <w:tcW w:w="818" w:type="pct"/>
            <w:tcBorders>
              <w:top w:val="nil"/>
              <w:left w:val="nil"/>
              <w:bottom w:val="single" w:sz="8" w:space="0" w:color="000000"/>
              <w:right w:val="nil"/>
            </w:tcBorders>
            <w:shd w:val="clear" w:color="auto" w:fill="FFFFFF"/>
            <w:tcMar>
              <w:top w:w="72" w:type="dxa"/>
              <w:left w:w="144" w:type="dxa"/>
              <w:bottom w:w="72" w:type="dxa"/>
              <w:right w:w="144" w:type="dxa"/>
            </w:tcMar>
            <w:vAlign w:val="center"/>
            <w:hideMark/>
          </w:tcPr>
          <w:p w14:paraId="3E4FF5D2" w14:textId="366C67CA" w:rsidR="00DB490B" w:rsidRPr="00EE727F" w:rsidRDefault="00065CCE" w:rsidP="00675F43">
            <w:pPr>
              <w:spacing w:line="240" w:lineRule="auto"/>
              <w:ind w:left="0" w:firstLine="0"/>
              <w:jc w:val="center"/>
              <w:rPr>
                <w:rFonts w:eastAsia="Times New Roman"/>
                <w:b/>
                <w:bCs/>
                <w:color w:val="auto"/>
                <w:sz w:val="22"/>
              </w:rPr>
            </w:pPr>
            <w:r w:rsidRPr="00EE727F">
              <w:rPr>
                <w:rFonts w:eastAsia="Times New Roman"/>
                <w:b/>
                <w:bCs/>
                <w:sz w:val="22"/>
              </w:rPr>
              <w:t>Missing</w:t>
            </w:r>
          </w:p>
        </w:tc>
        <w:tc>
          <w:tcPr>
            <w:tcW w:w="17" w:type="pct"/>
            <w:tcBorders>
              <w:top w:val="nil"/>
              <w:left w:val="nil"/>
              <w:bottom w:val="single" w:sz="8" w:space="0" w:color="000000"/>
              <w:right w:val="nil"/>
            </w:tcBorders>
            <w:shd w:val="clear" w:color="auto" w:fill="FFFFFF"/>
          </w:tcPr>
          <w:p w14:paraId="2DF63297" w14:textId="77777777" w:rsidR="00DB490B" w:rsidRPr="00EE727F" w:rsidRDefault="00DB490B" w:rsidP="00CB6E10">
            <w:pPr>
              <w:spacing w:line="240" w:lineRule="auto"/>
              <w:ind w:left="0" w:firstLine="0"/>
              <w:rPr>
                <w:rFonts w:eastAsia="Times New Roman"/>
                <w:b/>
                <w:bCs/>
                <w:kern w:val="24"/>
                <w:sz w:val="22"/>
              </w:rPr>
            </w:pPr>
          </w:p>
        </w:tc>
      </w:tr>
      <w:tr w:rsidR="00DB490B" w:rsidRPr="00EE727F" w14:paraId="72BC2A1A" w14:textId="58FFA0CC" w:rsidTr="00FE2B62">
        <w:trPr>
          <w:trHeight w:val="157"/>
        </w:trPr>
        <w:tc>
          <w:tcPr>
            <w:tcW w:w="2529"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B4B29D4" w14:textId="2CC9C549" w:rsidR="00DB490B" w:rsidRPr="00EE727F" w:rsidRDefault="00CB6E10" w:rsidP="00675F43">
            <w:pPr>
              <w:spacing w:line="240" w:lineRule="auto"/>
              <w:ind w:left="0" w:firstLine="0"/>
              <w:rPr>
                <w:rFonts w:eastAsia="Times New Roman"/>
                <w:b/>
                <w:bCs/>
                <w:color w:val="auto"/>
                <w:sz w:val="22"/>
              </w:rPr>
            </w:pPr>
            <w:bookmarkStart w:id="18" w:name="_Hlk74415693"/>
            <w:r w:rsidRPr="00EE727F">
              <w:rPr>
                <w:rFonts w:eastAsia="Times New Roman"/>
                <w:b/>
                <w:bCs/>
                <w:color w:val="auto"/>
                <w:sz w:val="22"/>
              </w:rPr>
              <w:t>All IPAF Patients (n=60)</w:t>
            </w:r>
          </w:p>
        </w:tc>
        <w:tc>
          <w:tcPr>
            <w:tcW w:w="818"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1D907F23" w14:textId="6A7DA4EA" w:rsidR="00DB490B" w:rsidRPr="00EE727F" w:rsidRDefault="00CB6E10" w:rsidP="00675F43">
            <w:pPr>
              <w:spacing w:line="240" w:lineRule="auto"/>
              <w:ind w:left="0" w:firstLine="0"/>
              <w:jc w:val="center"/>
              <w:rPr>
                <w:rFonts w:eastAsia="Times New Roman"/>
                <w:color w:val="auto"/>
                <w:sz w:val="22"/>
              </w:rPr>
            </w:pPr>
            <w:r w:rsidRPr="00EE727F">
              <w:rPr>
                <w:rFonts w:eastAsia="Times New Roman"/>
                <w:color w:val="auto"/>
                <w:sz w:val="22"/>
              </w:rPr>
              <w:t>n (%)</w:t>
            </w:r>
          </w:p>
        </w:tc>
        <w:tc>
          <w:tcPr>
            <w:tcW w:w="818"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B6A2261" w14:textId="68E8A367" w:rsidR="00DB490B" w:rsidRPr="00EE727F" w:rsidRDefault="00CB6E10" w:rsidP="00675F43">
            <w:pPr>
              <w:spacing w:line="240" w:lineRule="auto"/>
              <w:ind w:left="0" w:firstLine="0"/>
              <w:jc w:val="center"/>
              <w:rPr>
                <w:rFonts w:eastAsia="Times New Roman"/>
                <w:color w:val="auto"/>
                <w:sz w:val="22"/>
              </w:rPr>
            </w:pPr>
            <w:r w:rsidRPr="00EE727F">
              <w:rPr>
                <w:rFonts w:eastAsia="Times New Roman"/>
                <w:color w:val="auto"/>
                <w:sz w:val="22"/>
              </w:rPr>
              <w:t xml:space="preserve">n (%) </w:t>
            </w:r>
          </w:p>
        </w:tc>
        <w:tc>
          <w:tcPr>
            <w:tcW w:w="818" w:type="pct"/>
            <w:tcBorders>
              <w:top w:val="single" w:sz="8" w:space="0" w:color="000000"/>
              <w:left w:val="nil"/>
              <w:bottom w:val="single" w:sz="8" w:space="0" w:color="000000"/>
              <w:right w:val="nil"/>
            </w:tcBorders>
            <w:shd w:val="clear" w:color="auto" w:fill="FFFFFF"/>
            <w:tcMar>
              <w:top w:w="72" w:type="dxa"/>
              <w:left w:w="144" w:type="dxa"/>
              <w:bottom w:w="72" w:type="dxa"/>
              <w:right w:w="144" w:type="dxa"/>
            </w:tcMar>
            <w:vAlign w:val="center"/>
            <w:hideMark/>
          </w:tcPr>
          <w:p w14:paraId="41B5B3B6" w14:textId="2B45E356" w:rsidR="00DB490B" w:rsidRPr="00EE727F" w:rsidRDefault="00CB6E10" w:rsidP="00675F43">
            <w:pPr>
              <w:spacing w:line="240" w:lineRule="auto"/>
              <w:ind w:left="0" w:firstLine="0"/>
              <w:jc w:val="center"/>
              <w:rPr>
                <w:rFonts w:eastAsia="Times New Roman"/>
                <w:color w:val="auto"/>
                <w:sz w:val="22"/>
              </w:rPr>
            </w:pPr>
            <w:r w:rsidRPr="00EE727F">
              <w:rPr>
                <w:rFonts w:eastAsia="Times New Roman"/>
                <w:color w:val="auto"/>
                <w:sz w:val="22"/>
              </w:rPr>
              <w:t>n (%)</w:t>
            </w:r>
          </w:p>
        </w:tc>
        <w:tc>
          <w:tcPr>
            <w:tcW w:w="17" w:type="pct"/>
            <w:tcBorders>
              <w:top w:val="single" w:sz="8" w:space="0" w:color="000000"/>
              <w:left w:val="nil"/>
              <w:bottom w:val="single" w:sz="8" w:space="0" w:color="000000"/>
              <w:right w:val="nil"/>
            </w:tcBorders>
            <w:shd w:val="clear" w:color="auto" w:fill="FFFFFF"/>
          </w:tcPr>
          <w:p w14:paraId="61C8990F" w14:textId="77777777" w:rsidR="00DB490B" w:rsidRPr="00EE727F" w:rsidRDefault="00DB490B" w:rsidP="00675F43">
            <w:pPr>
              <w:spacing w:line="240" w:lineRule="auto"/>
              <w:ind w:left="0" w:firstLine="0"/>
              <w:jc w:val="center"/>
              <w:rPr>
                <w:rFonts w:eastAsia="Times New Roman"/>
                <w:b/>
                <w:bCs/>
                <w:kern w:val="24"/>
                <w:sz w:val="22"/>
              </w:rPr>
            </w:pPr>
          </w:p>
        </w:tc>
      </w:tr>
      <w:tr w:rsidR="00DB490B" w:rsidRPr="00EE727F" w14:paraId="5274EBE4" w14:textId="67A4C451" w:rsidTr="00FE2B62">
        <w:trPr>
          <w:trHeight w:val="157"/>
        </w:trPr>
        <w:tc>
          <w:tcPr>
            <w:tcW w:w="2529"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7A8113F" w14:textId="7D957173" w:rsidR="00DB490B" w:rsidRPr="00EE727F" w:rsidRDefault="00D26A04" w:rsidP="00675F43">
            <w:pPr>
              <w:spacing w:line="240" w:lineRule="auto"/>
              <w:ind w:left="0" w:firstLine="0"/>
              <w:rPr>
                <w:rFonts w:eastAsia="Times New Roman"/>
                <w:color w:val="auto"/>
                <w:sz w:val="22"/>
              </w:rPr>
            </w:pPr>
            <w:r w:rsidRPr="00EE727F">
              <w:rPr>
                <w:rFonts w:eastAsia="Times New Roman"/>
                <w:kern w:val="24"/>
                <w:sz w:val="22"/>
              </w:rPr>
              <w:t>ANA</w:t>
            </w:r>
          </w:p>
        </w:tc>
        <w:tc>
          <w:tcPr>
            <w:tcW w:w="818"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5AA63A5" w14:textId="1F1E196F" w:rsidR="00DB490B" w:rsidRPr="00EE727F" w:rsidRDefault="00D26A04" w:rsidP="00675F43">
            <w:pPr>
              <w:spacing w:line="240" w:lineRule="auto"/>
              <w:ind w:left="0" w:firstLine="0"/>
              <w:jc w:val="center"/>
              <w:rPr>
                <w:rFonts w:eastAsia="Times New Roman"/>
                <w:color w:val="auto"/>
                <w:sz w:val="22"/>
              </w:rPr>
            </w:pPr>
            <w:r w:rsidRPr="00EE727F">
              <w:rPr>
                <w:rFonts w:eastAsia="Times New Roman"/>
                <w:sz w:val="22"/>
              </w:rPr>
              <w:t>31</w:t>
            </w:r>
            <w:r w:rsidR="00CB6E10" w:rsidRPr="00EE727F">
              <w:rPr>
                <w:rFonts w:eastAsia="Times New Roman"/>
                <w:sz w:val="22"/>
              </w:rPr>
              <w:t xml:space="preserve"> (51.7%)</w:t>
            </w:r>
          </w:p>
        </w:tc>
        <w:tc>
          <w:tcPr>
            <w:tcW w:w="818"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4BD8EE7" w14:textId="75E62A9E" w:rsidR="00DB490B" w:rsidRPr="00EE727F" w:rsidRDefault="00D26A04" w:rsidP="00675F43">
            <w:pPr>
              <w:spacing w:line="240" w:lineRule="auto"/>
              <w:ind w:left="0" w:firstLine="0"/>
              <w:jc w:val="center"/>
              <w:rPr>
                <w:rFonts w:eastAsia="Times New Roman"/>
                <w:color w:val="auto"/>
                <w:sz w:val="22"/>
              </w:rPr>
            </w:pPr>
            <w:r w:rsidRPr="00EE727F">
              <w:rPr>
                <w:rFonts w:eastAsia="Times New Roman"/>
                <w:kern w:val="24"/>
                <w:sz w:val="22"/>
              </w:rPr>
              <w:t>29</w:t>
            </w:r>
            <w:r w:rsidR="00CB6E10" w:rsidRPr="00EE727F">
              <w:rPr>
                <w:rFonts w:eastAsia="Times New Roman"/>
                <w:kern w:val="24"/>
                <w:sz w:val="22"/>
              </w:rPr>
              <w:t xml:space="preserve"> (48.3%)</w:t>
            </w:r>
          </w:p>
        </w:tc>
        <w:tc>
          <w:tcPr>
            <w:tcW w:w="818" w:type="pct"/>
            <w:tcBorders>
              <w:top w:val="single" w:sz="8" w:space="0" w:color="000000"/>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7200537" w14:textId="62BC550E" w:rsidR="00DB490B" w:rsidRPr="00EE727F" w:rsidRDefault="00D26A04" w:rsidP="00675F43">
            <w:pPr>
              <w:spacing w:line="240" w:lineRule="auto"/>
              <w:ind w:left="0" w:firstLine="0"/>
              <w:jc w:val="center"/>
              <w:rPr>
                <w:rFonts w:eastAsia="Times New Roman"/>
                <w:color w:val="auto"/>
                <w:sz w:val="22"/>
              </w:rPr>
            </w:pPr>
            <w:r w:rsidRPr="00EE727F">
              <w:rPr>
                <w:rFonts w:eastAsia="Times New Roman"/>
                <w:kern w:val="24"/>
                <w:sz w:val="22"/>
              </w:rPr>
              <w:t>0</w:t>
            </w:r>
            <w:r w:rsidR="00CB6E10" w:rsidRPr="00EE727F">
              <w:rPr>
                <w:rFonts w:eastAsia="Times New Roman"/>
                <w:kern w:val="24"/>
                <w:sz w:val="22"/>
              </w:rPr>
              <w:t xml:space="preserve"> (0.0%)</w:t>
            </w:r>
          </w:p>
        </w:tc>
        <w:tc>
          <w:tcPr>
            <w:tcW w:w="17" w:type="pct"/>
            <w:tcBorders>
              <w:top w:val="single" w:sz="8" w:space="0" w:color="000000"/>
              <w:left w:val="single" w:sz="8" w:space="0" w:color="FFFFFF"/>
              <w:bottom w:val="single" w:sz="8" w:space="0" w:color="FFFFFF"/>
              <w:right w:val="single" w:sz="8" w:space="0" w:color="FFFFFF"/>
            </w:tcBorders>
            <w:shd w:val="clear" w:color="auto" w:fill="FFFFFF"/>
          </w:tcPr>
          <w:p w14:paraId="370C3889" w14:textId="77777777" w:rsidR="00DB490B" w:rsidRPr="00EE727F" w:rsidRDefault="00DB490B" w:rsidP="00675F43">
            <w:pPr>
              <w:spacing w:line="240" w:lineRule="auto"/>
              <w:ind w:left="0" w:firstLine="0"/>
              <w:jc w:val="center"/>
              <w:rPr>
                <w:rFonts w:eastAsia="Times New Roman"/>
                <w:kern w:val="24"/>
                <w:sz w:val="22"/>
              </w:rPr>
            </w:pPr>
          </w:p>
        </w:tc>
      </w:tr>
      <w:tr w:rsidR="00D26A04" w:rsidRPr="00EE727F" w14:paraId="33566CCA" w14:textId="77777777"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0270929" w14:textId="0B920750" w:rsidR="00D26A04" w:rsidRPr="00EE727F" w:rsidRDefault="00D26A04" w:rsidP="00675F43">
            <w:pPr>
              <w:spacing w:line="240" w:lineRule="auto"/>
              <w:ind w:left="0" w:firstLine="0"/>
              <w:rPr>
                <w:rFonts w:eastAsia="Times New Roman"/>
                <w:kern w:val="24"/>
                <w:sz w:val="22"/>
              </w:rPr>
            </w:pPr>
            <w:r w:rsidRPr="00EE727F">
              <w:rPr>
                <w:rFonts w:eastAsia="Times New Roman"/>
                <w:kern w:val="24"/>
                <w:sz w:val="22"/>
              </w:rPr>
              <w:t xml:space="preserve">      dsDNA</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497551F" w14:textId="7AB6598D"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3</w:t>
            </w:r>
            <w:r w:rsidR="00CB6E10" w:rsidRPr="00EE727F">
              <w:rPr>
                <w:rFonts w:eastAsia="Times New Roman"/>
                <w:kern w:val="24"/>
                <w:sz w:val="22"/>
              </w:rPr>
              <w:t xml:space="preserve"> </w:t>
            </w:r>
            <w:r w:rsidRPr="00EE727F">
              <w:rPr>
                <w:rFonts w:eastAsia="Times New Roman"/>
                <w:kern w:val="24"/>
                <w:sz w:val="22"/>
              </w:rPr>
              <w:t>(9.7%)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CA936F7" w14:textId="74996CAC"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21 (67.7%)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2AE7E1E" w14:textId="4ECA14DB"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7 (22.6%)</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3B291D50" w14:textId="77777777" w:rsidR="00D26A04" w:rsidRPr="00EE727F" w:rsidRDefault="00D26A04" w:rsidP="00675F43">
            <w:pPr>
              <w:spacing w:line="240" w:lineRule="auto"/>
              <w:ind w:left="0" w:firstLine="0"/>
              <w:jc w:val="center"/>
              <w:rPr>
                <w:rFonts w:eastAsia="Times New Roman"/>
                <w:kern w:val="24"/>
                <w:sz w:val="22"/>
              </w:rPr>
            </w:pPr>
          </w:p>
        </w:tc>
      </w:tr>
      <w:tr w:rsidR="00D26A04" w:rsidRPr="00EE727F" w14:paraId="24B00305" w14:textId="77777777"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C2BD5C4" w14:textId="31094915" w:rsidR="00D26A04" w:rsidRPr="00EE727F" w:rsidRDefault="00D26A04" w:rsidP="00675F43">
            <w:pPr>
              <w:spacing w:line="240" w:lineRule="auto"/>
              <w:ind w:left="0" w:firstLine="0"/>
              <w:rPr>
                <w:rFonts w:eastAsia="Times New Roman"/>
                <w:kern w:val="24"/>
                <w:sz w:val="22"/>
              </w:rPr>
            </w:pPr>
            <w:r w:rsidRPr="00EE727F">
              <w:rPr>
                <w:rFonts w:eastAsia="Times New Roman"/>
                <w:kern w:val="24"/>
                <w:sz w:val="22"/>
              </w:rPr>
              <w:t xml:space="preserve">      Anti-</w:t>
            </w:r>
            <w:proofErr w:type="spellStart"/>
            <w:r w:rsidRPr="00EE727F">
              <w:rPr>
                <w:rFonts w:eastAsia="Times New Roman"/>
                <w:kern w:val="24"/>
                <w:sz w:val="22"/>
              </w:rPr>
              <w:t>Sm</w:t>
            </w:r>
            <w:proofErr w:type="spellEnd"/>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8B4C62D" w14:textId="290FD013"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1 (3.2%)</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A237D80" w14:textId="36C4F17A"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21 (67.7%)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E92401D" w14:textId="334BCC84"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9 (29.0%)</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1BB25D3F" w14:textId="77777777" w:rsidR="00D26A04" w:rsidRPr="00EE727F" w:rsidRDefault="00D26A04" w:rsidP="00675F43">
            <w:pPr>
              <w:spacing w:line="240" w:lineRule="auto"/>
              <w:ind w:left="0" w:firstLine="0"/>
              <w:jc w:val="center"/>
              <w:rPr>
                <w:rFonts w:eastAsia="Times New Roman"/>
                <w:kern w:val="24"/>
                <w:sz w:val="22"/>
              </w:rPr>
            </w:pPr>
          </w:p>
        </w:tc>
      </w:tr>
      <w:tr w:rsidR="00D26A04" w:rsidRPr="00EE727F" w14:paraId="0B69FCB5" w14:textId="77777777"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FE11CDA" w14:textId="7F484223" w:rsidR="00D26A04" w:rsidRPr="00EE727F" w:rsidRDefault="00D26A04" w:rsidP="00675F43">
            <w:pPr>
              <w:spacing w:line="240" w:lineRule="auto"/>
              <w:ind w:left="0" w:firstLine="0"/>
              <w:rPr>
                <w:rFonts w:eastAsia="Times New Roman"/>
                <w:kern w:val="24"/>
                <w:sz w:val="22"/>
              </w:rPr>
            </w:pPr>
            <w:r w:rsidRPr="00EE727F">
              <w:rPr>
                <w:rFonts w:eastAsia="Times New Roman"/>
                <w:kern w:val="24"/>
                <w:sz w:val="22"/>
              </w:rPr>
              <w:t xml:space="preserve">      Anti-RNP</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A1CE003" w14:textId="2E0D9FFB" w:rsidR="00D26A04" w:rsidRPr="00EE727F" w:rsidRDefault="00BB4EDA" w:rsidP="00D26A04">
            <w:pPr>
              <w:spacing w:line="240" w:lineRule="auto"/>
              <w:ind w:left="0" w:firstLine="0"/>
              <w:jc w:val="center"/>
              <w:rPr>
                <w:rFonts w:eastAsia="Times New Roman"/>
                <w:kern w:val="24"/>
                <w:sz w:val="22"/>
              </w:rPr>
            </w:pPr>
            <w:r w:rsidRPr="00EE727F">
              <w:rPr>
                <w:rFonts w:eastAsia="Times New Roman"/>
                <w:kern w:val="24"/>
                <w:sz w:val="22"/>
              </w:rPr>
              <w:t>3</w:t>
            </w:r>
            <w:r w:rsidR="00FE2B62" w:rsidRPr="00EE727F">
              <w:rPr>
                <w:rFonts w:eastAsia="Times New Roman"/>
                <w:kern w:val="24"/>
                <w:sz w:val="22"/>
              </w:rPr>
              <w:t xml:space="preserve"> (9.7%)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0CAC701" w14:textId="49FB815C" w:rsidR="00D26A04" w:rsidRPr="00EE727F" w:rsidRDefault="00FE2B62" w:rsidP="00D26A04">
            <w:pPr>
              <w:spacing w:line="240" w:lineRule="auto"/>
              <w:ind w:left="0" w:firstLine="0"/>
              <w:jc w:val="center"/>
              <w:rPr>
                <w:rFonts w:eastAsia="Times New Roman"/>
                <w:kern w:val="24"/>
                <w:sz w:val="22"/>
              </w:rPr>
            </w:pPr>
            <w:r w:rsidRPr="00EE727F">
              <w:rPr>
                <w:rFonts w:eastAsia="Times New Roman"/>
                <w:kern w:val="24"/>
                <w:sz w:val="22"/>
              </w:rPr>
              <w:t>22 (71.0%)</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E414B34" w14:textId="06ED6CCF" w:rsidR="00D26A04" w:rsidRPr="00EE727F" w:rsidRDefault="00FE2B62" w:rsidP="00D26A04">
            <w:pPr>
              <w:spacing w:line="240" w:lineRule="auto"/>
              <w:ind w:left="0" w:firstLine="0"/>
              <w:jc w:val="center"/>
              <w:rPr>
                <w:rFonts w:eastAsia="Times New Roman"/>
                <w:kern w:val="24"/>
                <w:sz w:val="22"/>
              </w:rPr>
            </w:pPr>
            <w:r w:rsidRPr="00EE727F">
              <w:rPr>
                <w:rFonts w:eastAsia="Times New Roman"/>
                <w:kern w:val="24"/>
                <w:sz w:val="22"/>
              </w:rPr>
              <w:t>6 (19.4%)</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69EEDB8F" w14:textId="77777777" w:rsidR="00D26A04" w:rsidRPr="00EE727F" w:rsidRDefault="00D26A04" w:rsidP="00BB4EDA">
            <w:pPr>
              <w:spacing w:line="240" w:lineRule="auto"/>
              <w:ind w:left="0" w:firstLine="0"/>
              <w:rPr>
                <w:rFonts w:eastAsia="Times New Roman"/>
                <w:kern w:val="24"/>
                <w:sz w:val="22"/>
              </w:rPr>
            </w:pPr>
          </w:p>
        </w:tc>
      </w:tr>
      <w:tr w:rsidR="00D26A04" w:rsidRPr="00EE727F" w14:paraId="5E103CC0" w14:textId="77777777"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20EF4055" w14:textId="64CB0D4F" w:rsidR="00D26A04" w:rsidRPr="00EE727F" w:rsidRDefault="00D26A04" w:rsidP="00675F43">
            <w:pPr>
              <w:spacing w:line="240" w:lineRule="auto"/>
              <w:ind w:left="0" w:firstLine="0"/>
              <w:rPr>
                <w:rFonts w:eastAsia="Times New Roman"/>
                <w:kern w:val="24"/>
                <w:sz w:val="22"/>
              </w:rPr>
            </w:pPr>
            <w:r w:rsidRPr="00EE727F">
              <w:rPr>
                <w:rFonts w:eastAsia="Times New Roman"/>
                <w:kern w:val="24"/>
                <w:sz w:val="22"/>
              </w:rPr>
              <w:t xml:space="preserve">      Anti-Scl70</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583C470" w14:textId="27732247" w:rsidR="00D26A04" w:rsidRPr="00EE727F" w:rsidRDefault="00D26A04" w:rsidP="00675F43">
            <w:pPr>
              <w:spacing w:line="240" w:lineRule="auto"/>
              <w:ind w:left="0" w:firstLine="0"/>
              <w:jc w:val="center"/>
              <w:rPr>
                <w:rFonts w:eastAsia="Times New Roman"/>
                <w:kern w:val="24"/>
                <w:sz w:val="22"/>
              </w:rPr>
            </w:pPr>
            <w:r w:rsidRPr="00EE727F">
              <w:rPr>
                <w:rFonts w:eastAsia="Times New Roman"/>
                <w:kern w:val="24"/>
                <w:sz w:val="22"/>
              </w:rPr>
              <w:t>2</w:t>
            </w:r>
            <w:r w:rsidR="00FE2B62" w:rsidRPr="00EE727F">
              <w:rPr>
                <w:rFonts w:eastAsia="Times New Roman"/>
                <w:kern w:val="24"/>
                <w:sz w:val="22"/>
              </w:rPr>
              <w:t xml:space="preserve"> (6.5%)</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7B13C211" w14:textId="416819E5"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26 (83.9%)</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0090E05" w14:textId="7AD19888" w:rsidR="00D26A04" w:rsidRPr="00EE727F" w:rsidRDefault="00FE2B62" w:rsidP="00675F43">
            <w:pPr>
              <w:spacing w:line="240" w:lineRule="auto"/>
              <w:ind w:left="0" w:firstLine="0"/>
              <w:jc w:val="center"/>
              <w:rPr>
                <w:rFonts w:eastAsia="Times New Roman"/>
                <w:kern w:val="24"/>
                <w:sz w:val="22"/>
              </w:rPr>
            </w:pPr>
            <w:r w:rsidRPr="00EE727F">
              <w:rPr>
                <w:rFonts w:eastAsia="Times New Roman"/>
                <w:kern w:val="24"/>
                <w:sz w:val="22"/>
              </w:rPr>
              <w:t>3 (9.7%)</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366BBBCB" w14:textId="77777777" w:rsidR="00D26A04" w:rsidRPr="00EE727F" w:rsidRDefault="00D26A04" w:rsidP="00675F43">
            <w:pPr>
              <w:spacing w:line="240" w:lineRule="auto"/>
              <w:ind w:left="0" w:firstLine="0"/>
              <w:jc w:val="center"/>
              <w:rPr>
                <w:rFonts w:eastAsia="Times New Roman"/>
                <w:kern w:val="24"/>
                <w:sz w:val="22"/>
              </w:rPr>
            </w:pPr>
          </w:p>
        </w:tc>
      </w:tr>
      <w:bookmarkEnd w:id="18"/>
      <w:tr w:rsidR="00DB490B" w:rsidRPr="00EE727F" w14:paraId="37AE6E95" w14:textId="6AE1A2D4"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6A8A6CA8" w14:textId="55D593D7" w:rsidR="00DB490B" w:rsidRPr="00EE727F" w:rsidRDefault="00D26A04" w:rsidP="00675F43">
            <w:pPr>
              <w:spacing w:line="240" w:lineRule="auto"/>
              <w:ind w:left="0" w:firstLine="0"/>
              <w:rPr>
                <w:rFonts w:eastAsia="Times New Roman"/>
                <w:color w:val="auto"/>
                <w:sz w:val="22"/>
              </w:rPr>
            </w:pPr>
            <w:r w:rsidRPr="00EE727F">
              <w:rPr>
                <w:rFonts w:eastAsia="Times New Roman"/>
                <w:kern w:val="24"/>
                <w:sz w:val="22"/>
              </w:rPr>
              <w:t>RF</w:t>
            </w:r>
            <w:r w:rsidR="00CB6E10" w:rsidRPr="00EE727F">
              <w:rPr>
                <w:rFonts w:eastAsia="Times New Roman"/>
                <w:kern w:val="24"/>
                <w:sz w:val="22"/>
              </w:rPr>
              <w:t xml:space="preserve"> </w:t>
            </w:r>
            <w:r w:rsidR="00CB6E10" w:rsidRPr="00EE727F">
              <w:rPr>
                <w:rFonts w:ascii="Cambria Math" w:eastAsia="Times New Roman" w:hAnsi="Cambria Math"/>
                <w:kern w:val="24"/>
                <w:sz w:val="22"/>
              </w:rPr>
              <w:t>≥</w:t>
            </w:r>
            <w:r w:rsidR="00CB6E10" w:rsidRPr="00EE727F">
              <w:rPr>
                <w:rFonts w:eastAsia="Times New Roman"/>
                <w:kern w:val="24"/>
                <w:sz w:val="22"/>
              </w:rPr>
              <w:t xml:space="preserve"> 2x upper </w:t>
            </w:r>
            <w:r w:rsidR="007D3A10" w:rsidRPr="00EE727F">
              <w:rPr>
                <w:rFonts w:eastAsia="Times New Roman"/>
                <w:kern w:val="24"/>
                <w:sz w:val="22"/>
              </w:rPr>
              <w:t>limit of normal</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5B775946" w14:textId="672B2587" w:rsidR="00DB490B" w:rsidRPr="00EE727F" w:rsidRDefault="00D26A04" w:rsidP="00675F43">
            <w:pPr>
              <w:spacing w:line="240" w:lineRule="auto"/>
              <w:ind w:left="0" w:firstLine="0"/>
              <w:jc w:val="center"/>
              <w:rPr>
                <w:rFonts w:eastAsia="Times New Roman"/>
                <w:color w:val="auto"/>
                <w:sz w:val="22"/>
              </w:rPr>
            </w:pPr>
            <w:r w:rsidRPr="00EE727F">
              <w:rPr>
                <w:rFonts w:eastAsia="Times New Roman"/>
                <w:kern w:val="24"/>
                <w:sz w:val="22"/>
              </w:rPr>
              <w:t>8</w:t>
            </w:r>
            <w:r w:rsidR="00B56059" w:rsidRPr="00EE727F">
              <w:rPr>
                <w:rFonts w:eastAsia="Times New Roman"/>
                <w:kern w:val="24"/>
                <w:sz w:val="22"/>
              </w:rPr>
              <w:t xml:space="preserve"> (13.3%)</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0CA8B005" w14:textId="5C9944FF"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49 (81.7%)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E755E46" w14:textId="2F7F400F"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3 (5.0%)</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6D308EA8" w14:textId="77777777" w:rsidR="00DB490B" w:rsidRPr="00EE727F" w:rsidRDefault="00DB490B" w:rsidP="00675F43">
            <w:pPr>
              <w:spacing w:line="240" w:lineRule="auto"/>
              <w:ind w:left="0" w:firstLine="0"/>
              <w:jc w:val="center"/>
              <w:rPr>
                <w:rFonts w:eastAsia="Times New Roman"/>
                <w:kern w:val="24"/>
                <w:sz w:val="22"/>
              </w:rPr>
            </w:pPr>
          </w:p>
        </w:tc>
      </w:tr>
      <w:tr w:rsidR="00DB490B" w:rsidRPr="00EE727F" w14:paraId="497F6039" w14:textId="7ADDB5BE"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9D52B16" w14:textId="692E3A84" w:rsidR="00DB490B" w:rsidRPr="00EE727F" w:rsidRDefault="007D3A10" w:rsidP="00675F43">
            <w:pPr>
              <w:spacing w:line="240" w:lineRule="auto"/>
              <w:ind w:left="0" w:firstLine="0"/>
              <w:rPr>
                <w:rFonts w:eastAsia="Times New Roman"/>
                <w:color w:val="auto"/>
                <w:sz w:val="22"/>
              </w:rPr>
            </w:pPr>
            <w:r w:rsidRPr="00EE727F">
              <w:rPr>
                <w:rFonts w:eastAsia="Times New Roman"/>
                <w:kern w:val="24"/>
                <w:sz w:val="22"/>
              </w:rPr>
              <w:t>Anti-</w:t>
            </w:r>
            <w:r w:rsidR="00D26A04" w:rsidRPr="00EE727F">
              <w:rPr>
                <w:rFonts w:eastAsia="Times New Roman"/>
                <w:kern w:val="24"/>
                <w:sz w:val="22"/>
              </w:rPr>
              <w:t>CCP</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1E2C67B" w14:textId="621C4484"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16 (26.7%)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3E52E35" w14:textId="25FD19BB"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39 (65.0%)</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A2A72B4" w14:textId="5FE81A8A"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5 (8.3%)</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26923DD3" w14:textId="77777777" w:rsidR="00DB490B" w:rsidRPr="00EE727F" w:rsidRDefault="00DB490B" w:rsidP="00675F43">
            <w:pPr>
              <w:spacing w:line="240" w:lineRule="auto"/>
              <w:ind w:left="0" w:firstLine="0"/>
              <w:jc w:val="center"/>
              <w:rPr>
                <w:rFonts w:eastAsia="Times New Roman"/>
                <w:kern w:val="24"/>
                <w:sz w:val="22"/>
              </w:rPr>
            </w:pPr>
          </w:p>
        </w:tc>
      </w:tr>
      <w:tr w:rsidR="00DB490B" w:rsidRPr="00EE727F" w14:paraId="1209948C" w14:textId="535A8E9C" w:rsidTr="00FE2B62">
        <w:trPr>
          <w:trHeight w:val="157"/>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69B35DC" w14:textId="2D87CFF7" w:rsidR="00DB490B" w:rsidRPr="00EE727F" w:rsidRDefault="00CB6E10" w:rsidP="00675F43">
            <w:pPr>
              <w:spacing w:line="240" w:lineRule="auto"/>
              <w:ind w:left="0" w:firstLine="0"/>
              <w:rPr>
                <w:rFonts w:eastAsia="Times New Roman"/>
                <w:color w:val="auto"/>
                <w:sz w:val="22"/>
              </w:rPr>
            </w:pPr>
            <w:r w:rsidRPr="00EE727F">
              <w:rPr>
                <w:rFonts w:eastAsia="Times New Roman"/>
                <w:kern w:val="24"/>
                <w:sz w:val="22"/>
              </w:rPr>
              <w:t>Anti-</w:t>
            </w:r>
            <w:r w:rsidR="00D26A04" w:rsidRPr="00EE727F">
              <w:rPr>
                <w:rFonts w:eastAsia="Times New Roman"/>
                <w:kern w:val="24"/>
                <w:sz w:val="22"/>
              </w:rPr>
              <w:t>SS</w:t>
            </w:r>
            <w:r w:rsidRPr="00EE727F">
              <w:rPr>
                <w:rFonts w:eastAsia="Times New Roman"/>
                <w:kern w:val="24"/>
                <w:sz w:val="22"/>
              </w:rPr>
              <w:t>-</w:t>
            </w:r>
            <w:r w:rsidR="00D26A04" w:rsidRPr="00EE727F">
              <w:rPr>
                <w:rFonts w:eastAsia="Times New Roman"/>
                <w:kern w:val="24"/>
                <w:sz w:val="22"/>
              </w:rPr>
              <w:t>A</w:t>
            </w:r>
            <w:r w:rsidRPr="00EE727F">
              <w:rPr>
                <w:rFonts w:eastAsia="Times New Roman"/>
                <w:kern w:val="24"/>
                <w:sz w:val="22"/>
              </w:rPr>
              <w:t>, Anti-SS-</w:t>
            </w:r>
            <w:r w:rsidR="00D26A04" w:rsidRPr="00EE727F">
              <w:rPr>
                <w:rFonts w:eastAsia="Times New Roman"/>
                <w:kern w:val="24"/>
                <w:sz w:val="22"/>
              </w:rPr>
              <w:t>B</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B6E19E0" w14:textId="5B67FBCD"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16 (26.7%)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49E3A83A" w14:textId="35F2A7EC"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sz w:val="22"/>
              </w:rPr>
              <w:t>41 (68.3%)</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DB98AAB" w14:textId="369A2618" w:rsidR="00DB490B" w:rsidRPr="00EE727F" w:rsidRDefault="00FE2B62" w:rsidP="00675F43">
            <w:pPr>
              <w:spacing w:line="240" w:lineRule="auto"/>
              <w:ind w:left="0" w:firstLine="0"/>
              <w:jc w:val="center"/>
              <w:rPr>
                <w:rFonts w:eastAsia="Times New Roman"/>
                <w:color w:val="auto"/>
                <w:sz w:val="22"/>
              </w:rPr>
            </w:pPr>
            <w:r w:rsidRPr="00EE727F">
              <w:rPr>
                <w:rFonts w:eastAsia="Times New Roman"/>
                <w:kern w:val="24"/>
                <w:sz w:val="22"/>
              </w:rPr>
              <w:t>3 (5.0%)</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541DD109" w14:textId="77777777" w:rsidR="00DB490B" w:rsidRPr="00EE727F" w:rsidRDefault="00DB490B" w:rsidP="00675F43">
            <w:pPr>
              <w:spacing w:line="240" w:lineRule="auto"/>
              <w:ind w:left="0" w:firstLine="0"/>
              <w:jc w:val="center"/>
              <w:rPr>
                <w:rFonts w:eastAsia="Times New Roman"/>
                <w:kern w:val="24"/>
                <w:sz w:val="22"/>
              </w:rPr>
            </w:pPr>
          </w:p>
        </w:tc>
      </w:tr>
      <w:tr w:rsidR="00D13A0D" w:rsidRPr="00EE727F" w14:paraId="218E1FBD" w14:textId="77777777" w:rsidTr="00FE2B62">
        <w:trPr>
          <w:trHeight w:val="19"/>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AF2723F" w14:textId="56AE57C5" w:rsidR="00D13A0D" w:rsidRPr="00EE727F" w:rsidRDefault="00D13A0D" w:rsidP="00FE2B62">
            <w:pPr>
              <w:spacing w:line="240" w:lineRule="auto"/>
              <w:ind w:left="0" w:firstLine="0"/>
              <w:rPr>
                <w:rFonts w:eastAsia="Times New Roman"/>
                <w:sz w:val="22"/>
              </w:rPr>
            </w:pPr>
            <w:r w:rsidRPr="00EE727F">
              <w:rPr>
                <w:rFonts w:eastAsia="Times New Roman"/>
                <w:sz w:val="22"/>
              </w:rPr>
              <w:t>Anti-Jo1</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121586C3" w14:textId="2103647C" w:rsidR="00D13A0D" w:rsidRPr="00EE727F" w:rsidRDefault="00D13A0D" w:rsidP="00675F43">
            <w:pPr>
              <w:spacing w:line="240" w:lineRule="auto"/>
              <w:ind w:left="0" w:firstLine="0"/>
              <w:jc w:val="center"/>
              <w:rPr>
                <w:rFonts w:eastAsia="Times New Roman"/>
                <w:sz w:val="22"/>
              </w:rPr>
            </w:pPr>
            <w:r w:rsidRPr="00EE727F">
              <w:rPr>
                <w:rFonts w:eastAsia="Times New Roman"/>
                <w:sz w:val="22"/>
              </w:rPr>
              <w:t>5 (8.3%)</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5EDF9495" w14:textId="15E90EDB" w:rsidR="00D13A0D" w:rsidRPr="00EE727F" w:rsidRDefault="00D13A0D" w:rsidP="00675F43">
            <w:pPr>
              <w:spacing w:line="240" w:lineRule="auto"/>
              <w:ind w:left="0" w:firstLine="0"/>
              <w:jc w:val="center"/>
              <w:rPr>
                <w:rFonts w:eastAsia="Times New Roman"/>
                <w:sz w:val="22"/>
              </w:rPr>
            </w:pPr>
            <w:r w:rsidRPr="00EE727F">
              <w:rPr>
                <w:rFonts w:eastAsia="Times New Roman"/>
                <w:sz w:val="22"/>
              </w:rPr>
              <w:t>46 (76.7%)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425400FE" w14:textId="735D2DD3" w:rsidR="00D13A0D" w:rsidRPr="00EE727F" w:rsidRDefault="00D13A0D" w:rsidP="00675F43">
            <w:pPr>
              <w:spacing w:line="240" w:lineRule="auto"/>
              <w:ind w:left="0" w:firstLine="0"/>
              <w:jc w:val="center"/>
              <w:rPr>
                <w:rFonts w:eastAsia="Times New Roman"/>
                <w:kern w:val="24"/>
                <w:sz w:val="22"/>
              </w:rPr>
            </w:pPr>
            <w:r w:rsidRPr="00EE727F">
              <w:rPr>
                <w:rFonts w:eastAsia="Times New Roman"/>
                <w:kern w:val="24"/>
                <w:sz w:val="22"/>
              </w:rPr>
              <w:t>9 (15.0%)</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2BB6DECD" w14:textId="77777777" w:rsidR="00D13A0D" w:rsidRPr="00EE727F" w:rsidRDefault="00D13A0D" w:rsidP="00675F43">
            <w:pPr>
              <w:spacing w:line="240" w:lineRule="auto"/>
              <w:ind w:left="0" w:firstLine="0"/>
              <w:jc w:val="center"/>
              <w:rPr>
                <w:rFonts w:eastAsia="Times New Roman"/>
                <w:kern w:val="24"/>
                <w:sz w:val="22"/>
              </w:rPr>
            </w:pPr>
          </w:p>
        </w:tc>
      </w:tr>
      <w:tr w:rsidR="00DB490B" w:rsidRPr="00EE727F" w14:paraId="16722003" w14:textId="16E9225C" w:rsidTr="00FE2B62">
        <w:trPr>
          <w:trHeight w:val="19"/>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2CB77E18" w14:textId="2E029DED" w:rsidR="00FE2B62" w:rsidRPr="00EE727F" w:rsidRDefault="00D13A0D" w:rsidP="00FE2B62">
            <w:pPr>
              <w:spacing w:line="240" w:lineRule="auto"/>
              <w:ind w:left="0" w:firstLine="0"/>
              <w:rPr>
                <w:rFonts w:eastAsia="Times New Roman"/>
                <w:kern w:val="24"/>
                <w:sz w:val="22"/>
              </w:rPr>
            </w:pPr>
            <w:r w:rsidRPr="00EE727F">
              <w:rPr>
                <w:rFonts w:eastAsia="Times New Roman"/>
                <w:sz w:val="22"/>
              </w:rPr>
              <w:t>Non-Jo1 myositis-specific antibodies (</w:t>
            </w:r>
            <w:r w:rsidR="00FE2B62" w:rsidRPr="00EE727F">
              <w:rPr>
                <w:rFonts w:eastAsia="Times New Roman"/>
                <w:i/>
                <w:iCs/>
                <w:kern w:val="24"/>
                <w:sz w:val="22"/>
              </w:rPr>
              <w:t>e.g.,</w:t>
            </w:r>
            <w:r w:rsidRPr="00EE727F">
              <w:rPr>
                <w:rFonts w:eastAsia="Times New Roman"/>
                <w:i/>
                <w:iCs/>
                <w:kern w:val="24"/>
                <w:sz w:val="22"/>
              </w:rPr>
              <w:t xml:space="preserve"> </w:t>
            </w:r>
            <w:r w:rsidR="00FE2B62" w:rsidRPr="00EE727F">
              <w:rPr>
                <w:rFonts w:eastAsia="Times New Roman"/>
                <w:kern w:val="24"/>
                <w:sz w:val="22"/>
              </w:rPr>
              <w:t xml:space="preserve">PL-7, </w:t>
            </w:r>
          </w:p>
          <w:p w14:paraId="6DE98E43" w14:textId="77777777" w:rsidR="00722871" w:rsidRPr="00EE727F" w:rsidRDefault="00FE2B62" w:rsidP="00FE2B62">
            <w:pPr>
              <w:spacing w:line="240" w:lineRule="auto"/>
              <w:ind w:left="0" w:firstLine="0"/>
              <w:rPr>
                <w:rFonts w:eastAsia="Times New Roman"/>
                <w:kern w:val="24"/>
                <w:sz w:val="22"/>
              </w:rPr>
            </w:pPr>
            <w:r w:rsidRPr="00EE727F">
              <w:rPr>
                <w:rFonts w:eastAsia="Times New Roman"/>
                <w:kern w:val="24"/>
                <w:sz w:val="22"/>
              </w:rPr>
              <w:t xml:space="preserve">    PL-12, EJ, OJ, Ks, Zo, YRS, PM-</w:t>
            </w:r>
            <w:proofErr w:type="spellStart"/>
            <w:r w:rsidRPr="00EE727F">
              <w:rPr>
                <w:rFonts w:eastAsia="Times New Roman"/>
                <w:kern w:val="24"/>
                <w:sz w:val="22"/>
              </w:rPr>
              <w:t>Scl</w:t>
            </w:r>
            <w:proofErr w:type="spellEnd"/>
            <w:r w:rsidRPr="00EE727F">
              <w:rPr>
                <w:rFonts w:eastAsia="Times New Roman"/>
                <w:kern w:val="24"/>
                <w:sz w:val="22"/>
              </w:rPr>
              <w:t xml:space="preserve">, </w:t>
            </w:r>
            <w:r w:rsidR="00722871" w:rsidRPr="00EE727F">
              <w:rPr>
                <w:rFonts w:eastAsia="Times New Roman"/>
                <w:kern w:val="24"/>
                <w:sz w:val="22"/>
              </w:rPr>
              <w:t xml:space="preserve"> </w:t>
            </w:r>
          </w:p>
          <w:p w14:paraId="14946AD8" w14:textId="75F841AE" w:rsidR="00DB490B" w:rsidRPr="00EE727F" w:rsidRDefault="00722871" w:rsidP="00FE2B62">
            <w:pPr>
              <w:spacing w:line="240" w:lineRule="auto"/>
              <w:ind w:left="0" w:firstLine="0"/>
              <w:rPr>
                <w:rFonts w:eastAsia="Times New Roman"/>
                <w:color w:val="auto"/>
                <w:sz w:val="22"/>
              </w:rPr>
            </w:pPr>
            <w:r w:rsidRPr="00EE727F">
              <w:rPr>
                <w:rFonts w:eastAsia="Times New Roman"/>
                <w:kern w:val="24"/>
                <w:sz w:val="22"/>
              </w:rPr>
              <w:t xml:space="preserve">    </w:t>
            </w:r>
            <w:r w:rsidR="00FE2B62" w:rsidRPr="00EE727F">
              <w:rPr>
                <w:rFonts w:eastAsia="Times New Roman"/>
                <w:kern w:val="24"/>
                <w:sz w:val="22"/>
              </w:rPr>
              <w:t>MDA5)</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1CD3ABD9" w14:textId="7D4013D3" w:rsidR="00DB490B" w:rsidRPr="00EE727F" w:rsidRDefault="00D13A0D" w:rsidP="00675F43">
            <w:pPr>
              <w:spacing w:line="240" w:lineRule="auto"/>
              <w:ind w:left="0" w:firstLine="0"/>
              <w:jc w:val="center"/>
              <w:rPr>
                <w:rFonts w:eastAsia="Times New Roman"/>
                <w:color w:val="auto"/>
                <w:sz w:val="22"/>
              </w:rPr>
            </w:pPr>
            <w:r w:rsidRPr="00EE727F">
              <w:rPr>
                <w:rFonts w:eastAsia="Times New Roman"/>
                <w:sz w:val="22"/>
              </w:rPr>
              <w:t>3</w:t>
            </w:r>
            <w:r w:rsidR="00FE2B62" w:rsidRPr="00EE727F">
              <w:rPr>
                <w:rFonts w:eastAsia="Times New Roman"/>
                <w:sz w:val="22"/>
              </w:rPr>
              <w:t xml:space="preserve"> (</w:t>
            </w:r>
            <w:r w:rsidRPr="00EE727F">
              <w:rPr>
                <w:rFonts w:eastAsia="Times New Roman"/>
                <w:sz w:val="22"/>
              </w:rPr>
              <w:t>5</w:t>
            </w:r>
            <w:r w:rsidR="00FE2B62" w:rsidRPr="00EE727F">
              <w:rPr>
                <w:rFonts w:eastAsia="Times New Roman"/>
                <w:sz w:val="22"/>
              </w:rPr>
              <w:t>.</w:t>
            </w:r>
            <w:r w:rsidRPr="00EE727F">
              <w:rPr>
                <w:rFonts w:eastAsia="Times New Roman"/>
                <w:sz w:val="22"/>
              </w:rPr>
              <w:t>0</w:t>
            </w:r>
            <w:r w:rsidR="00FE2B62" w:rsidRPr="00EE727F">
              <w:rPr>
                <w:rFonts w:eastAsia="Times New Roman"/>
                <w:sz w:val="22"/>
              </w:rPr>
              <w:t>%)</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7F747354" w14:textId="5D0971AD" w:rsidR="00DB490B" w:rsidRPr="00EE727F" w:rsidRDefault="00D13A0D" w:rsidP="00675F43">
            <w:pPr>
              <w:spacing w:line="240" w:lineRule="auto"/>
              <w:ind w:left="0" w:firstLine="0"/>
              <w:jc w:val="center"/>
              <w:rPr>
                <w:rFonts w:eastAsia="Times New Roman"/>
                <w:color w:val="auto"/>
                <w:sz w:val="22"/>
              </w:rPr>
            </w:pPr>
            <w:r w:rsidRPr="00EE727F">
              <w:rPr>
                <w:rFonts w:eastAsia="Times New Roman"/>
                <w:sz w:val="22"/>
              </w:rPr>
              <w:t>23</w:t>
            </w:r>
            <w:r w:rsidR="00FE2B62" w:rsidRPr="00EE727F">
              <w:rPr>
                <w:rFonts w:eastAsia="Times New Roman"/>
                <w:sz w:val="22"/>
              </w:rPr>
              <w:t xml:space="preserve"> (</w:t>
            </w:r>
            <w:r w:rsidRPr="00EE727F">
              <w:rPr>
                <w:rFonts w:eastAsia="Times New Roman"/>
                <w:sz w:val="22"/>
              </w:rPr>
              <w:t>38</w:t>
            </w:r>
            <w:r w:rsidR="00FE2B62" w:rsidRPr="00EE727F">
              <w:rPr>
                <w:rFonts w:eastAsia="Times New Roman"/>
                <w:sz w:val="22"/>
              </w:rPr>
              <w:t>.</w:t>
            </w:r>
            <w:r w:rsidRPr="00EE727F">
              <w:rPr>
                <w:rFonts w:eastAsia="Times New Roman"/>
                <w:sz w:val="22"/>
              </w:rPr>
              <w:t>3</w:t>
            </w:r>
            <w:r w:rsidR="00FE2B62" w:rsidRPr="00EE727F">
              <w:rPr>
                <w:rFonts w:eastAsia="Times New Roman"/>
                <w:sz w:val="22"/>
              </w:rPr>
              <w:t>%)</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hideMark/>
          </w:tcPr>
          <w:p w14:paraId="31795301" w14:textId="7943B96B" w:rsidR="00DB490B" w:rsidRPr="00EE727F" w:rsidRDefault="00D13A0D" w:rsidP="00675F43">
            <w:pPr>
              <w:spacing w:line="240" w:lineRule="auto"/>
              <w:ind w:left="0" w:firstLine="0"/>
              <w:jc w:val="center"/>
              <w:rPr>
                <w:rFonts w:eastAsia="Times New Roman"/>
                <w:color w:val="auto"/>
                <w:sz w:val="22"/>
              </w:rPr>
            </w:pPr>
            <w:r w:rsidRPr="00EE727F">
              <w:rPr>
                <w:rFonts w:eastAsia="Times New Roman"/>
                <w:kern w:val="24"/>
                <w:sz w:val="22"/>
              </w:rPr>
              <w:t>34</w:t>
            </w:r>
            <w:r w:rsidR="00FE2B62" w:rsidRPr="00EE727F">
              <w:rPr>
                <w:rFonts w:eastAsia="Times New Roman"/>
                <w:kern w:val="24"/>
                <w:sz w:val="22"/>
              </w:rPr>
              <w:t xml:space="preserve"> (</w:t>
            </w:r>
            <w:r w:rsidRPr="00EE727F">
              <w:rPr>
                <w:rFonts w:eastAsia="Times New Roman"/>
                <w:kern w:val="24"/>
                <w:sz w:val="22"/>
              </w:rPr>
              <w:t>56</w:t>
            </w:r>
            <w:r w:rsidR="00FE2B62" w:rsidRPr="00EE727F">
              <w:rPr>
                <w:rFonts w:eastAsia="Times New Roman"/>
                <w:kern w:val="24"/>
                <w:sz w:val="22"/>
              </w:rPr>
              <w:t>.</w:t>
            </w:r>
            <w:r w:rsidRPr="00EE727F">
              <w:rPr>
                <w:rFonts w:eastAsia="Times New Roman"/>
                <w:kern w:val="24"/>
                <w:sz w:val="22"/>
              </w:rPr>
              <w:t>7</w:t>
            </w:r>
            <w:r w:rsidR="00FE2B62" w:rsidRPr="00EE727F">
              <w:rPr>
                <w:rFonts w:eastAsia="Times New Roman"/>
                <w:kern w:val="24"/>
                <w:sz w:val="22"/>
              </w:rPr>
              <w:t>%)</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08D7DFF8" w14:textId="77777777" w:rsidR="00DB490B" w:rsidRPr="00EE727F" w:rsidRDefault="00DB490B" w:rsidP="00675F43">
            <w:pPr>
              <w:spacing w:line="240" w:lineRule="auto"/>
              <w:ind w:left="0" w:firstLine="0"/>
              <w:jc w:val="center"/>
              <w:rPr>
                <w:rFonts w:eastAsia="Times New Roman"/>
                <w:kern w:val="24"/>
                <w:sz w:val="22"/>
              </w:rPr>
            </w:pPr>
          </w:p>
        </w:tc>
      </w:tr>
      <w:tr w:rsidR="004C4A2A" w:rsidRPr="00EE727F" w14:paraId="3A1DB557" w14:textId="77777777" w:rsidTr="00FE2B62">
        <w:trPr>
          <w:trHeight w:val="19"/>
        </w:trPr>
        <w:tc>
          <w:tcPr>
            <w:tcW w:w="2529"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7DB69F0" w14:textId="796EF75F" w:rsidR="004C4A2A" w:rsidRPr="00EE727F" w:rsidRDefault="004C4A2A" w:rsidP="004C4A2A">
            <w:pPr>
              <w:spacing w:line="240" w:lineRule="auto"/>
              <w:ind w:left="0" w:firstLine="0"/>
              <w:rPr>
                <w:rFonts w:eastAsia="Times New Roman"/>
                <w:sz w:val="22"/>
              </w:rPr>
            </w:pPr>
            <w:r w:rsidRPr="00EE727F">
              <w:rPr>
                <w:rFonts w:eastAsia="Times New Roman"/>
                <w:kern w:val="24"/>
                <w:sz w:val="22"/>
              </w:rPr>
              <w:t>Cytoplasmic speckling on ANA</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077BDF08" w14:textId="3114E4D5" w:rsidR="004C4A2A" w:rsidRPr="00EE727F" w:rsidRDefault="004C4A2A" w:rsidP="004C4A2A">
            <w:pPr>
              <w:spacing w:line="240" w:lineRule="auto"/>
              <w:ind w:left="0" w:firstLine="0"/>
              <w:jc w:val="center"/>
              <w:rPr>
                <w:rFonts w:eastAsia="Times New Roman"/>
                <w:sz w:val="22"/>
              </w:rPr>
            </w:pPr>
            <w:r w:rsidRPr="00EE727F">
              <w:rPr>
                <w:rFonts w:eastAsia="Times New Roman"/>
                <w:kern w:val="24"/>
                <w:sz w:val="22"/>
              </w:rPr>
              <w:t>10 (16.7%)</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627DAEA" w14:textId="099B99D2" w:rsidR="004C4A2A" w:rsidRPr="00EE727F" w:rsidRDefault="004C4A2A" w:rsidP="004C4A2A">
            <w:pPr>
              <w:spacing w:line="240" w:lineRule="auto"/>
              <w:ind w:left="0" w:firstLine="0"/>
              <w:jc w:val="center"/>
              <w:rPr>
                <w:rFonts w:eastAsia="Times New Roman"/>
                <w:sz w:val="22"/>
              </w:rPr>
            </w:pPr>
            <w:r w:rsidRPr="00EE727F">
              <w:rPr>
                <w:rFonts w:eastAsia="Times New Roman"/>
                <w:kern w:val="24"/>
                <w:sz w:val="22"/>
              </w:rPr>
              <w:t>32 (53.3%)</w:t>
            </w:r>
          </w:p>
        </w:tc>
        <w:tc>
          <w:tcPr>
            <w:tcW w:w="818" w:type="pct"/>
            <w:tcBorders>
              <w:top w:val="single" w:sz="8" w:space="0" w:color="FFFFFF"/>
              <w:left w:val="single" w:sz="8" w:space="0" w:color="FFFFFF"/>
              <w:bottom w:val="single" w:sz="8" w:space="0" w:color="FFFFFF"/>
              <w:right w:val="single" w:sz="8" w:space="0" w:color="FFFFFF"/>
            </w:tcBorders>
            <w:shd w:val="clear" w:color="auto" w:fill="FFFFFF"/>
            <w:tcMar>
              <w:top w:w="72" w:type="dxa"/>
              <w:left w:w="144" w:type="dxa"/>
              <w:bottom w:w="72" w:type="dxa"/>
              <w:right w:w="144" w:type="dxa"/>
            </w:tcMar>
            <w:vAlign w:val="center"/>
          </w:tcPr>
          <w:p w14:paraId="32060340" w14:textId="3168C9FB" w:rsidR="004C4A2A" w:rsidRPr="00EE727F" w:rsidRDefault="004C4A2A" w:rsidP="004C4A2A">
            <w:pPr>
              <w:spacing w:line="240" w:lineRule="auto"/>
              <w:ind w:left="0" w:firstLine="0"/>
              <w:jc w:val="center"/>
              <w:rPr>
                <w:rFonts w:eastAsia="Times New Roman"/>
                <w:kern w:val="24"/>
                <w:sz w:val="22"/>
              </w:rPr>
            </w:pPr>
            <w:r w:rsidRPr="00EE727F">
              <w:rPr>
                <w:rFonts w:eastAsia="Times New Roman"/>
                <w:kern w:val="24"/>
                <w:sz w:val="22"/>
              </w:rPr>
              <w:t>18 (30.0%)</w:t>
            </w:r>
          </w:p>
        </w:tc>
        <w:tc>
          <w:tcPr>
            <w:tcW w:w="17" w:type="pct"/>
            <w:tcBorders>
              <w:top w:val="single" w:sz="8" w:space="0" w:color="FFFFFF"/>
              <w:left w:val="single" w:sz="8" w:space="0" w:color="FFFFFF"/>
              <w:bottom w:val="single" w:sz="8" w:space="0" w:color="FFFFFF"/>
              <w:right w:val="single" w:sz="8" w:space="0" w:color="FFFFFF"/>
            </w:tcBorders>
            <w:shd w:val="clear" w:color="auto" w:fill="FFFFFF"/>
          </w:tcPr>
          <w:p w14:paraId="2BB782B2" w14:textId="77777777" w:rsidR="004C4A2A" w:rsidRPr="00EE727F" w:rsidRDefault="004C4A2A" w:rsidP="004C4A2A">
            <w:pPr>
              <w:spacing w:line="240" w:lineRule="auto"/>
              <w:ind w:left="0" w:firstLine="0"/>
              <w:jc w:val="center"/>
              <w:rPr>
                <w:rFonts w:eastAsia="Times New Roman"/>
                <w:kern w:val="24"/>
                <w:sz w:val="22"/>
              </w:rPr>
            </w:pPr>
          </w:p>
        </w:tc>
      </w:tr>
    </w:tbl>
    <w:p w14:paraId="4046036B" w14:textId="77777777" w:rsidR="00912784" w:rsidRPr="00EE727F" w:rsidRDefault="00912784">
      <w:pPr>
        <w:spacing w:after="160" w:line="259" w:lineRule="auto"/>
        <w:ind w:left="0" w:firstLine="0"/>
        <w:rPr>
          <w:sz w:val="22"/>
        </w:rPr>
      </w:pPr>
      <w:r w:rsidRPr="00EE727F">
        <w:rPr>
          <w:sz w:val="22"/>
        </w:rPr>
        <w:br w:type="page"/>
      </w:r>
    </w:p>
    <w:p w14:paraId="1C4D3BB0" w14:textId="70807F7C" w:rsidR="00B27BA5" w:rsidRPr="00EE727F" w:rsidRDefault="00B27BA5" w:rsidP="00B27BA5">
      <w:pPr>
        <w:pStyle w:val="Heading2"/>
        <w:rPr>
          <w:b w:val="0"/>
          <w:bCs/>
          <w:sz w:val="22"/>
          <w:szCs w:val="22"/>
        </w:rPr>
      </w:pPr>
      <w:bookmarkStart w:id="19" w:name="_Toc93925447"/>
      <w:r w:rsidRPr="00EE727F">
        <w:rPr>
          <w:bCs/>
          <w:sz w:val="22"/>
          <w:szCs w:val="22"/>
        </w:rPr>
        <w:lastRenderedPageBreak/>
        <w:t xml:space="preserve">Supplementary Figure </w:t>
      </w:r>
      <w:r w:rsidR="002648F0" w:rsidRPr="00EE727F">
        <w:rPr>
          <w:bCs/>
          <w:sz w:val="22"/>
          <w:szCs w:val="22"/>
        </w:rPr>
        <w:t>6</w:t>
      </w:r>
      <w:r w:rsidRPr="00EE727F">
        <w:rPr>
          <w:bCs/>
          <w:sz w:val="22"/>
          <w:szCs w:val="22"/>
        </w:rPr>
        <w:t xml:space="preserve">: </w:t>
      </w:r>
      <w:r w:rsidRPr="00EE727F">
        <w:rPr>
          <w:sz w:val="22"/>
          <w:szCs w:val="22"/>
        </w:rPr>
        <w:t>Transplant-free survival rate by type of CTD-ILD.</w:t>
      </w:r>
      <w:bookmarkEnd w:id="19"/>
      <w:r w:rsidRPr="00EE727F">
        <w:rPr>
          <w:sz w:val="22"/>
          <w:szCs w:val="22"/>
        </w:rPr>
        <w:t xml:space="preserve"> </w:t>
      </w:r>
    </w:p>
    <w:p w14:paraId="59F792BF" w14:textId="2C8BFAB6" w:rsidR="00B27BA5" w:rsidRPr="00EE727F" w:rsidRDefault="00B27BA5" w:rsidP="00B27BA5">
      <w:pPr>
        <w:rPr>
          <w:sz w:val="22"/>
        </w:rPr>
      </w:pPr>
      <w:r w:rsidRPr="00EE727F">
        <w:rPr>
          <w:sz w:val="22"/>
        </w:rPr>
        <w:t xml:space="preserve">There were no significant differences in the unadjusted transplant-free survival rates amongst the most common CTD-ILDs in the study cohort (log-rank </w:t>
      </w:r>
      <w:r w:rsidRPr="00EE727F">
        <w:rPr>
          <w:i/>
          <w:iCs/>
          <w:sz w:val="22"/>
        </w:rPr>
        <w:t xml:space="preserve">p </w:t>
      </w:r>
      <w:r w:rsidRPr="00EE727F">
        <w:rPr>
          <w:sz w:val="22"/>
        </w:rPr>
        <w:t xml:space="preserve">= 0.13). </w:t>
      </w:r>
      <w:r w:rsidR="00856695" w:rsidRPr="00EE727F">
        <w:rPr>
          <w:sz w:val="22"/>
        </w:rPr>
        <w:t>Pairwise comparisons of the unadjusted transplant-free survival rate of IPAF versus different CTD-ILDs identifies a significantly longer transplant-free survival in patients with IIM/Synthetase ILD (log</w:t>
      </w:r>
      <w:r w:rsidR="002B0F6B" w:rsidRPr="00EE727F">
        <w:rPr>
          <w:sz w:val="22"/>
        </w:rPr>
        <w:t>-</w:t>
      </w:r>
      <w:r w:rsidR="00856695" w:rsidRPr="00EE727F">
        <w:rPr>
          <w:sz w:val="22"/>
        </w:rPr>
        <w:t xml:space="preserve">rank </w:t>
      </w:r>
      <w:r w:rsidR="00856695" w:rsidRPr="00EE727F">
        <w:rPr>
          <w:i/>
          <w:iCs/>
          <w:sz w:val="22"/>
        </w:rPr>
        <w:t>p</w:t>
      </w:r>
      <w:r w:rsidR="00856695" w:rsidRPr="00EE727F">
        <w:rPr>
          <w:sz w:val="22"/>
        </w:rPr>
        <w:t xml:space="preserve"> &lt; 0.01). Additional pairwise comparisons did not meet the threshold for statistical significance. </w:t>
      </w:r>
      <w:r w:rsidRPr="00EE727F">
        <w:rPr>
          <w:sz w:val="22"/>
        </w:rPr>
        <w:t>Sjögren’s = Sjögren’s syndrome; IIM/Synthetase = Idiopathic inflammatory myopathy-associated/</w:t>
      </w:r>
      <w:proofErr w:type="spellStart"/>
      <w:r w:rsidRPr="00EE727F">
        <w:rPr>
          <w:sz w:val="22"/>
        </w:rPr>
        <w:t>antisynthetase</w:t>
      </w:r>
      <w:proofErr w:type="spellEnd"/>
      <w:r w:rsidRPr="00EE727F">
        <w:rPr>
          <w:sz w:val="22"/>
        </w:rPr>
        <w:t>-associated ILD</w:t>
      </w:r>
      <w:r w:rsidR="00856695" w:rsidRPr="00EE727F">
        <w:rPr>
          <w:sz w:val="22"/>
        </w:rPr>
        <w:t>.</w:t>
      </w:r>
    </w:p>
    <w:p w14:paraId="09C591FE" w14:textId="111DD9E8" w:rsidR="00B27BA5" w:rsidRPr="00EE727F" w:rsidRDefault="00B27BA5" w:rsidP="002B0F6B">
      <w:pPr>
        <w:jc w:val="center"/>
        <w:rPr>
          <w:sz w:val="22"/>
        </w:rPr>
      </w:pPr>
    </w:p>
    <w:p w14:paraId="202C0062" w14:textId="668438AA" w:rsidR="00856695" w:rsidRPr="00EE727F" w:rsidRDefault="00E3615E" w:rsidP="000407D0">
      <w:pPr>
        <w:spacing w:after="160" w:line="259" w:lineRule="auto"/>
        <w:ind w:left="0" w:firstLine="0"/>
        <w:jc w:val="center"/>
        <w:rPr>
          <w:rFonts w:eastAsiaTheme="majorEastAsia" w:cstheme="majorBidi"/>
          <w:b/>
          <w:bCs/>
          <w:noProof/>
          <w:color w:val="auto"/>
          <w:sz w:val="22"/>
          <w:u w:val="single"/>
        </w:rPr>
      </w:pPr>
      <w:r w:rsidRPr="00EE727F">
        <w:rPr>
          <w:rFonts w:eastAsiaTheme="majorEastAsia" w:cstheme="majorBidi"/>
          <w:b/>
          <w:bCs/>
          <w:noProof/>
          <w:color w:val="auto"/>
          <w:sz w:val="22"/>
        </w:rPr>
        <w:drawing>
          <wp:inline distT="0" distB="0" distL="0" distR="0" wp14:anchorId="797EB20A" wp14:editId="78137148">
            <wp:extent cx="5943600" cy="361987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619873"/>
                    </a:xfrm>
                    <a:prstGeom prst="rect">
                      <a:avLst/>
                    </a:prstGeom>
                  </pic:spPr>
                </pic:pic>
              </a:graphicData>
            </a:graphic>
          </wp:inline>
        </w:drawing>
      </w:r>
    </w:p>
    <w:p w14:paraId="08FE5A44" w14:textId="57C5BAB9" w:rsidR="00FD2FEE" w:rsidRPr="00EE727F" w:rsidRDefault="009B0D0E">
      <w:pPr>
        <w:spacing w:after="160" w:line="259" w:lineRule="auto"/>
        <w:ind w:left="0" w:firstLine="0"/>
        <w:rPr>
          <w:rStyle w:val="Hyperlink"/>
          <w:rFonts w:eastAsiaTheme="majorEastAsia" w:cstheme="majorBidi"/>
          <w:b/>
          <w:bCs/>
          <w:color w:val="auto"/>
          <w:sz w:val="22"/>
        </w:rPr>
      </w:pPr>
      <w:r w:rsidRPr="00EE727F">
        <w:rPr>
          <w:rStyle w:val="Hyperlink"/>
          <w:rFonts w:eastAsiaTheme="majorEastAsia" w:cstheme="majorBidi"/>
          <w:b/>
          <w:bCs/>
          <w:color w:val="auto"/>
          <w:sz w:val="22"/>
        </w:rPr>
        <w:br w:type="page"/>
      </w:r>
    </w:p>
    <w:p w14:paraId="664B7994" w14:textId="390803D7" w:rsidR="005C1FD0" w:rsidRPr="00EE727F" w:rsidRDefault="005C1FD0" w:rsidP="005C1FD0">
      <w:pPr>
        <w:pStyle w:val="Heading2"/>
        <w:rPr>
          <w:bCs/>
          <w:sz w:val="22"/>
          <w:szCs w:val="22"/>
        </w:rPr>
      </w:pPr>
      <w:bookmarkStart w:id="20" w:name="_Toc93925448"/>
      <w:r w:rsidRPr="00EE727F">
        <w:rPr>
          <w:bCs/>
          <w:sz w:val="22"/>
          <w:szCs w:val="22"/>
        </w:rPr>
        <w:lastRenderedPageBreak/>
        <w:t>Supplementary Table 4. A</w:t>
      </w:r>
      <w:r w:rsidR="00B77E8E" w:rsidRPr="00EE727F">
        <w:rPr>
          <w:bCs/>
          <w:sz w:val="22"/>
          <w:szCs w:val="22"/>
        </w:rPr>
        <w:t>ge and sex-a</w:t>
      </w:r>
      <w:r w:rsidRPr="00EE727F">
        <w:rPr>
          <w:bCs/>
          <w:sz w:val="22"/>
          <w:szCs w:val="22"/>
        </w:rPr>
        <w:t>djusted transplant-free survival of patients classified as IPAF versus patients with CTD-ILD versus patients with IPF.</w:t>
      </w:r>
      <w:bookmarkEnd w:id="20"/>
      <w:r w:rsidRPr="00EE727F">
        <w:rPr>
          <w:bCs/>
          <w:sz w:val="22"/>
          <w:szCs w:val="22"/>
        </w:rPr>
        <w:t xml:space="preserve"> </w:t>
      </w:r>
    </w:p>
    <w:p w14:paraId="788401B2" w14:textId="3C841BE3" w:rsidR="005C1FD0" w:rsidRPr="00EE727F" w:rsidRDefault="005C1FD0" w:rsidP="005C1FD0">
      <w:pPr>
        <w:ind w:left="0" w:firstLine="0"/>
        <w:rPr>
          <w:sz w:val="22"/>
        </w:rPr>
      </w:pPr>
      <w:r w:rsidRPr="00EE727F">
        <w:rPr>
          <w:sz w:val="22"/>
        </w:rPr>
        <w:t>Survival analysis excludes those patients whose first ILD clinic visit occurred prior to 2011 as described under Materials and Methods. There was no statistically significant difference in transplant-free survival between patients classified as IPAF and patients with CTD-ILD (</w:t>
      </w:r>
      <w:r w:rsidRPr="00EE727F">
        <w:rPr>
          <w:i/>
          <w:iCs/>
          <w:sz w:val="22"/>
        </w:rPr>
        <w:t>p</w:t>
      </w:r>
      <w:r w:rsidRPr="00EE727F">
        <w:rPr>
          <w:sz w:val="22"/>
        </w:rPr>
        <w:t xml:space="preserve"> = 0.24 versus IPAF) or patients with IPF (</w:t>
      </w:r>
      <w:r w:rsidRPr="00EE727F">
        <w:rPr>
          <w:i/>
          <w:iCs/>
          <w:sz w:val="22"/>
        </w:rPr>
        <w:t>p</w:t>
      </w:r>
      <w:r w:rsidRPr="00EE727F">
        <w:rPr>
          <w:sz w:val="22"/>
        </w:rPr>
        <w:t xml:space="preserve"> = 0.30 versus IPAF) after adjusting for age and sex. Both age and sex are components of the ILD-GAP model which </w:t>
      </w:r>
      <w:r w:rsidR="00465893" w:rsidRPr="00EE727F">
        <w:rPr>
          <w:sz w:val="22"/>
        </w:rPr>
        <w:t xml:space="preserve">differed significantly between patients with IPF and patients with either IPAF or CTD-ILD </w:t>
      </w:r>
      <w:r w:rsidRPr="00EE727F">
        <w:rPr>
          <w:sz w:val="22"/>
        </w:rPr>
        <w:t>(</w:t>
      </w:r>
      <w:r w:rsidRPr="00EE727F">
        <w:rPr>
          <w:b/>
          <w:bCs/>
          <w:sz w:val="22"/>
        </w:rPr>
        <w:t>Table 1</w:t>
      </w:r>
      <w:r w:rsidRPr="00EE727F">
        <w:rPr>
          <w:sz w:val="22"/>
        </w:rPr>
        <w:t>).</w:t>
      </w:r>
    </w:p>
    <w:p w14:paraId="7B420F2F" w14:textId="77777777" w:rsidR="005C1FD0" w:rsidRPr="00EE727F" w:rsidRDefault="005C1FD0" w:rsidP="005C1FD0">
      <w:pPr>
        <w:spacing w:line="240" w:lineRule="auto"/>
        <w:rPr>
          <w:i/>
          <w:iCs/>
          <w:sz w:val="22"/>
        </w:rPr>
      </w:pPr>
    </w:p>
    <w:tbl>
      <w:tblPr>
        <w:tblW w:w="9179" w:type="dxa"/>
        <w:tblCellMar>
          <w:left w:w="0" w:type="dxa"/>
          <w:right w:w="0" w:type="dxa"/>
        </w:tblCellMar>
        <w:tblLook w:val="0420" w:firstRow="1" w:lastRow="0" w:firstColumn="0" w:lastColumn="0" w:noHBand="0" w:noVBand="1"/>
      </w:tblPr>
      <w:tblGrid>
        <w:gridCol w:w="5236"/>
        <w:gridCol w:w="2791"/>
        <w:gridCol w:w="1152"/>
      </w:tblGrid>
      <w:tr w:rsidR="005C1FD0" w:rsidRPr="00EE727F" w14:paraId="19717470" w14:textId="77777777" w:rsidTr="008905B3">
        <w:trPr>
          <w:trHeight w:val="182"/>
        </w:trPr>
        <w:tc>
          <w:tcPr>
            <w:tcW w:w="5236" w:type="dxa"/>
            <w:vMerge w:val="restart"/>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04D724A" w14:textId="77777777" w:rsidR="005C1FD0" w:rsidRPr="00EE727F" w:rsidRDefault="005C1FD0" w:rsidP="008905B3">
            <w:pPr>
              <w:spacing w:line="240" w:lineRule="auto"/>
              <w:rPr>
                <w:rFonts w:eastAsia="Times New Roman"/>
                <w:sz w:val="22"/>
              </w:rPr>
            </w:pPr>
          </w:p>
        </w:tc>
        <w:tc>
          <w:tcPr>
            <w:tcW w:w="3943" w:type="dxa"/>
            <w:gridSpan w:val="2"/>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626503C" w14:textId="77777777" w:rsidR="005C1FD0" w:rsidRPr="00EE727F" w:rsidRDefault="005C1FD0" w:rsidP="008905B3">
            <w:pPr>
              <w:spacing w:line="240" w:lineRule="auto"/>
              <w:jc w:val="center"/>
              <w:rPr>
                <w:rFonts w:eastAsia="Times New Roman"/>
                <w:b/>
                <w:bCs/>
                <w:kern w:val="24"/>
                <w:sz w:val="22"/>
              </w:rPr>
            </w:pPr>
            <w:r w:rsidRPr="00EE727F">
              <w:rPr>
                <w:rFonts w:eastAsia="Times New Roman"/>
                <w:b/>
                <w:bCs/>
                <w:kern w:val="24"/>
                <w:sz w:val="22"/>
              </w:rPr>
              <w:t xml:space="preserve">Age and Sex-Adjusted </w:t>
            </w:r>
          </w:p>
          <w:p w14:paraId="26E0CEFD" w14:textId="77777777" w:rsidR="005C1FD0" w:rsidRPr="00EE727F" w:rsidRDefault="005C1FD0" w:rsidP="008905B3">
            <w:pPr>
              <w:spacing w:line="240" w:lineRule="auto"/>
              <w:jc w:val="center"/>
              <w:rPr>
                <w:rFonts w:eastAsia="Times New Roman"/>
                <w:b/>
                <w:bCs/>
                <w:kern w:val="24"/>
                <w:sz w:val="22"/>
              </w:rPr>
            </w:pPr>
            <w:r w:rsidRPr="00EE727F">
              <w:rPr>
                <w:rFonts w:eastAsia="Times New Roman"/>
                <w:b/>
                <w:bCs/>
                <w:kern w:val="24"/>
                <w:sz w:val="22"/>
              </w:rPr>
              <w:t>Transplant-Free Survival Analysis</w:t>
            </w:r>
          </w:p>
        </w:tc>
      </w:tr>
      <w:tr w:rsidR="005C1FD0" w:rsidRPr="00EE727F" w14:paraId="4E0C1EB0" w14:textId="77777777" w:rsidTr="008905B3">
        <w:trPr>
          <w:trHeight w:val="37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08CACD4" w14:textId="77777777" w:rsidR="005C1FD0" w:rsidRPr="00EE727F" w:rsidRDefault="005C1FD0" w:rsidP="008905B3">
            <w:pPr>
              <w:spacing w:line="240" w:lineRule="auto"/>
              <w:rPr>
                <w:rFonts w:eastAsia="Times New Roman"/>
                <w:sz w:val="22"/>
              </w:rPr>
            </w:pP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FCF0713" w14:textId="77777777" w:rsidR="005C1FD0" w:rsidRPr="00EE727F" w:rsidRDefault="005C1FD0" w:rsidP="008905B3">
            <w:pPr>
              <w:spacing w:line="240" w:lineRule="auto"/>
              <w:jc w:val="center"/>
              <w:rPr>
                <w:rFonts w:eastAsia="Times New Roman"/>
                <w:sz w:val="22"/>
              </w:rPr>
            </w:pPr>
            <w:r w:rsidRPr="00EE727F">
              <w:rPr>
                <w:rFonts w:eastAsia="Times New Roman"/>
                <w:kern w:val="24"/>
                <w:sz w:val="22"/>
              </w:rPr>
              <w:t>HR [95% CI]</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44F375F" w14:textId="77777777" w:rsidR="005C1FD0" w:rsidRPr="00EE727F" w:rsidRDefault="005C1FD0" w:rsidP="008905B3">
            <w:pPr>
              <w:spacing w:line="240" w:lineRule="auto"/>
              <w:jc w:val="center"/>
              <w:rPr>
                <w:rFonts w:eastAsia="Times New Roman"/>
                <w:sz w:val="22"/>
              </w:rPr>
            </w:pPr>
            <w:r w:rsidRPr="00EE727F">
              <w:rPr>
                <w:rFonts w:eastAsia="Times New Roman"/>
                <w:i/>
                <w:iCs/>
                <w:kern w:val="24"/>
                <w:sz w:val="22"/>
              </w:rPr>
              <w:t>p</w:t>
            </w:r>
          </w:p>
        </w:tc>
      </w:tr>
      <w:tr w:rsidR="005C1FD0" w:rsidRPr="00EE727F" w14:paraId="173F6EDC" w14:textId="77777777" w:rsidTr="008905B3">
        <w:trPr>
          <w:trHeight w:val="374"/>
        </w:trPr>
        <w:tc>
          <w:tcPr>
            <w:tcW w:w="0" w:type="auto"/>
            <w:tcBorders>
              <w:top w:val="single" w:sz="4" w:space="0" w:color="auto"/>
              <w:left w:val="single" w:sz="4" w:space="0" w:color="auto"/>
              <w:bottom w:val="single" w:sz="4" w:space="0" w:color="auto"/>
              <w:right w:val="single" w:sz="4" w:space="0" w:color="auto"/>
            </w:tcBorders>
            <w:vAlign w:val="center"/>
          </w:tcPr>
          <w:p w14:paraId="42022459" w14:textId="77777777" w:rsidR="005C1FD0" w:rsidRPr="00EE727F" w:rsidRDefault="005C1FD0" w:rsidP="008905B3">
            <w:pPr>
              <w:spacing w:line="240" w:lineRule="auto"/>
              <w:rPr>
                <w:rFonts w:eastAsia="Times New Roman"/>
                <w:b/>
                <w:bCs/>
                <w:sz w:val="22"/>
              </w:rPr>
            </w:pPr>
            <w:r w:rsidRPr="00EE727F">
              <w:rPr>
                <w:rFonts w:eastAsia="Times New Roman"/>
                <w:b/>
                <w:bCs/>
                <w:sz w:val="22"/>
              </w:rPr>
              <w:t xml:space="preserve">  Classification</w:t>
            </w: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7393F13" w14:textId="77777777" w:rsidR="005C1FD0" w:rsidRPr="00EE727F" w:rsidRDefault="005C1FD0" w:rsidP="008905B3">
            <w:pPr>
              <w:spacing w:line="240" w:lineRule="auto"/>
              <w:jc w:val="center"/>
              <w:rPr>
                <w:rFonts w:eastAsia="Times New Roman"/>
                <w:kern w:val="24"/>
                <w:sz w:val="22"/>
              </w:rPr>
            </w:pP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A35A674" w14:textId="77777777" w:rsidR="005C1FD0" w:rsidRPr="00EE727F" w:rsidRDefault="005C1FD0" w:rsidP="008905B3">
            <w:pPr>
              <w:spacing w:line="240" w:lineRule="auto"/>
              <w:jc w:val="center"/>
              <w:rPr>
                <w:rFonts w:eastAsia="Times New Roman"/>
                <w:i/>
                <w:iCs/>
                <w:kern w:val="24"/>
                <w:sz w:val="22"/>
              </w:rPr>
            </w:pPr>
          </w:p>
        </w:tc>
      </w:tr>
      <w:tr w:rsidR="005C1FD0" w:rsidRPr="00EE727F" w14:paraId="112A45EA" w14:textId="77777777" w:rsidTr="008905B3">
        <w:trPr>
          <w:trHeight w:val="374"/>
        </w:trPr>
        <w:tc>
          <w:tcPr>
            <w:tcW w:w="0" w:type="auto"/>
            <w:tcBorders>
              <w:top w:val="single" w:sz="4" w:space="0" w:color="auto"/>
              <w:left w:val="single" w:sz="4" w:space="0" w:color="auto"/>
              <w:bottom w:val="single" w:sz="4" w:space="0" w:color="auto"/>
              <w:right w:val="single" w:sz="4" w:space="0" w:color="auto"/>
            </w:tcBorders>
            <w:vAlign w:val="center"/>
          </w:tcPr>
          <w:p w14:paraId="778CA2AB" w14:textId="77777777" w:rsidR="005C1FD0" w:rsidRPr="00EE727F" w:rsidRDefault="005C1FD0" w:rsidP="008905B3">
            <w:pPr>
              <w:spacing w:line="240" w:lineRule="auto"/>
              <w:rPr>
                <w:rFonts w:eastAsia="Times New Roman"/>
                <w:i/>
                <w:iCs/>
                <w:sz w:val="22"/>
              </w:rPr>
            </w:pPr>
            <w:r w:rsidRPr="00EE727F">
              <w:rPr>
                <w:rFonts w:eastAsia="Times New Roman"/>
                <w:sz w:val="22"/>
              </w:rPr>
              <w:t xml:space="preserve">      </w:t>
            </w:r>
            <w:r w:rsidRPr="00EE727F">
              <w:rPr>
                <w:rFonts w:eastAsia="Times New Roman"/>
                <w:i/>
                <w:iCs/>
                <w:sz w:val="22"/>
              </w:rPr>
              <w:t>IPAF</w:t>
            </w: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9497587"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Reference</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422E9C2D" w14:textId="77777777" w:rsidR="005C1FD0" w:rsidRPr="00EE727F" w:rsidRDefault="005C1FD0" w:rsidP="008905B3">
            <w:pPr>
              <w:spacing w:line="240" w:lineRule="auto"/>
              <w:jc w:val="center"/>
              <w:rPr>
                <w:rFonts w:eastAsia="Times New Roman"/>
                <w:i/>
                <w:iCs/>
                <w:kern w:val="24"/>
                <w:sz w:val="22"/>
              </w:rPr>
            </w:pPr>
            <w:r w:rsidRPr="00EE727F">
              <w:rPr>
                <w:rFonts w:eastAsia="Times New Roman"/>
                <w:i/>
                <w:iCs/>
                <w:kern w:val="24"/>
                <w:sz w:val="22"/>
              </w:rPr>
              <w:t>-</w:t>
            </w:r>
          </w:p>
        </w:tc>
      </w:tr>
      <w:tr w:rsidR="005C1FD0" w:rsidRPr="00EE727F" w14:paraId="55605870" w14:textId="77777777" w:rsidTr="008905B3">
        <w:trPr>
          <w:trHeight w:val="374"/>
        </w:trPr>
        <w:tc>
          <w:tcPr>
            <w:tcW w:w="52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DC8D423" w14:textId="77777777" w:rsidR="005C1FD0" w:rsidRPr="00EE727F" w:rsidRDefault="005C1FD0" w:rsidP="008905B3">
            <w:pPr>
              <w:spacing w:line="240" w:lineRule="auto"/>
              <w:rPr>
                <w:rFonts w:eastAsia="Times New Roman"/>
                <w:i/>
                <w:iCs/>
                <w:kern w:val="24"/>
                <w:sz w:val="22"/>
              </w:rPr>
            </w:pPr>
            <w:r w:rsidRPr="00EE727F">
              <w:rPr>
                <w:rFonts w:eastAsia="Times New Roman"/>
                <w:i/>
                <w:iCs/>
                <w:kern w:val="24"/>
                <w:sz w:val="22"/>
              </w:rPr>
              <w:t xml:space="preserve">   CTD-ILD</w:t>
            </w: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C7F0A0C" w14:textId="77777777" w:rsidR="005C1FD0" w:rsidRPr="00EE727F" w:rsidRDefault="005C1FD0" w:rsidP="008905B3">
            <w:pPr>
              <w:spacing w:line="240" w:lineRule="auto"/>
              <w:jc w:val="center"/>
              <w:rPr>
                <w:rFonts w:eastAsia="Times New Roman"/>
                <w:sz w:val="22"/>
              </w:rPr>
            </w:pPr>
            <w:r w:rsidRPr="00EE727F">
              <w:rPr>
                <w:rFonts w:eastAsia="Times New Roman"/>
                <w:sz w:val="22"/>
              </w:rPr>
              <w:t xml:space="preserve">0.70 </w:t>
            </w:r>
          </w:p>
          <w:p w14:paraId="70B14533" w14:textId="77777777" w:rsidR="005C1FD0" w:rsidRPr="00EE727F" w:rsidRDefault="005C1FD0" w:rsidP="008905B3">
            <w:pPr>
              <w:spacing w:line="240" w:lineRule="auto"/>
              <w:jc w:val="center"/>
              <w:rPr>
                <w:rFonts w:eastAsia="Times New Roman"/>
                <w:sz w:val="22"/>
              </w:rPr>
            </w:pPr>
            <w:r w:rsidRPr="00EE727F">
              <w:rPr>
                <w:rFonts w:eastAsia="Times New Roman"/>
                <w:sz w:val="22"/>
              </w:rPr>
              <w:t>[0.38 – 1.28]</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BB8A35F" w14:textId="77777777" w:rsidR="005C1FD0" w:rsidRPr="00EE727F" w:rsidRDefault="005C1FD0" w:rsidP="008905B3">
            <w:pPr>
              <w:spacing w:line="240" w:lineRule="auto"/>
              <w:jc w:val="center"/>
              <w:rPr>
                <w:rFonts w:eastAsia="Times New Roman"/>
                <w:sz w:val="22"/>
              </w:rPr>
            </w:pPr>
            <w:r w:rsidRPr="00EE727F">
              <w:rPr>
                <w:rFonts w:eastAsia="Times New Roman"/>
                <w:kern w:val="24"/>
                <w:sz w:val="22"/>
              </w:rPr>
              <w:t>0.24</w:t>
            </w:r>
          </w:p>
        </w:tc>
      </w:tr>
      <w:tr w:rsidR="005C1FD0" w:rsidRPr="00EE727F" w14:paraId="56E2C15E" w14:textId="77777777" w:rsidTr="008905B3">
        <w:trPr>
          <w:trHeight w:val="374"/>
        </w:trPr>
        <w:tc>
          <w:tcPr>
            <w:tcW w:w="52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C2DB439" w14:textId="77777777" w:rsidR="005C1FD0" w:rsidRPr="00EE727F" w:rsidRDefault="005C1FD0" w:rsidP="008905B3">
            <w:pPr>
              <w:spacing w:line="240" w:lineRule="auto"/>
              <w:rPr>
                <w:rFonts w:eastAsia="Times New Roman"/>
                <w:i/>
                <w:iCs/>
                <w:kern w:val="24"/>
                <w:sz w:val="22"/>
              </w:rPr>
            </w:pPr>
            <w:r w:rsidRPr="00EE727F">
              <w:rPr>
                <w:rFonts w:eastAsia="Times New Roman"/>
                <w:i/>
                <w:iCs/>
                <w:kern w:val="24"/>
                <w:sz w:val="22"/>
              </w:rPr>
              <w:t xml:space="preserve">   IPF</w:t>
            </w: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067F25B"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0.74</w:t>
            </w:r>
          </w:p>
          <w:p w14:paraId="1EC96C72"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[0.42 – 1.31]</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30520DA8"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0.30</w:t>
            </w:r>
          </w:p>
        </w:tc>
      </w:tr>
      <w:tr w:rsidR="005C1FD0" w:rsidRPr="00EE727F" w14:paraId="02BE9496" w14:textId="77777777" w:rsidTr="008905B3">
        <w:trPr>
          <w:trHeight w:val="374"/>
        </w:trPr>
        <w:tc>
          <w:tcPr>
            <w:tcW w:w="52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4211D19" w14:textId="77777777" w:rsidR="005C1FD0" w:rsidRPr="00EE727F" w:rsidRDefault="005C1FD0" w:rsidP="008905B3">
            <w:pPr>
              <w:spacing w:line="240" w:lineRule="auto"/>
              <w:rPr>
                <w:rFonts w:eastAsia="Times New Roman"/>
                <w:b/>
                <w:bCs/>
                <w:i/>
                <w:iCs/>
                <w:kern w:val="24"/>
                <w:sz w:val="22"/>
              </w:rPr>
            </w:pPr>
            <w:r w:rsidRPr="00EE727F">
              <w:rPr>
                <w:rFonts w:eastAsia="Times New Roman"/>
                <w:b/>
                <w:bCs/>
                <w:i/>
                <w:iCs/>
                <w:kern w:val="24"/>
                <w:sz w:val="22"/>
              </w:rPr>
              <w:t>Age (per 10-year increase)</w:t>
            </w: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15661BC8"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1.36</w:t>
            </w:r>
          </w:p>
          <w:p w14:paraId="09447704"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[1.09 – 1.70]</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22968023"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0.01</w:t>
            </w:r>
          </w:p>
        </w:tc>
      </w:tr>
      <w:tr w:rsidR="005C1FD0" w:rsidRPr="00EE727F" w14:paraId="5FA65A99" w14:textId="77777777" w:rsidTr="008905B3">
        <w:trPr>
          <w:trHeight w:val="374"/>
        </w:trPr>
        <w:tc>
          <w:tcPr>
            <w:tcW w:w="5236"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6456F81C" w14:textId="77777777" w:rsidR="005C1FD0" w:rsidRPr="00EE727F" w:rsidRDefault="005C1FD0" w:rsidP="008905B3">
            <w:pPr>
              <w:spacing w:line="240" w:lineRule="auto"/>
              <w:rPr>
                <w:rFonts w:eastAsia="Times New Roman"/>
                <w:b/>
                <w:bCs/>
                <w:i/>
                <w:iCs/>
                <w:kern w:val="24"/>
                <w:sz w:val="22"/>
              </w:rPr>
            </w:pPr>
            <w:r w:rsidRPr="00EE727F">
              <w:rPr>
                <w:rFonts w:eastAsia="Times New Roman"/>
                <w:b/>
                <w:bCs/>
                <w:i/>
                <w:iCs/>
                <w:kern w:val="24"/>
                <w:sz w:val="22"/>
              </w:rPr>
              <w:t>Male sex</w:t>
            </w:r>
          </w:p>
        </w:tc>
        <w:tc>
          <w:tcPr>
            <w:tcW w:w="279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77793E29"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1.63</w:t>
            </w:r>
          </w:p>
          <w:p w14:paraId="0152A2A2"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[1.04 – 2.58]</w:t>
            </w:r>
          </w:p>
        </w:tc>
        <w:tc>
          <w:tcPr>
            <w:tcW w:w="1151"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tcPr>
          <w:p w14:paraId="5A35DE84" w14:textId="77777777" w:rsidR="005C1FD0" w:rsidRPr="00EE727F" w:rsidRDefault="005C1FD0" w:rsidP="008905B3">
            <w:pPr>
              <w:spacing w:line="240" w:lineRule="auto"/>
              <w:jc w:val="center"/>
              <w:rPr>
                <w:rFonts w:eastAsia="Times New Roman"/>
                <w:kern w:val="24"/>
                <w:sz w:val="22"/>
              </w:rPr>
            </w:pPr>
            <w:r w:rsidRPr="00EE727F">
              <w:rPr>
                <w:rFonts w:eastAsia="Times New Roman"/>
                <w:kern w:val="24"/>
                <w:sz w:val="22"/>
              </w:rPr>
              <w:t>0.04</w:t>
            </w:r>
          </w:p>
        </w:tc>
      </w:tr>
    </w:tbl>
    <w:p w14:paraId="0BEE936D" w14:textId="77777777" w:rsidR="005C1FD0" w:rsidRPr="00EE727F" w:rsidRDefault="005C1FD0" w:rsidP="005C1FD0">
      <w:pPr>
        <w:spacing w:after="160" w:line="259" w:lineRule="auto"/>
        <w:ind w:left="0" w:firstLine="0"/>
        <w:rPr>
          <w:rFonts w:eastAsiaTheme="majorEastAsia" w:cstheme="majorBidi"/>
          <w:b/>
          <w:bCs/>
          <w:color w:val="auto"/>
          <w:sz w:val="22"/>
        </w:rPr>
      </w:pPr>
      <w:r w:rsidRPr="00EE727F">
        <w:rPr>
          <w:bCs/>
          <w:sz w:val="22"/>
        </w:rPr>
        <w:br w:type="page"/>
      </w:r>
    </w:p>
    <w:p w14:paraId="3EA9B174" w14:textId="55B42E31" w:rsidR="00FD2FEE" w:rsidRPr="00EE727F" w:rsidRDefault="00FD2FEE" w:rsidP="00FD2FEE">
      <w:pPr>
        <w:pStyle w:val="Heading2"/>
        <w:rPr>
          <w:sz w:val="22"/>
          <w:szCs w:val="22"/>
        </w:rPr>
      </w:pPr>
      <w:bookmarkStart w:id="21" w:name="_Toc93925449"/>
      <w:r w:rsidRPr="00EE727F">
        <w:rPr>
          <w:bCs/>
          <w:sz w:val="22"/>
          <w:szCs w:val="22"/>
        </w:rPr>
        <w:lastRenderedPageBreak/>
        <w:t>Supplementary Figure 7:</w:t>
      </w:r>
      <w:r w:rsidR="00A87577" w:rsidRPr="00EE727F">
        <w:rPr>
          <w:bCs/>
          <w:sz w:val="22"/>
          <w:szCs w:val="22"/>
        </w:rPr>
        <w:t xml:space="preserve"> Transplant-free survival of a modified IPAF cohort which now includes an additional n=11 patients with </w:t>
      </w:r>
      <w:proofErr w:type="spellStart"/>
      <w:r w:rsidR="00A87577" w:rsidRPr="00EE727F">
        <w:rPr>
          <w:bCs/>
          <w:sz w:val="22"/>
          <w:szCs w:val="22"/>
        </w:rPr>
        <w:t>antisynthetase</w:t>
      </w:r>
      <w:proofErr w:type="spellEnd"/>
      <w:r w:rsidR="00A87577" w:rsidRPr="00EE727F">
        <w:rPr>
          <w:bCs/>
          <w:sz w:val="22"/>
          <w:szCs w:val="22"/>
        </w:rPr>
        <w:t xml:space="preserve"> antibodies </w:t>
      </w:r>
      <w:r w:rsidR="00650B25" w:rsidRPr="00EE727F">
        <w:rPr>
          <w:sz w:val="22"/>
          <w:szCs w:val="22"/>
        </w:rPr>
        <w:t>with a prior study classification of</w:t>
      </w:r>
      <w:r w:rsidR="00A87577" w:rsidRPr="00EE727F">
        <w:rPr>
          <w:sz w:val="22"/>
          <w:szCs w:val="22"/>
        </w:rPr>
        <w:t xml:space="preserve"> CTD-ILD, versus CTD-ILD and IPF.</w:t>
      </w:r>
      <w:bookmarkEnd w:id="21"/>
      <w:r w:rsidR="00A87577" w:rsidRPr="00EE727F">
        <w:rPr>
          <w:sz w:val="22"/>
          <w:szCs w:val="22"/>
        </w:rPr>
        <w:t xml:space="preserve"> </w:t>
      </w:r>
    </w:p>
    <w:p w14:paraId="78F6500F" w14:textId="77BF7EA7" w:rsidR="00E67FB8" w:rsidRPr="00EE727F" w:rsidRDefault="004436FC" w:rsidP="00A87577">
      <w:pPr>
        <w:rPr>
          <w:sz w:val="22"/>
        </w:rPr>
      </w:pPr>
      <w:proofErr w:type="spellStart"/>
      <w:r w:rsidRPr="00EE727F">
        <w:rPr>
          <w:sz w:val="22"/>
        </w:rPr>
        <w:t>Antisynthetase</w:t>
      </w:r>
      <w:proofErr w:type="spellEnd"/>
      <w:r w:rsidRPr="00EE727F">
        <w:rPr>
          <w:sz w:val="22"/>
        </w:rPr>
        <w:t xml:space="preserve"> and anti-MDA5 antibodies are included in the IPAF serologic domain, and patients with these antibodies are th</w:t>
      </w:r>
      <w:r w:rsidR="00E67FB8" w:rsidRPr="00EE727F">
        <w:rPr>
          <w:sz w:val="22"/>
        </w:rPr>
        <w:t>erefore</w:t>
      </w:r>
      <w:r w:rsidRPr="00EE727F">
        <w:rPr>
          <w:sz w:val="22"/>
        </w:rPr>
        <w:t xml:space="preserve"> often classified as IPAF in other IPAF cohort studies. In our study, patients with </w:t>
      </w:r>
      <w:proofErr w:type="spellStart"/>
      <w:r w:rsidRPr="00EE727F">
        <w:rPr>
          <w:sz w:val="22"/>
        </w:rPr>
        <w:t>antisynthetase</w:t>
      </w:r>
      <w:proofErr w:type="spellEnd"/>
      <w:r w:rsidRPr="00EE727F">
        <w:rPr>
          <w:sz w:val="22"/>
        </w:rPr>
        <w:t xml:space="preserve"> and </w:t>
      </w:r>
      <w:r w:rsidR="00650B25" w:rsidRPr="00EE727F">
        <w:rPr>
          <w:sz w:val="22"/>
        </w:rPr>
        <w:t>anti-MDA5 antibodies</w:t>
      </w:r>
      <w:r w:rsidRPr="00EE727F">
        <w:rPr>
          <w:sz w:val="22"/>
        </w:rPr>
        <w:t xml:space="preserve"> were specifically classified as CTD-ILD </w:t>
      </w:r>
      <w:proofErr w:type="gramStart"/>
      <w:r w:rsidRPr="00EE727F">
        <w:rPr>
          <w:sz w:val="22"/>
        </w:rPr>
        <w:t>provided</w:t>
      </w:r>
      <w:r w:rsidR="00E67FB8" w:rsidRPr="00EE727F">
        <w:rPr>
          <w:sz w:val="22"/>
        </w:rPr>
        <w:t xml:space="preserve"> </w:t>
      </w:r>
      <w:r w:rsidRPr="00EE727F">
        <w:rPr>
          <w:sz w:val="22"/>
        </w:rPr>
        <w:t>that</w:t>
      </w:r>
      <w:proofErr w:type="gramEnd"/>
      <w:r w:rsidRPr="00EE727F">
        <w:rPr>
          <w:sz w:val="22"/>
        </w:rPr>
        <w:t xml:space="preserve"> they fulfilled criteria defined in </w:t>
      </w:r>
      <w:r w:rsidRPr="00EE727F">
        <w:rPr>
          <w:b/>
          <w:bCs/>
          <w:sz w:val="22"/>
        </w:rPr>
        <w:t>Supplementary Methods 2</w:t>
      </w:r>
      <w:r w:rsidRPr="00EE727F">
        <w:rPr>
          <w:sz w:val="22"/>
        </w:rPr>
        <w:t>. To clarify the impact of</w:t>
      </w:r>
      <w:r w:rsidR="00E67FB8" w:rsidRPr="00EE727F">
        <w:rPr>
          <w:sz w:val="22"/>
        </w:rPr>
        <w:t xml:space="preserve"> our </w:t>
      </w:r>
      <w:r w:rsidRPr="00EE727F">
        <w:rPr>
          <w:sz w:val="22"/>
        </w:rPr>
        <w:t xml:space="preserve">approach </w:t>
      </w:r>
      <w:r w:rsidR="00650B25" w:rsidRPr="00EE727F">
        <w:rPr>
          <w:sz w:val="22"/>
        </w:rPr>
        <w:t xml:space="preserve">to </w:t>
      </w:r>
      <w:proofErr w:type="spellStart"/>
      <w:r w:rsidR="00E67FB8" w:rsidRPr="00EE727F">
        <w:rPr>
          <w:sz w:val="22"/>
        </w:rPr>
        <w:t>antisynthetase</w:t>
      </w:r>
      <w:proofErr w:type="spellEnd"/>
      <w:r w:rsidR="00E67FB8" w:rsidRPr="00EE727F">
        <w:rPr>
          <w:sz w:val="22"/>
        </w:rPr>
        <w:t xml:space="preserve"> syndrome</w:t>
      </w:r>
      <w:r w:rsidR="00650B25" w:rsidRPr="00EE727F">
        <w:rPr>
          <w:sz w:val="22"/>
        </w:rPr>
        <w:t>/anti-MDA5</w:t>
      </w:r>
      <w:r w:rsidR="00E67FB8" w:rsidRPr="00EE727F">
        <w:rPr>
          <w:sz w:val="22"/>
        </w:rPr>
        <w:t xml:space="preserve"> classification</w:t>
      </w:r>
      <w:r w:rsidRPr="00EE727F">
        <w:rPr>
          <w:sz w:val="22"/>
        </w:rPr>
        <w:t>, we repeated our transplant-free survival analysis of IPAF versus CTD-ILD versus IPF by reassigning n=11 CTD-ILD patients with ASyS</w:t>
      </w:r>
      <w:r w:rsidR="00213811" w:rsidRPr="00EE727F">
        <w:rPr>
          <w:sz w:val="22"/>
        </w:rPr>
        <w:t xml:space="preserve"> or anti-MDA5</w:t>
      </w:r>
      <w:r w:rsidRPr="00EE727F">
        <w:rPr>
          <w:sz w:val="22"/>
        </w:rPr>
        <w:t xml:space="preserve"> antibodies </w:t>
      </w:r>
      <w:r w:rsidR="00650B25" w:rsidRPr="00EE727F">
        <w:rPr>
          <w:sz w:val="22"/>
        </w:rPr>
        <w:t xml:space="preserve">(n=11 </w:t>
      </w:r>
      <w:proofErr w:type="spellStart"/>
      <w:r w:rsidR="00650B25" w:rsidRPr="00EE727F">
        <w:rPr>
          <w:sz w:val="22"/>
        </w:rPr>
        <w:t>antisynthetase</w:t>
      </w:r>
      <w:proofErr w:type="spellEnd"/>
      <w:r w:rsidR="00650B25" w:rsidRPr="00EE727F">
        <w:rPr>
          <w:sz w:val="22"/>
        </w:rPr>
        <w:t xml:space="preserve"> antibodies, n=0 anti-MDA5) </w:t>
      </w:r>
      <w:r w:rsidRPr="00EE727F">
        <w:rPr>
          <w:sz w:val="22"/>
        </w:rPr>
        <w:t>that did not exhibit features of inflammatory myopathy to the IPAF cohort</w:t>
      </w:r>
      <w:r w:rsidR="00E67FB8" w:rsidRPr="00EE727F">
        <w:rPr>
          <w:sz w:val="22"/>
        </w:rPr>
        <w:t>, as would have been done in most prior IPAF studies</w:t>
      </w:r>
      <w:r w:rsidRPr="00EE727F">
        <w:rPr>
          <w:sz w:val="22"/>
        </w:rPr>
        <w:t>.</w:t>
      </w:r>
      <w:r w:rsidR="00E67FB8" w:rsidRPr="00EE727F">
        <w:rPr>
          <w:sz w:val="22"/>
        </w:rPr>
        <w:t xml:space="preserve"> Transplant-free survival of the modified cohort is shown using dotted lines, superimposed over the transplant-free survival of the published study cohort</w:t>
      </w:r>
      <w:r w:rsidR="00184F94" w:rsidRPr="00EE727F">
        <w:rPr>
          <w:sz w:val="22"/>
        </w:rPr>
        <w:t xml:space="preserve">, </w:t>
      </w:r>
      <w:r w:rsidR="00213811" w:rsidRPr="00EE727F">
        <w:rPr>
          <w:sz w:val="22"/>
        </w:rPr>
        <w:t xml:space="preserve">and </w:t>
      </w:r>
      <w:r w:rsidR="00184F94" w:rsidRPr="00EE727F">
        <w:rPr>
          <w:sz w:val="22"/>
        </w:rPr>
        <w:t>indicates a modest improvement in the transplant-free survival of the IPAF cohort</w:t>
      </w:r>
      <w:r w:rsidR="00E67FB8" w:rsidRPr="00EE727F">
        <w:rPr>
          <w:sz w:val="22"/>
        </w:rPr>
        <w:t xml:space="preserve">. The risk table includes the original cohort data, as it appears in Figure 3, as well as data from analysis of the modified cohort. </w:t>
      </w:r>
    </w:p>
    <w:p w14:paraId="3E4FC7CA" w14:textId="47BD73AC" w:rsidR="00FD2FEE" w:rsidRPr="00EE727F" w:rsidRDefault="00FD2FEE">
      <w:pPr>
        <w:spacing w:after="160" w:line="259" w:lineRule="auto"/>
        <w:ind w:left="0" w:firstLine="0"/>
        <w:rPr>
          <w:rFonts w:eastAsiaTheme="majorEastAsia" w:cstheme="majorBidi"/>
          <w:b/>
          <w:bCs/>
          <w:color w:val="auto"/>
          <w:sz w:val="22"/>
        </w:rPr>
      </w:pPr>
      <w:r w:rsidRPr="00EE727F">
        <w:rPr>
          <w:noProof/>
          <w:sz w:val="22"/>
        </w:rPr>
        <w:lastRenderedPageBreak/>
        <w:drawing>
          <wp:inline distT="0" distB="0" distL="0" distR="0" wp14:anchorId="56107E1F" wp14:editId="297761EB">
            <wp:extent cx="5943600" cy="5983490"/>
            <wp:effectExtent l="0" t="0" r="0" b="0"/>
            <wp:docPr id="20" name="Picture 19" descr="Chart&#10;&#10;Description automatically generated">
              <a:extLst xmlns:a="http://schemas.openxmlformats.org/drawingml/2006/main">
                <a:ext uri="{FF2B5EF4-FFF2-40B4-BE49-F238E27FC236}">
                  <a16:creationId xmlns:a16="http://schemas.microsoft.com/office/drawing/2014/main" id="{112F89A0-F5AE-4DDD-A561-72AD7A86B6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9" descr="Chart&#10;&#10;Description automatically generated">
                      <a:extLst>
                        <a:ext uri="{FF2B5EF4-FFF2-40B4-BE49-F238E27FC236}">
                          <a16:creationId xmlns:a16="http://schemas.microsoft.com/office/drawing/2014/main" id="{112F89A0-F5AE-4DDD-A561-72AD7A86B612}"/>
                        </a:ext>
                      </a:extLst>
                    </pic:cNvPr>
                    <pic:cNvPicPr>
                      <a:picLocks noChangeAspect="1"/>
                    </pic:cNvPicPr>
                  </pic:nvPicPr>
                  <pic:blipFill>
                    <a:blip r:embed="rId15"/>
                    <a:stretch>
                      <a:fillRect/>
                    </a:stretch>
                  </pic:blipFill>
                  <pic:spPr>
                    <a:xfrm>
                      <a:off x="0" y="0"/>
                      <a:ext cx="5943600" cy="5983490"/>
                    </a:xfrm>
                    <a:prstGeom prst="rect">
                      <a:avLst/>
                    </a:prstGeom>
                  </pic:spPr>
                </pic:pic>
              </a:graphicData>
            </a:graphic>
          </wp:inline>
        </w:drawing>
      </w:r>
    </w:p>
    <w:p w14:paraId="0036DDEE" w14:textId="77777777" w:rsidR="00E67FB8" w:rsidRPr="00EE727F" w:rsidRDefault="00E67FB8">
      <w:pPr>
        <w:spacing w:after="160" w:line="259" w:lineRule="auto"/>
        <w:ind w:left="0" w:firstLine="0"/>
        <w:rPr>
          <w:rFonts w:eastAsiaTheme="majorEastAsia" w:cstheme="majorBidi"/>
          <w:b/>
          <w:bCs/>
          <w:color w:val="auto"/>
          <w:sz w:val="22"/>
        </w:rPr>
      </w:pPr>
      <w:r w:rsidRPr="00EE727F">
        <w:rPr>
          <w:bCs/>
          <w:sz w:val="22"/>
        </w:rPr>
        <w:br w:type="page"/>
      </w:r>
    </w:p>
    <w:p w14:paraId="4BB04987" w14:textId="3A5B4734" w:rsidR="00DD3D81" w:rsidRPr="00EE727F" w:rsidRDefault="00DD3D81" w:rsidP="00DD3D81">
      <w:pPr>
        <w:pStyle w:val="Heading2"/>
        <w:rPr>
          <w:rFonts w:eastAsia="Arial" w:cs="Arial"/>
          <w:caps/>
          <w:color w:val="000000"/>
          <w:sz w:val="22"/>
          <w:szCs w:val="22"/>
        </w:rPr>
      </w:pPr>
      <w:bookmarkStart w:id="22" w:name="_Toc93925450"/>
      <w:r w:rsidRPr="00EE727F">
        <w:rPr>
          <w:bCs/>
          <w:sz w:val="22"/>
          <w:szCs w:val="22"/>
        </w:rPr>
        <w:lastRenderedPageBreak/>
        <w:t xml:space="preserve">Supplementary Table </w:t>
      </w:r>
      <w:r w:rsidR="00DF6BE0" w:rsidRPr="00EE727F">
        <w:rPr>
          <w:bCs/>
          <w:sz w:val="22"/>
          <w:szCs w:val="22"/>
        </w:rPr>
        <w:t>5</w:t>
      </w:r>
      <w:r w:rsidRPr="00EE727F">
        <w:rPr>
          <w:bCs/>
          <w:sz w:val="22"/>
          <w:szCs w:val="22"/>
        </w:rPr>
        <w:t>. Characteristics of patients initially classified as IPAF who were eventually diagnosed with classifiable disease during follow-up.</w:t>
      </w:r>
      <w:bookmarkEnd w:id="22"/>
      <w:r w:rsidRPr="00EE727F">
        <w:rPr>
          <w:caps/>
          <w:sz w:val="22"/>
          <w:szCs w:val="22"/>
        </w:rPr>
        <w:t xml:space="preserve"> </w:t>
      </w:r>
    </w:p>
    <w:p w14:paraId="497CB5FD" w14:textId="099B53E5" w:rsidR="00EE5B96" w:rsidRPr="00EE727F" w:rsidRDefault="00DD3D81" w:rsidP="00EE5B96">
      <w:pPr>
        <w:rPr>
          <w:noProof/>
          <w:sz w:val="22"/>
        </w:rPr>
      </w:pPr>
      <w:r w:rsidRPr="00EE727F">
        <w:rPr>
          <w:noProof/>
          <w:sz w:val="22"/>
        </w:rPr>
        <w:t xml:space="preserve">“Time from ILD Dx to IPAF” refers to the difference, in years, between the date of ILD diagnosis and the date of IPAF classification. “Time from IPAF to CTD-ILD Dx” refers to the difference, in years, between the date of IPAF classification and the date of disease diagnosis. F = female; M = male; NSIP = nonspecific interstitial pneumonia; OP = organizing pneumonia; PFTs = pulmonary function tests; CCP = anti-cyclic citrullinated peptide antibodies; PAP = pulmonary alveolar proteinosis. ELP = endogenous lipoid pneumonia. </w:t>
      </w:r>
      <w:r w:rsidR="006348DA" w:rsidRPr="00EE727F">
        <w:rPr>
          <w:noProof/>
          <w:sz w:val="22"/>
        </w:rPr>
        <w:drawing>
          <wp:inline distT="0" distB="0" distL="0" distR="0" wp14:anchorId="28B6F098" wp14:editId="5025E058">
            <wp:extent cx="5941488" cy="3566795"/>
            <wp:effectExtent l="0" t="0" r="2540" b="0"/>
            <wp:docPr id="14" name="Picture 1">
              <a:extLst xmlns:a="http://schemas.openxmlformats.org/drawingml/2006/main">
                <a:ext uri="{FF2B5EF4-FFF2-40B4-BE49-F238E27FC236}">
                  <a16:creationId xmlns:a16="http://schemas.microsoft.com/office/drawing/2014/main" id="{9338FC9F-A0AD-4F18-9F52-1DC56CD273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a:extLst>
                        <a:ext uri="{FF2B5EF4-FFF2-40B4-BE49-F238E27FC236}">
                          <a16:creationId xmlns:a16="http://schemas.microsoft.com/office/drawing/2014/main" id="{9338FC9F-A0AD-4F18-9F52-1DC56CD27382}"/>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1488" cy="3566795"/>
                    </a:xfrm>
                    <a:prstGeom prst="rect">
                      <a:avLst/>
                    </a:prstGeom>
                  </pic:spPr>
                </pic:pic>
              </a:graphicData>
            </a:graphic>
          </wp:inline>
        </w:drawing>
      </w:r>
    </w:p>
    <w:p w14:paraId="26EE2A2C" w14:textId="77777777" w:rsidR="00EE5B96" w:rsidRPr="00EE727F" w:rsidRDefault="00EE5B96">
      <w:pPr>
        <w:spacing w:after="160" w:line="259" w:lineRule="auto"/>
        <w:ind w:left="0" w:firstLine="0"/>
        <w:rPr>
          <w:noProof/>
          <w:sz w:val="22"/>
        </w:rPr>
      </w:pPr>
      <w:r w:rsidRPr="00EE727F">
        <w:rPr>
          <w:noProof/>
          <w:sz w:val="22"/>
        </w:rPr>
        <w:br w:type="page"/>
      </w:r>
    </w:p>
    <w:p w14:paraId="03B9CA87" w14:textId="77777777" w:rsidR="00421540" w:rsidRPr="00EE727F" w:rsidRDefault="00421540" w:rsidP="00EE5B96">
      <w:pPr>
        <w:rPr>
          <w:noProof/>
          <w:sz w:val="22"/>
        </w:rPr>
      </w:pPr>
    </w:p>
    <w:p w14:paraId="470978E5" w14:textId="4BE6CEE0" w:rsidR="009B0D0E" w:rsidRPr="00EE727F" w:rsidRDefault="009B0D0E" w:rsidP="00765A58">
      <w:pPr>
        <w:pStyle w:val="Heading2"/>
        <w:rPr>
          <w:sz w:val="22"/>
          <w:szCs w:val="22"/>
          <w:u w:val="single"/>
        </w:rPr>
      </w:pPr>
      <w:bookmarkStart w:id="23" w:name="_Toc93925451"/>
      <w:r w:rsidRPr="00EE727F">
        <w:rPr>
          <w:rStyle w:val="Hyperlink"/>
          <w:color w:val="auto"/>
          <w:sz w:val="22"/>
          <w:szCs w:val="22"/>
        </w:rPr>
        <w:t>References</w:t>
      </w:r>
      <w:r w:rsidR="00F00EDD" w:rsidRPr="00EE727F">
        <w:rPr>
          <w:rStyle w:val="Hyperlink"/>
          <w:color w:val="auto"/>
          <w:sz w:val="22"/>
          <w:szCs w:val="22"/>
        </w:rPr>
        <w:t xml:space="preserve"> for Supplementary Material</w:t>
      </w:r>
      <w:r w:rsidRPr="00EE727F">
        <w:rPr>
          <w:rStyle w:val="Hyperlink"/>
          <w:color w:val="auto"/>
          <w:sz w:val="22"/>
          <w:szCs w:val="22"/>
        </w:rPr>
        <w:t>:</w:t>
      </w:r>
      <w:bookmarkEnd w:id="23"/>
    </w:p>
    <w:p w14:paraId="06AA05C0" w14:textId="5B86AC1E" w:rsidR="00E069B9" w:rsidRPr="00EE727F" w:rsidRDefault="009B0D0E" w:rsidP="00E069B9">
      <w:pPr>
        <w:widowControl w:val="0"/>
        <w:autoSpaceDE w:val="0"/>
        <w:autoSpaceDN w:val="0"/>
        <w:adjustRightInd w:val="0"/>
        <w:ind w:left="640" w:hanging="640"/>
        <w:rPr>
          <w:noProof/>
          <w:sz w:val="22"/>
          <w:szCs w:val="24"/>
        </w:rPr>
      </w:pPr>
      <w:r w:rsidRPr="00EE727F">
        <w:rPr>
          <w:sz w:val="22"/>
        </w:rPr>
        <w:fldChar w:fldCharType="begin" w:fldLock="1"/>
      </w:r>
      <w:r w:rsidRPr="00EE727F">
        <w:rPr>
          <w:sz w:val="22"/>
        </w:rPr>
        <w:instrText xml:space="preserve">ADDIN Mendeley Bibliography CSL_BIBLIOGRAPHY </w:instrText>
      </w:r>
      <w:r w:rsidRPr="00EE727F">
        <w:rPr>
          <w:sz w:val="22"/>
        </w:rPr>
        <w:fldChar w:fldCharType="separate"/>
      </w:r>
      <w:r w:rsidR="00E069B9" w:rsidRPr="00EE727F">
        <w:rPr>
          <w:noProof/>
          <w:sz w:val="22"/>
          <w:szCs w:val="24"/>
        </w:rPr>
        <w:t xml:space="preserve">1. </w:t>
      </w:r>
      <w:r w:rsidR="00E069B9" w:rsidRPr="00EE727F">
        <w:rPr>
          <w:noProof/>
          <w:sz w:val="22"/>
          <w:szCs w:val="24"/>
        </w:rPr>
        <w:tab/>
        <w:t xml:space="preserve">Fischer A, Antoniou KM, Brown KK, et al. An official European Respiratory Society/American Thoracic Society research statement: Interstitial pneumonia with autoimmune features. </w:t>
      </w:r>
      <w:r w:rsidR="00E069B9" w:rsidRPr="00EE727F">
        <w:rPr>
          <w:i/>
          <w:iCs/>
          <w:noProof/>
          <w:sz w:val="22"/>
          <w:szCs w:val="24"/>
        </w:rPr>
        <w:t>Eur Respir J</w:t>
      </w:r>
      <w:r w:rsidR="00E069B9" w:rsidRPr="00EE727F">
        <w:rPr>
          <w:noProof/>
          <w:sz w:val="22"/>
          <w:szCs w:val="24"/>
        </w:rPr>
        <w:t xml:space="preserve"> [Internet]. (2015);46:976–87. </w:t>
      </w:r>
    </w:p>
    <w:p w14:paraId="43AB40C9"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2. </w:t>
      </w:r>
      <w:r w:rsidRPr="00EE727F">
        <w:rPr>
          <w:noProof/>
          <w:sz w:val="22"/>
          <w:szCs w:val="24"/>
        </w:rPr>
        <w:tab/>
        <w:t xml:space="preserve">Travis WD, Costabel U, Hansell DM, et al. An official American Thoracic Society/European Respiratory Society statement: Update of the international multidisciplinary classification of the idiopathic interstitial pneumonias. </w:t>
      </w:r>
      <w:r w:rsidRPr="00EE727F">
        <w:rPr>
          <w:i/>
          <w:iCs/>
          <w:noProof/>
          <w:sz w:val="22"/>
          <w:szCs w:val="24"/>
        </w:rPr>
        <w:t>Am J Respir Crit Care Med</w:t>
      </w:r>
      <w:r w:rsidRPr="00EE727F">
        <w:rPr>
          <w:noProof/>
          <w:sz w:val="22"/>
          <w:szCs w:val="24"/>
        </w:rPr>
        <w:t xml:space="preserve">. (2013);188:733–48. </w:t>
      </w:r>
    </w:p>
    <w:p w14:paraId="1BE1350A"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3. </w:t>
      </w:r>
      <w:r w:rsidRPr="00EE727F">
        <w:rPr>
          <w:noProof/>
          <w:sz w:val="22"/>
          <w:szCs w:val="24"/>
        </w:rPr>
        <w:tab/>
        <w:t xml:space="preserve">Travis WD, Hunninghake G, King TE, et al. Idiopathic nonspecific interstitial pneumonia: Report of an American Thoracic Society Project. </w:t>
      </w:r>
      <w:r w:rsidRPr="00EE727F">
        <w:rPr>
          <w:i/>
          <w:iCs/>
          <w:noProof/>
          <w:sz w:val="22"/>
          <w:szCs w:val="24"/>
        </w:rPr>
        <w:t>Am J Respir Crit Care Med</w:t>
      </w:r>
      <w:r w:rsidRPr="00EE727F">
        <w:rPr>
          <w:noProof/>
          <w:sz w:val="22"/>
          <w:szCs w:val="24"/>
        </w:rPr>
        <w:t xml:space="preserve">. (2008);177:1338–47. </w:t>
      </w:r>
    </w:p>
    <w:p w14:paraId="29BC8831"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4. </w:t>
      </w:r>
      <w:r w:rsidRPr="00EE727F">
        <w:rPr>
          <w:noProof/>
          <w:sz w:val="22"/>
          <w:szCs w:val="24"/>
        </w:rPr>
        <w:tab/>
        <w:t xml:space="preserve">Sverzellati N, Lynch DA, Hansell DM, et al. American Thoracic Society-European Respiratory Society Classification of the Idiopathic Interstitial Pneumonias: Advances in Knowledge since 2002. </w:t>
      </w:r>
      <w:r w:rsidRPr="00EE727F">
        <w:rPr>
          <w:i/>
          <w:iCs/>
          <w:noProof/>
          <w:sz w:val="22"/>
          <w:szCs w:val="24"/>
        </w:rPr>
        <w:t>Radiographics</w:t>
      </w:r>
      <w:r w:rsidRPr="00EE727F">
        <w:rPr>
          <w:noProof/>
          <w:sz w:val="22"/>
          <w:szCs w:val="24"/>
        </w:rPr>
        <w:t xml:space="preserve">. (2015);35:1849–72. </w:t>
      </w:r>
    </w:p>
    <w:p w14:paraId="40C1852F"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5. </w:t>
      </w:r>
      <w:r w:rsidRPr="00EE727F">
        <w:rPr>
          <w:noProof/>
          <w:sz w:val="22"/>
          <w:szCs w:val="24"/>
        </w:rPr>
        <w:tab/>
        <w:t xml:space="preserve">Mecoli CA, Shah AA, Boin F, et al. Vascular complications in systemic sclerosis: a prospective cohort study. </w:t>
      </w:r>
      <w:r w:rsidRPr="00EE727F">
        <w:rPr>
          <w:i/>
          <w:iCs/>
          <w:noProof/>
          <w:sz w:val="22"/>
          <w:szCs w:val="24"/>
        </w:rPr>
        <w:t>Clin Rheumatol</w:t>
      </w:r>
      <w:r w:rsidRPr="00EE727F">
        <w:rPr>
          <w:noProof/>
          <w:sz w:val="22"/>
          <w:szCs w:val="24"/>
        </w:rPr>
        <w:t xml:space="preserve">. (2018);37:2429–37. </w:t>
      </w:r>
    </w:p>
    <w:p w14:paraId="5B1F3D8E"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6. </w:t>
      </w:r>
      <w:r w:rsidRPr="00EE727F">
        <w:rPr>
          <w:noProof/>
          <w:sz w:val="22"/>
          <w:szCs w:val="24"/>
        </w:rPr>
        <w:tab/>
        <w:t xml:space="preserve">Steen VD, Graham G, Conte C, et al. Isolated diffusing capacity reduction in systemic sclerosis. </w:t>
      </w:r>
      <w:r w:rsidRPr="00EE727F">
        <w:rPr>
          <w:i/>
          <w:iCs/>
          <w:noProof/>
          <w:sz w:val="22"/>
          <w:szCs w:val="24"/>
        </w:rPr>
        <w:t>Arthritis Rheum</w:t>
      </w:r>
      <w:r w:rsidRPr="00EE727F">
        <w:rPr>
          <w:noProof/>
          <w:sz w:val="22"/>
          <w:szCs w:val="24"/>
        </w:rPr>
        <w:t xml:space="preserve">. (1992);35:765–70. </w:t>
      </w:r>
    </w:p>
    <w:p w14:paraId="5889567D"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7. </w:t>
      </w:r>
      <w:r w:rsidRPr="00EE727F">
        <w:rPr>
          <w:noProof/>
          <w:sz w:val="22"/>
          <w:szCs w:val="24"/>
        </w:rPr>
        <w:tab/>
        <w:t xml:space="preserve">Farhey Y, Hess E V. Mixed connective tissue disease. </w:t>
      </w:r>
      <w:r w:rsidRPr="00EE727F">
        <w:rPr>
          <w:i/>
          <w:iCs/>
          <w:noProof/>
          <w:sz w:val="22"/>
          <w:szCs w:val="24"/>
        </w:rPr>
        <w:t>Arthritis Care Res</w:t>
      </w:r>
      <w:r w:rsidRPr="00EE727F">
        <w:rPr>
          <w:noProof/>
          <w:sz w:val="22"/>
          <w:szCs w:val="24"/>
        </w:rPr>
        <w:t xml:space="preserve">. (1997);10:333–42. </w:t>
      </w:r>
    </w:p>
    <w:p w14:paraId="27C7D473"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8. </w:t>
      </w:r>
      <w:r w:rsidRPr="00EE727F">
        <w:rPr>
          <w:noProof/>
          <w:sz w:val="22"/>
          <w:szCs w:val="24"/>
        </w:rPr>
        <w:tab/>
        <w:t xml:space="preserve">J M Amigues, A Cantagrel, M Abbal BM. Comparative study of 4 diagnosis criteria sets for mixed connective tissue disease in patients with anti-RNP antibodies. Autoimmunity Group of the Hospitals of Toulouse. </w:t>
      </w:r>
      <w:r w:rsidRPr="00EE727F">
        <w:rPr>
          <w:i/>
          <w:iCs/>
          <w:noProof/>
          <w:sz w:val="22"/>
          <w:szCs w:val="24"/>
        </w:rPr>
        <w:t>J Rheumatol</w:t>
      </w:r>
      <w:r w:rsidRPr="00EE727F">
        <w:rPr>
          <w:noProof/>
          <w:sz w:val="22"/>
          <w:szCs w:val="24"/>
        </w:rPr>
        <w:t xml:space="preserve">. (1996);23:2055–62. </w:t>
      </w:r>
    </w:p>
    <w:p w14:paraId="382E0DDA"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t xml:space="preserve">9. </w:t>
      </w:r>
      <w:r w:rsidRPr="00EE727F">
        <w:rPr>
          <w:noProof/>
          <w:sz w:val="22"/>
          <w:szCs w:val="24"/>
        </w:rPr>
        <w:tab/>
        <w:t xml:space="preserve">Solomon J, Swigris JJ, Brown KK. Myositis-related interstitial lung disease and antisynthetase syndrome. </w:t>
      </w:r>
      <w:r w:rsidRPr="00EE727F">
        <w:rPr>
          <w:i/>
          <w:iCs/>
          <w:noProof/>
          <w:sz w:val="22"/>
          <w:szCs w:val="24"/>
        </w:rPr>
        <w:t>J Bras Pneumol</w:t>
      </w:r>
      <w:r w:rsidRPr="00EE727F">
        <w:rPr>
          <w:noProof/>
          <w:sz w:val="22"/>
          <w:szCs w:val="24"/>
        </w:rPr>
        <w:t xml:space="preserve"> [Internet]. (2013);37:100–9. </w:t>
      </w:r>
    </w:p>
    <w:p w14:paraId="59D64860" w14:textId="77777777" w:rsidR="00E069B9" w:rsidRPr="00EE727F" w:rsidRDefault="00E069B9" w:rsidP="00E069B9">
      <w:pPr>
        <w:widowControl w:val="0"/>
        <w:autoSpaceDE w:val="0"/>
        <w:autoSpaceDN w:val="0"/>
        <w:adjustRightInd w:val="0"/>
        <w:ind w:left="640" w:hanging="640"/>
        <w:rPr>
          <w:noProof/>
          <w:sz w:val="22"/>
          <w:szCs w:val="24"/>
        </w:rPr>
      </w:pPr>
      <w:r w:rsidRPr="00EE727F">
        <w:rPr>
          <w:noProof/>
          <w:sz w:val="22"/>
          <w:szCs w:val="24"/>
        </w:rPr>
        <w:lastRenderedPageBreak/>
        <w:t xml:space="preserve">10. </w:t>
      </w:r>
      <w:r w:rsidRPr="00EE727F">
        <w:rPr>
          <w:noProof/>
          <w:sz w:val="22"/>
          <w:szCs w:val="24"/>
        </w:rPr>
        <w:tab/>
        <w:t xml:space="preserve">Witt LJ, Curran JJ, Strek ME. The Diagnosis and Treatment of Antisynthetase Syndrome. </w:t>
      </w:r>
      <w:r w:rsidRPr="00EE727F">
        <w:rPr>
          <w:i/>
          <w:iCs/>
          <w:noProof/>
          <w:sz w:val="22"/>
          <w:szCs w:val="24"/>
        </w:rPr>
        <w:t>Clin Pulm Med</w:t>
      </w:r>
      <w:r w:rsidRPr="00EE727F">
        <w:rPr>
          <w:noProof/>
          <w:sz w:val="22"/>
          <w:szCs w:val="24"/>
        </w:rPr>
        <w:t xml:space="preserve">. (2016);23:218–26. </w:t>
      </w:r>
    </w:p>
    <w:p w14:paraId="0CA35F19" w14:textId="77777777" w:rsidR="00E069B9" w:rsidRPr="00EE727F" w:rsidRDefault="00E069B9" w:rsidP="00E069B9">
      <w:pPr>
        <w:widowControl w:val="0"/>
        <w:autoSpaceDE w:val="0"/>
        <w:autoSpaceDN w:val="0"/>
        <w:adjustRightInd w:val="0"/>
        <w:ind w:left="640" w:hanging="640"/>
        <w:rPr>
          <w:noProof/>
          <w:sz w:val="22"/>
        </w:rPr>
      </w:pPr>
      <w:r w:rsidRPr="00EE727F">
        <w:rPr>
          <w:noProof/>
          <w:sz w:val="22"/>
          <w:szCs w:val="24"/>
        </w:rPr>
        <w:t xml:space="preserve">11. </w:t>
      </w:r>
      <w:r w:rsidRPr="00EE727F">
        <w:rPr>
          <w:noProof/>
          <w:sz w:val="22"/>
          <w:szCs w:val="24"/>
        </w:rPr>
        <w:tab/>
        <w:t xml:space="preserve">Kurtzman DJB, Vleugels RA. Anti-melanoma differentiation–associated gene 5 (MDA5) dermatomyositis: A concise review with an emphasis on distinctive clinical features. </w:t>
      </w:r>
      <w:r w:rsidRPr="00EE727F">
        <w:rPr>
          <w:i/>
          <w:iCs/>
          <w:noProof/>
          <w:sz w:val="22"/>
          <w:szCs w:val="24"/>
        </w:rPr>
        <w:t>J Am Acad Dermatol</w:t>
      </w:r>
      <w:r w:rsidRPr="00EE727F">
        <w:rPr>
          <w:noProof/>
          <w:sz w:val="22"/>
          <w:szCs w:val="24"/>
        </w:rPr>
        <w:t xml:space="preserve"> [Internet]. (2018);78:776–85. </w:t>
      </w:r>
    </w:p>
    <w:p w14:paraId="571F087F" w14:textId="4C61B5C2" w:rsidR="009B0D0E" w:rsidRPr="00D60E09" w:rsidRDefault="009B0D0E" w:rsidP="00E069B9">
      <w:pPr>
        <w:widowControl w:val="0"/>
        <w:autoSpaceDE w:val="0"/>
        <w:autoSpaceDN w:val="0"/>
        <w:adjustRightInd w:val="0"/>
        <w:ind w:left="640" w:hanging="640"/>
        <w:rPr>
          <w:sz w:val="22"/>
        </w:rPr>
      </w:pPr>
      <w:r w:rsidRPr="00EE727F">
        <w:rPr>
          <w:sz w:val="22"/>
        </w:rPr>
        <w:fldChar w:fldCharType="end"/>
      </w:r>
    </w:p>
    <w:sectPr w:rsidR="009B0D0E" w:rsidRPr="00D60E09" w:rsidSect="00023E81">
      <w:footerReference w:type="default" r:id="rId17"/>
      <w:footerReference w:type="first" r:id="rId18"/>
      <w:pgSz w:w="12240" w:h="15840"/>
      <w:pgMar w:top="1440" w:right="1440" w:bottom="1440" w:left="1440" w:header="720" w:footer="720" w:gutter="0"/>
      <w:lnNumType w:countBy="1" w:restart="continuou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C4FD88" w14:textId="77777777" w:rsidR="000919F6" w:rsidRDefault="000919F6">
      <w:pPr>
        <w:spacing w:line="240" w:lineRule="auto"/>
      </w:pPr>
      <w:r>
        <w:separator/>
      </w:r>
    </w:p>
  </w:endnote>
  <w:endnote w:type="continuationSeparator" w:id="0">
    <w:p w14:paraId="13EE671E" w14:textId="77777777" w:rsidR="000919F6" w:rsidRDefault="000919F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ED10D" w14:textId="77777777" w:rsidR="00675F43" w:rsidRDefault="00FF07D6" w:rsidP="00675F43">
    <w:pPr>
      <w:pStyle w:val="Footer"/>
      <w:ind w:left="0" w:firstLine="0"/>
      <w:jc w:val="center"/>
    </w:pPr>
    <w:r>
      <w:t>-</w:t>
    </w:r>
    <w:sdt>
      <w:sdtPr>
        <w:id w:val="-186752361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21</w:t>
        </w:r>
        <w:r>
          <w:rPr>
            <w:noProof/>
          </w:rPr>
          <w:fldChar w:fldCharType="end"/>
        </w:r>
        <w:r>
          <w:rPr>
            <w:noProof/>
          </w:rPr>
          <w:t>-</w:t>
        </w:r>
      </w:sdtContent>
    </w:sdt>
  </w:p>
  <w:p w14:paraId="65D6C9D2" w14:textId="77777777" w:rsidR="00675F43" w:rsidRDefault="00675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B5137" w14:textId="77777777" w:rsidR="00675F43" w:rsidRDefault="00FF07D6" w:rsidP="00675F43">
    <w:pPr>
      <w:pStyle w:val="Footer"/>
      <w:ind w:left="0" w:firstLine="0"/>
      <w:jc w:val="center"/>
    </w:pPr>
    <w: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EBA4F" w14:textId="77777777" w:rsidR="000919F6" w:rsidRDefault="000919F6">
      <w:pPr>
        <w:spacing w:line="240" w:lineRule="auto"/>
      </w:pPr>
      <w:r>
        <w:separator/>
      </w:r>
    </w:p>
  </w:footnote>
  <w:footnote w:type="continuationSeparator" w:id="0">
    <w:p w14:paraId="33100AE0" w14:textId="77777777" w:rsidR="000919F6" w:rsidRDefault="000919F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55CFD"/>
    <w:multiLevelType w:val="hybridMultilevel"/>
    <w:tmpl w:val="2E3ABEE4"/>
    <w:lvl w:ilvl="0" w:tplc="CC765BBA">
      <w:start w:val="1"/>
      <w:numFmt w:val="bullet"/>
      <w:lvlText w:val=""/>
      <w:lvlJc w:val="left"/>
      <w:pPr>
        <w:tabs>
          <w:tab w:val="num" w:pos="720"/>
        </w:tabs>
        <w:ind w:left="720" w:hanging="360"/>
      </w:pPr>
      <w:rPr>
        <w:rFonts w:ascii="Wingdings" w:hAnsi="Wingdings" w:hint="default"/>
      </w:rPr>
    </w:lvl>
    <w:lvl w:ilvl="1" w:tplc="443402EE" w:tentative="1">
      <w:start w:val="1"/>
      <w:numFmt w:val="bullet"/>
      <w:lvlText w:val=""/>
      <w:lvlJc w:val="left"/>
      <w:pPr>
        <w:tabs>
          <w:tab w:val="num" w:pos="1440"/>
        </w:tabs>
        <w:ind w:left="1440" w:hanging="360"/>
      </w:pPr>
      <w:rPr>
        <w:rFonts w:ascii="Wingdings" w:hAnsi="Wingdings" w:hint="default"/>
      </w:rPr>
    </w:lvl>
    <w:lvl w:ilvl="2" w:tplc="B6C075DE" w:tentative="1">
      <w:start w:val="1"/>
      <w:numFmt w:val="bullet"/>
      <w:lvlText w:val=""/>
      <w:lvlJc w:val="left"/>
      <w:pPr>
        <w:tabs>
          <w:tab w:val="num" w:pos="2160"/>
        </w:tabs>
        <w:ind w:left="2160" w:hanging="360"/>
      </w:pPr>
      <w:rPr>
        <w:rFonts w:ascii="Wingdings" w:hAnsi="Wingdings" w:hint="default"/>
      </w:rPr>
    </w:lvl>
    <w:lvl w:ilvl="3" w:tplc="242AB9D8" w:tentative="1">
      <w:start w:val="1"/>
      <w:numFmt w:val="bullet"/>
      <w:lvlText w:val=""/>
      <w:lvlJc w:val="left"/>
      <w:pPr>
        <w:tabs>
          <w:tab w:val="num" w:pos="2880"/>
        </w:tabs>
        <w:ind w:left="2880" w:hanging="360"/>
      </w:pPr>
      <w:rPr>
        <w:rFonts w:ascii="Wingdings" w:hAnsi="Wingdings" w:hint="default"/>
      </w:rPr>
    </w:lvl>
    <w:lvl w:ilvl="4" w:tplc="2708CC90" w:tentative="1">
      <w:start w:val="1"/>
      <w:numFmt w:val="bullet"/>
      <w:lvlText w:val=""/>
      <w:lvlJc w:val="left"/>
      <w:pPr>
        <w:tabs>
          <w:tab w:val="num" w:pos="3600"/>
        </w:tabs>
        <w:ind w:left="3600" w:hanging="360"/>
      </w:pPr>
      <w:rPr>
        <w:rFonts w:ascii="Wingdings" w:hAnsi="Wingdings" w:hint="default"/>
      </w:rPr>
    </w:lvl>
    <w:lvl w:ilvl="5" w:tplc="33CA3D56" w:tentative="1">
      <w:start w:val="1"/>
      <w:numFmt w:val="bullet"/>
      <w:lvlText w:val=""/>
      <w:lvlJc w:val="left"/>
      <w:pPr>
        <w:tabs>
          <w:tab w:val="num" w:pos="4320"/>
        </w:tabs>
        <w:ind w:left="4320" w:hanging="360"/>
      </w:pPr>
      <w:rPr>
        <w:rFonts w:ascii="Wingdings" w:hAnsi="Wingdings" w:hint="default"/>
      </w:rPr>
    </w:lvl>
    <w:lvl w:ilvl="6" w:tplc="6B1A3F74" w:tentative="1">
      <w:start w:val="1"/>
      <w:numFmt w:val="bullet"/>
      <w:lvlText w:val=""/>
      <w:lvlJc w:val="left"/>
      <w:pPr>
        <w:tabs>
          <w:tab w:val="num" w:pos="5040"/>
        </w:tabs>
        <w:ind w:left="5040" w:hanging="360"/>
      </w:pPr>
      <w:rPr>
        <w:rFonts w:ascii="Wingdings" w:hAnsi="Wingdings" w:hint="default"/>
      </w:rPr>
    </w:lvl>
    <w:lvl w:ilvl="7" w:tplc="B83E98D4" w:tentative="1">
      <w:start w:val="1"/>
      <w:numFmt w:val="bullet"/>
      <w:lvlText w:val=""/>
      <w:lvlJc w:val="left"/>
      <w:pPr>
        <w:tabs>
          <w:tab w:val="num" w:pos="5760"/>
        </w:tabs>
        <w:ind w:left="5760" w:hanging="360"/>
      </w:pPr>
      <w:rPr>
        <w:rFonts w:ascii="Wingdings" w:hAnsi="Wingdings" w:hint="default"/>
      </w:rPr>
    </w:lvl>
    <w:lvl w:ilvl="8" w:tplc="60ECBEDA"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AA467E"/>
    <w:multiLevelType w:val="hybridMultilevel"/>
    <w:tmpl w:val="15582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C19673C"/>
    <w:multiLevelType w:val="hybridMultilevel"/>
    <w:tmpl w:val="836EB622"/>
    <w:lvl w:ilvl="0" w:tplc="DD4072C6">
      <w:start w:val="1"/>
      <w:numFmt w:val="bullet"/>
      <w:lvlText w:val=""/>
      <w:lvlJc w:val="left"/>
      <w:pPr>
        <w:tabs>
          <w:tab w:val="num" w:pos="720"/>
        </w:tabs>
        <w:ind w:left="720" w:hanging="360"/>
      </w:pPr>
      <w:rPr>
        <w:rFonts w:ascii="Wingdings" w:hAnsi="Wingdings" w:hint="default"/>
      </w:rPr>
    </w:lvl>
    <w:lvl w:ilvl="1" w:tplc="97DA0008" w:tentative="1">
      <w:start w:val="1"/>
      <w:numFmt w:val="bullet"/>
      <w:lvlText w:val=""/>
      <w:lvlJc w:val="left"/>
      <w:pPr>
        <w:tabs>
          <w:tab w:val="num" w:pos="1440"/>
        </w:tabs>
        <w:ind w:left="1440" w:hanging="360"/>
      </w:pPr>
      <w:rPr>
        <w:rFonts w:ascii="Wingdings" w:hAnsi="Wingdings" w:hint="default"/>
      </w:rPr>
    </w:lvl>
    <w:lvl w:ilvl="2" w:tplc="805E3282" w:tentative="1">
      <w:start w:val="1"/>
      <w:numFmt w:val="bullet"/>
      <w:lvlText w:val=""/>
      <w:lvlJc w:val="left"/>
      <w:pPr>
        <w:tabs>
          <w:tab w:val="num" w:pos="2160"/>
        </w:tabs>
        <w:ind w:left="2160" w:hanging="360"/>
      </w:pPr>
      <w:rPr>
        <w:rFonts w:ascii="Wingdings" w:hAnsi="Wingdings" w:hint="default"/>
      </w:rPr>
    </w:lvl>
    <w:lvl w:ilvl="3" w:tplc="F522E1E0" w:tentative="1">
      <w:start w:val="1"/>
      <w:numFmt w:val="bullet"/>
      <w:lvlText w:val=""/>
      <w:lvlJc w:val="left"/>
      <w:pPr>
        <w:tabs>
          <w:tab w:val="num" w:pos="2880"/>
        </w:tabs>
        <w:ind w:left="2880" w:hanging="360"/>
      </w:pPr>
      <w:rPr>
        <w:rFonts w:ascii="Wingdings" w:hAnsi="Wingdings" w:hint="default"/>
      </w:rPr>
    </w:lvl>
    <w:lvl w:ilvl="4" w:tplc="094E5366" w:tentative="1">
      <w:start w:val="1"/>
      <w:numFmt w:val="bullet"/>
      <w:lvlText w:val=""/>
      <w:lvlJc w:val="left"/>
      <w:pPr>
        <w:tabs>
          <w:tab w:val="num" w:pos="3600"/>
        </w:tabs>
        <w:ind w:left="3600" w:hanging="360"/>
      </w:pPr>
      <w:rPr>
        <w:rFonts w:ascii="Wingdings" w:hAnsi="Wingdings" w:hint="default"/>
      </w:rPr>
    </w:lvl>
    <w:lvl w:ilvl="5" w:tplc="C060AA0E" w:tentative="1">
      <w:start w:val="1"/>
      <w:numFmt w:val="bullet"/>
      <w:lvlText w:val=""/>
      <w:lvlJc w:val="left"/>
      <w:pPr>
        <w:tabs>
          <w:tab w:val="num" w:pos="4320"/>
        </w:tabs>
        <w:ind w:left="4320" w:hanging="360"/>
      </w:pPr>
      <w:rPr>
        <w:rFonts w:ascii="Wingdings" w:hAnsi="Wingdings" w:hint="default"/>
      </w:rPr>
    </w:lvl>
    <w:lvl w:ilvl="6" w:tplc="823CB60A" w:tentative="1">
      <w:start w:val="1"/>
      <w:numFmt w:val="bullet"/>
      <w:lvlText w:val=""/>
      <w:lvlJc w:val="left"/>
      <w:pPr>
        <w:tabs>
          <w:tab w:val="num" w:pos="5040"/>
        </w:tabs>
        <w:ind w:left="5040" w:hanging="360"/>
      </w:pPr>
      <w:rPr>
        <w:rFonts w:ascii="Wingdings" w:hAnsi="Wingdings" w:hint="default"/>
      </w:rPr>
    </w:lvl>
    <w:lvl w:ilvl="7" w:tplc="0A6AE430" w:tentative="1">
      <w:start w:val="1"/>
      <w:numFmt w:val="bullet"/>
      <w:lvlText w:val=""/>
      <w:lvlJc w:val="left"/>
      <w:pPr>
        <w:tabs>
          <w:tab w:val="num" w:pos="5760"/>
        </w:tabs>
        <w:ind w:left="5760" w:hanging="360"/>
      </w:pPr>
      <w:rPr>
        <w:rFonts w:ascii="Wingdings" w:hAnsi="Wingdings" w:hint="default"/>
      </w:rPr>
    </w:lvl>
    <w:lvl w:ilvl="8" w:tplc="8CF4DEE8"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7C2403"/>
    <w:multiLevelType w:val="hybridMultilevel"/>
    <w:tmpl w:val="6BCCFC40"/>
    <w:lvl w:ilvl="0" w:tplc="A55652CC">
      <w:start w:val="1"/>
      <w:numFmt w:val="bullet"/>
      <w:lvlText w:val=""/>
      <w:lvlJc w:val="left"/>
      <w:pPr>
        <w:tabs>
          <w:tab w:val="num" w:pos="720"/>
        </w:tabs>
        <w:ind w:left="720" w:hanging="360"/>
      </w:pPr>
      <w:rPr>
        <w:rFonts w:ascii="Wingdings" w:hAnsi="Wingdings" w:hint="default"/>
      </w:rPr>
    </w:lvl>
    <w:lvl w:ilvl="1" w:tplc="E4E85DFC" w:tentative="1">
      <w:start w:val="1"/>
      <w:numFmt w:val="bullet"/>
      <w:lvlText w:val=""/>
      <w:lvlJc w:val="left"/>
      <w:pPr>
        <w:tabs>
          <w:tab w:val="num" w:pos="1440"/>
        </w:tabs>
        <w:ind w:left="1440" w:hanging="360"/>
      </w:pPr>
      <w:rPr>
        <w:rFonts w:ascii="Wingdings" w:hAnsi="Wingdings" w:hint="default"/>
      </w:rPr>
    </w:lvl>
    <w:lvl w:ilvl="2" w:tplc="29FC0670" w:tentative="1">
      <w:start w:val="1"/>
      <w:numFmt w:val="bullet"/>
      <w:lvlText w:val=""/>
      <w:lvlJc w:val="left"/>
      <w:pPr>
        <w:tabs>
          <w:tab w:val="num" w:pos="2160"/>
        </w:tabs>
        <w:ind w:left="2160" w:hanging="360"/>
      </w:pPr>
      <w:rPr>
        <w:rFonts w:ascii="Wingdings" w:hAnsi="Wingdings" w:hint="default"/>
      </w:rPr>
    </w:lvl>
    <w:lvl w:ilvl="3" w:tplc="3E42CE28" w:tentative="1">
      <w:start w:val="1"/>
      <w:numFmt w:val="bullet"/>
      <w:lvlText w:val=""/>
      <w:lvlJc w:val="left"/>
      <w:pPr>
        <w:tabs>
          <w:tab w:val="num" w:pos="2880"/>
        </w:tabs>
        <w:ind w:left="2880" w:hanging="360"/>
      </w:pPr>
      <w:rPr>
        <w:rFonts w:ascii="Wingdings" w:hAnsi="Wingdings" w:hint="default"/>
      </w:rPr>
    </w:lvl>
    <w:lvl w:ilvl="4" w:tplc="6A9445AE" w:tentative="1">
      <w:start w:val="1"/>
      <w:numFmt w:val="bullet"/>
      <w:lvlText w:val=""/>
      <w:lvlJc w:val="left"/>
      <w:pPr>
        <w:tabs>
          <w:tab w:val="num" w:pos="3600"/>
        </w:tabs>
        <w:ind w:left="3600" w:hanging="360"/>
      </w:pPr>
      <w:rPr>
        <w:rFonts w:ascii="Wingdings" w:hAnsi="Wingdings" w:hint="default"/>
      </w:rPr>
    </w:lvl>
    <w:lvl w:ilvl="5" w:tplc="9E20B2F6" w:tentative="1">
      <w:start w:val="1"/>
      <w:numFmt w:val="bullet"/>
      <w:lvlText w:val=""/>
      <w:lvlJc w:val="left"/>
      <w:pPr>
        <w:tabs>
          <w:tab w:val="num" w:pos="4320"/>
        </w:tabs>
        <w:ind w:left="4320" w:hanging="360"/>
      </w:pPr>
      <w:rPr>
        <w:rFonts w:ascii="Wingdings" w:hAnsi="Wingdings" w:hint="default"/>
      </w:rPr>
    </w:lvl>
    <w:lvl w:ilvl="6" w:tplc="29540620" w:tentative="1">
      <w:start w:val="1"/>
      <w:numFmt w:val="bullet"/>
      <w:lvlText w:val=""/>
      <w:lvlJc w:val="left"/>
      <w:pPr>
        <w:tabs>
          <w:tab w:val="num" w:pos="5040"/>
        </w:tabs>
        <w:ind w:left="5040" w:hanging="360"/>
      </w:pPr>
      <w:rPr>
        <w:rFonts w:ascii="Wingdings" w:hAnsi="Wingdings" w:hint="default"/>
      </w:rPr>
    </w:lvl>
    <w:lvl w:ilvl="7" w:tplc="55BC7686" w:tentative="1">
      <w:start w:val="1"/>
      <w:numFmt w:val="bullet"/>
      <w:lvlText w:val=""/>
      <w:lvlJc w:val="left"/>
      <w:pPr>
        <w:tabs>
          <w:tab w:val="num" w:pos="5760"/>
        </w:tabs>
        <w:ind w:left="5760" w:hanging="360"/>
      </w:pPr>
      <w:rPr>
        <w:rFonts w:ascii="Wingdings" w:hAnsi="Wingdings" w:hint="default"/>
      </w:rPr>
    </w:lvl>
    <w:lvl w:ilvl="8" w:tplc="7EBEA39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8FC4B21"/>
    <w:multiLevelType w:val="hybridMultilevel"/>
    <w:tmpl w:val="0602C87E"/>
    <w:lvl w:ilvl="0" w:tplc="1DE2AD2E">
      <w:start w:val="1"/>
      <w:numFmt w:val="bullet"/>
      <w:lvlText w:val=""/>
      <w:lvlJc w:val="left"/>
      <w:pPr>
        <w:tabs>
          <w:tab w:val="num" w:pos="720"/>
        </w:tabs>
        <w:ind w:left="720" w:hanging="360"/>
      </w:pPr>
      <w:rPr>
        <w:rFonts w:ascii="Wingdings" w:hAnsi="Wingdings" w:hint="default"/>
      </w:rPr>
    </w:lvl>
    <w:lvl w:ilvl="1" w:tplc="32764238" w:tentative="1">
      <w:start w:val="1"/>
      <w:numFmt w:val="bullet"/>
      <w:lvlText w:val=""/>
      <w:lvlJc w:val="left"/>
      <w:pPr>
        <w:tabs>
          <w:tab w:val="num" w:pos="1440"/>
        </w:tabs>
        <w:ind w:left="1440" w:hanging="360"/>
      </w:pPr>
      <w:rPr>
        <w:rFonts w:ascii="Wingdings" w:hAnsi="Wingdings" w:hint="default"/>
      </w:rPr>
    </w:lvl>
    <w:lvl w:ilvl="2" w:tplc="DD965E56" w:tentative="1">
      <w:start w:val="1"/>
      <w:numFmt w:val="bullet"/>
      <w:lvlText w:val=""/>
      <w:lvlJc w:val="left"/>
      <w:pPr>
        <w:tabs>
          <w:tab w:val="num" w:pos="2160"/>
        </w:tabs>
        <w:ind w:left="2160" w:hanging="360"/>
      </w:pPr>
      <w:rPr>
        <w:rFonts w:ascii="Wingdings" w:hAnsi="Wingdings" w:hint="default"/>
      </w:rPr>
    </w:lvl>
    <w:lvl w:ilvl="3" w:tplc="6BB8D0A4" w:tentative="1">
      <w:start w:val="1"/>
      <w:numFmt w:val="bullet"/>
      <w:lvlText w:val=""/>
      <w:lvlJc w:val="left"/>
      <w:pPr>
        <w:tabs>
          <w:tab w:val="num" w:pos="2880"/>
        </w:tabs>
        <w:ind w:left="2880" w:hanging="360"/>
      </w:pPr>
      <w:rPr>
        <w:rFonts w:ascii="Wingdings" w:hAnsi="Wingdings" w:hint="default"/>
      </w:rPr>
    </w:lvl>
    <w:lvl w:ilvl="4" w:tplc="D01EADA0" w:tentative="1">
      <w:start w:val="1"/>
      <w:numFmt w:val="bullet"/>
      <w:lvlText w:val=""/>
      <w:lvlJc w:val="left"/>
      <w:pPr>
        <w:tabs>
          <w:tab w:val="num" w:pos="3600"/>
        </w:tabs>
        <w:ind w:left="3600" w:hanging="360"/>
      </w:pPr>
      <w:rPr>
        <w:rFonts w:ascii="Wingdings" w:hAnsi="Wingdings" w:hint="default"/>
      </w:rPr>
    </w:lvl>
    <w:lvl w:ilvl="5" w:tplc="762E1FC0" w:tentative="1">
      <w:start w:val="1"/>
      <w:numFmt w:val="bullet"/>
      <w:lvlText w:val=""/>
      <w:lvlJc w:val="left"/>
      <w:pPr>
        <w:tabs>
          <w:tab w:val="num" w:pos="4320"/>
        </w:tabs>
        <w:ind w:left="4320" w:hanging="360"/>
      </w:pPr>
      <w:rPr>
        <w:rFonts w:ascii="Wingdings" w:hAnsi="Wingdings" w:hint="default"/>
      </w:rPr>
    </w:lvl>
    <w:lvl w:ilvl="6" w:tplc="8C0AE93E" w:tentative="1">
      <w:start w:val="1"/>
      <w:numFmt w:val="bullet"/>
      <w:lvlText w:val=""/>
      <w:lvlJc w:val="left"/>
      <w:pPr>
        <w:tabs>
          <w:tab w:val="num" w:pos="5040"/>
        </w:tabs>
        <w:ind w:left="5040" w:hanging="360"/>
      </w:pPr>
      <w:rPr>
        <w:rFonts w:ascii="Wingdings" w:hAnsi="Wingdings" w:hint="default"/>
      </w:rPr>
    </w:lvl>
    <w:lvl w:ilvl="7" w:tplc="9D568F60" w:tentative="1">
      <w:start w:val="1"/>
      <w:numFmt w:val="bullet"/>
      <w:lvlText w:val=""/>
      <w:lvlJc w:val="left"/>
      <w:pPr>
        <w:tabs>
          <w:tab w:val="num" w:pos="5760"/>
        </w:tabs>
        <w:ind w:left="5760" w:hanging="360"/>
      </w:pPr>
      <w:rPr>
        <w:rFonts w:ascii="Wingdings" w:hAnsi="Wingdings" w:hint="default"/>
      </w:rPr>
    </w:lvl>
    <w:lvl w:ilvl="8" w:tplc="EAA68AE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1AF16BF"/>
    <w:multiLevelType w:val="hybridMultilevel"/>
    <w:tmpl w:val="C46AD0F2"/>
    <w:lvl w:ilvl="0" w:tplc="48C4DF2C">
      <w:start w:val="1"/>
      <w:numFmt w:val="bullet"/>
      <w:lvlText w:val=""/>
      <w:lvlJc w:val="left"/>
      <w:pPr>
        <w:tabs>
          <w:tab w:val="num" w:pos="720"/>
        </w:tabs>
        <w:ind w:left="720" w:hanging="360"/>
      </w:pPr>
      <w:rPr>
        <w:rFonts w:ascii="Wingdings" w:hAnsi="Wingdings" w:hint="default"/>
      </w:rPr>
    </w:lvl>
    <w:lvl w:ilvl="1" w:tplc="502AEC9A" w:tentative="1">
      <w:start w:val="1"/>
      <w:numFmt w:val="bullet"/>
      <w:lvlText w:val=""/>
      <w:lvlJc w:val="left"/>
      <w:pPr>
        <w:tabs>
          <w:tab w:val="num" w:pos="1440"/>
        </w:tabs>
        <w:ind w:left="1440" w:hanging="360"/>
      </w:pPr>
      <w:rPr>
        <w:rFonts w:ascii="Wingdings" w:hAnsi="Wingdings" w:hint="default"/>
      </w:rPr>
    </w:lvl>
    <w:lvl w:ilvl="2" w:tplc="67883D9E" w:tentative="1">
      <w:start w:val="1"/>
      <w:numFmt w:val="bullet"/>
      <w:lvlText w:val=""/>
      <w:lvlJc w:val="left"/>
      <w:pPr>
        <w:tabs>
          <w:tab w:val="num" w:pos="2160"/>
        </w:tabs>
        <w:ind w:left="2160" w:hanging="360"/>
      </w:pPr>
      <w:rPr>
        <w:rFonts w:ascii="Wingdings" w:hAnsi="Wingdings" w:hint="default"/>
      </w:rPr>
    </w:lvl>
    <w:lvl w:ilvl="3" w:tplc="67AEE890" w:tentative="1">
      <w:start w:val="1"/>
      <w:numFmt w:val="bullet"/>
      <w:lvlText w:val=""/>
      <w:lvlJc w:val="left"/>
      <w:pPr>
        <w:tabs>
          <w:tab w:val="num" w:pos="2880"/>
        </w:tabs>
        <w:ind w:left="2880" w:hanging="360"/>
      </w:pPr>
      <w:rPr>
        <w:rFonts w:ascii="Wingdings" w:hAnsi="Wingdings" w:hint="default"/>
      </w:rPr>
    </w:lvl>
    <w:lvl w:ilvl="4" w:tplc="5CE8C4C4" w:tentative="1">
      <w:start w:val="1"/>
      <w:numFmt w:val="bullet"/>
      <w:lvlText w:val=""/>
      <w:lvlJc w:val="left"/>
      <w:pPr>
        <w:tabs>
          <w:tab w:val="num" w:pos="3600"/>
        </w:tabs>
        <w:ind w:left="3600" w:hanging="360"/>
      </w:pPr>
      <w:rPr>
        <w:rFonts w:ascii="Wingdings" w:hAnsi="Wingdings" w:hint="default"/>
      </w:rPr>
    </w:lvl>
    <w:lvl w:ilvl="5" w:tplc="3C52876C" w:tentative="1">
      <w:start w:val="1"/>
      <w:numFmt w:val="bullet"/>
      <w:lvlText w:val=""/>
      <w:lvlJc w:val="left"/>
      <w:pPr>
        <w:tabs>
          <w:tab w:val="num" w:pos="4320"/>
        </w:tabs>
        <w:ind w:left="4320" w:hanging="360"/>
      </w:pPr>
      <w:rPr>
        <w:rFonts w:ascii="Wingdings" w:hAnsi="Wingdings" w:hint="default"/>
      </w:rPr>
    </w:lvl>
    <w:lvl w:ilvl="6" w:tplc="D3B8E64C" w:tentative="1">
      <w:start w:val="1"/>
      <w:numFmt w:val="bullet"/>
      <w:lvlText w:val=""/>
      <w:lvlJc w:val="left"/>
      <w:pPr>
        <w:tabs>
          <w:tab w:val="num" w:pos="5040"/>
        </w:tabs>
        <w:ind w:left="5040" w:hanging="360"/>
      </w:pPr>
      <w:rPr>
        <w:rFonts w:ascii="Wingdings" w:hAnsi="Wingdings" w:hint="default"/>
      </w:rPr>
    </w:lvl>
    <w:lvl w:ilvl="7" w:tplc="961AE84A" w:tentative="1">
      <w:start w:val="1"/>
      <w:numFmt w:val="bullet"/>
      <w:lvlText w:val=""/>
      <w:lvlJc w:val="left"/>
      <w:pPr>
        <w:tabs>
          <w:tab w:val="num" w:pos="5760"/>
        </w:tabs>
        <w:ind w:left="5760" w:hanging="360"/>
      </w:pPr>
      <w:rPr>
        <w:rFonts w:ascii="Wingdings" w:hAnsi="Wingdings" w:hint="default"/>
      </w:rPr>
    </w:lvl>
    <w:lvl w:ilvl="8" w:tplc="ED72EFD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E7D4A65"/>
    <w:multiLevelType w:val="hybridMultilevel"/>
    <w:tmpl w:val="15582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EE860CA"/>
    <w:multiLevelType w:val="hybridMultilevel"/>
    <w:tmpl w:val="DAF81972"/>
    <w:lvl w:ilvl="0" w:tplc="93A21666">
      <w:start w:val="1"/>
      <w:numFmt w:val="bullet"/>
      <w:lvlText w:val=""/>
      <w:lvlJc w:val="left"/>
      <w:pPr>
        <w:tabs>
          <w:tab w:val="num" w:pos="720"/>
        </w:tabs>
        <w:ind w:left="720" w:hanging="360"/>
      </w:pPr>
      <w:rPr>
        <w:rFonts w:ascii="Wingdings" w:hAnsi="Wingdings" w:hint="default"/>
      </w:rPr>
    </w:lvl>
    <w:lvl w:ilvl="1" w:tplc="B9CEC658" w:tentative="1">
      <w:start w:val="1"/>
      <w:numFmt w:val="bullet"/>
      <w:lvlText w:val=""/>
      <w:lvlJc w:val="left"/>
      <w:pPr>
        <w:tabs>
          <w:tab w:val="num" w:pos="1440"/>
        </w:tabs>
        <w:ind w:left="1440" w:hanging="360"/>
      </w:pPr>
      <w:rPr>
        <w:rFonts w:ascii="Wingdings" w:hAnsi="Wingdings" w:hint="default"/>
      </w:rPr>
    </w:lvl>
    <w:lvl w:ilvl="2" w:tplc="AD422B3E" w:tentative="1">
      <w:start w:val="1"/>
      <w:numFmt w:val="bullet"/>
      <w:lvlText w:val=""/>
      <w:lvlJc w:val="left"/>
      <w:pPr>
        <w:tabs>
          <w:tab w:val="num" w:pos="2160"/>
        </w:tabs>
        <w:ind w:left="2160" w:hanging="360"/>
      </w:pPr>
      <w:rPr>
        <w:rFonts w:ascii="Wingdings" w:hAnsi="Wingdings" w:hint="default"/>
      </w:rPr>
    </w:lvl>
    <w:lvl w:ilvl="3" w:tplc="3D4E2D58" w:tentative="1">
      <w:start w:val="1"/>
      <w:numFmt w:val="bullet"/>
      <w:lvlText w:val=""/>
      <w:lvlJc w:val="left"/>
      <w:pPr>
        <w:tabs>
          <w:tab w:val="num" w:pos="2880"/>
        </w:tabs>
        <w:ind w:left="2880" w:hanging="360"/>
      </w:pPr>
      <w:rPr>
        <w:rFonts w:ascii="Wingdings" w:hAnsi="Wingdings" w:hint="default"/>
      </w:rPr>
    </w:lvl>
    <w:lvl w:ilvl="4" w:tplc="EFB0F1E6" w:tentative="1">
      <w:start w:val="1"/>
      <w:numFmt w:val="bullet"/>
      <w:lvlText w:val=""/>
      <w:lvlJc w:val="left"/>
      <w:pPr>
        <w:tabs>
          <w:tab w:val="num" w:pos="3600"/>
        </w:tabs>
        <w:ind w:left="3600" w:hanging="360"/>
      </w:pPr>
      <w:rPr>
        <w:rFonts w:ascii="Wingdings" w:hAnsi="Wingdings" w:hint="default"/>
      </w:rPr>
    </w:lvl>
    <w:lvl w:ilvl="5" w:tplc="940CFF58" w:tentative="1">
      <w:start w:val="1"/>
      <w:numFmt w:val="bullet"/>
      <w:lvlText w:val=""/>
      <w:lvlJc w:val="left"/>
      <w:pPr>
        <w:tabs>
          <w:tab w:val="num" w:pos="4320"/>
        </w:tabs>
        <w:ind w:left="4320" w:hanging="360"/>
      </w:pPr>
      <w:rPr>
        <w:rFonts w:ascii="Wingdings" w:hAnsi="Wingdings" w:hint="default"/>
      </w:rPr>
    </w:lvl>
    <w:lvl w:ilvl="6" w:tplc="7BC46F52" w:tentative="1">
      <w:start w:val="1"/>
      <w:numFmt w:val="bullet"/>
      <w:lvlText w:val=""/>
      <w:lvlJc w:val="left"/>
      <w:pPr>
        <w:tabs>
          <w:tab w:val="num" w:pos="5040"/>
        </w:tabs>
        <w:ind w:left="5040" w:hanging="360"/>
      </w:pPr>
      <w:rPr>
        <w:rFonts w:ascii="Wingdings" w:hAnsi="Wingdings" w:hint="default"/>
      </w:rPr>
    </w:lvl>
    <w:lvl w:ilvl="7" w:tplc="40DCAC12" w:tentative="1">
      <w:start w:val="1"/>
      <w:numFmt w:val="bullet"/>
      <w:lvlText w:val=""/>
      <w:lvlJc w:val="left"/>
      <w:pPr>
        <w:tabs>
          <w:tab w:val="num" w:pos="5760"/>
        </w:tabs>
        <w:ind w:left="5760" w:hanging="360"/>
      </w:pPr>
      <w:rPr>
        <w:rFonts w:ascii="Wingdings" w:hAnsi="Wingdings" w:hint="default"/>
      </w:rPr>
    </w:lvl>
    <w:lvl w:ilvl="8" w:tplc="9CCA86FC"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5E12A6F"/>
    <w:multiLevelType w:val="hybridMultilevel"/>
    <w:tmpl w:val="1FD0C8E6"/>
    <w:lvl w:ilvl="0" w:tplc="BFF01138">
      <w:start w:val="1"/>
      <w:numFmt w:val="bullet"/>
      <w:lvlText w:val=""/>
      <w:lvlJc w:val="left"/>
      <w:pPr>
        <w:tabs>
          <w:tab w:val="num" w:pos="720"/>
        </w:tabs>
        <w:ind w:left="720" w:hanging="360"/>
      </w:pPr>
      <w:rPr>
        <w:rFonts w:ascii="Wingdings" w:hAnsi="Wingdings" w:hint="default"/>
      </w:rPr>
    </w:lvl>
    <w:lvl w:ilvl="1" w:tplc="15DE2530" w:tentative="1">
      <w:start w:val="1"/>
      <w:numFmt w:val="bullet"/>
      <w:lvlText w:val=""/>
      <w:lvlJc w:val="left"/>
      <w:pPr>
        <w:tabs>
          <w:tab w:val="num" w:pos="1440"/>
        </w:tabs>
        <w:ind w:left="1440" w:hanging="360"/>
      </w:pPr>
      <w:rPr>
        <w:rFonts w:ascii="Wingdings" w:hAnsi="Wingdings" w:hint="default"/>
      </w:rPr>
    </w:lvl>
    <w:lvl w:ilvl="2" w:tplc="F41EAE8A" w:tentative="1">
      <w:start w:val="1"/>
      <w:numFmt w:val="bullet"/>
      <w:lvlText w:val=""/>
      <w:lvlJc w:val="left"/>
      <w:pPr>
        <w:tabs>
          <w:tab w:val="num" w:pos="2160"/>
        </w:tabs>
        <w:ind w:left="2160" w:hanging="360"/>
      </w:pPr>
      <w:rPr>
        <w:rFonts w:ascii="Wingdings" w:hAnsi="Wingdings" w:hint="default"/>
      </w:rPr>
    </w:lvl>
    <w:lvl w:ilvl="3" w:tplc="746232EA" w:tentative="1">
      <w:start w:val="1"/>
      <w:numFmt w:val="bullet"/>
      <w:lvlText w:val=""/>
      <w:lvlJc w:val="left"/>
      <w:pPr>
        <w:tabs>
          <w:tab w:val="num" w:pos="2880"/>
        </w:tabs>
        <w:ind w:left="2880" w:hanging="360"/>
      </w:pPr>
      <w:rPr>
        <w:rFonts w:ascii="Wingdings" w:hAnsi="Wingdings" w:hint="default"/>
      </w:rPr>
    </w:lvl>
    <w:lvl w:ilvl="4" w:tplc="91C6D25C" w:tentative="1">
      <w:start w:val="1"/>
      <w:numFmt w:val="bullet"/>
      <w:lvlText w:val=""/>
      <w:lvlJc w:val="left"/>
      <w:pPr>
        <w:tabs>
          <w:tab w:val="num" w:pos="3600"/>
        </w:tabs>
        <w:ind w:left="3600" w:hanging="360"/>
      </w:pPr>
      <w:rPr>
        <w:rFonts w:ascii="Wingdings" w:hAnsi="Wingdings" w:hint="default"/>
      </w:rPr>
    </w:lvl>
    <w:lvl w:ilvl="5" w:tplc="B9AA251C" w:tentative="1">
      <w:start w:val="1"/>
      <w:numFmt w:val="bullet"/>
      <w:lvlText w:val=""/>
      <w:lvlJc w:val="left"/>
      <w:pPr>
        <w:tabs>
          <w:tab w:val="num" w:pos="4320"/>
        </w:tabs>
        <w:ind w:left="4320" w:hanging="360"/>
      </w:pPr>
      <w:rPr>
        <w:rFonts w:ascii="Wingdings" w:hAnsi="Wingdings" w:hint="default"/>
      </w:rPr>
    </w:lvl>
    <w:lvl w:ilvl="6" w:tplc="11543E00" w:tentative="1">
      <w:start w:val="1"/>
      <w:numFmt w:val="bullet"/>
      <w:lvlText w:val=""/>
      <w:lvlJc w:val="left"/>
      <w:pPr>
        <w:tabs>
          <w:tab w:val="num" w:pos="5040"/>
        </w:tabs>
        <w:ind w:left="5040" w:hanging="360"/>
      </w:pPr>
      <w:rPr>
        <w:rFonts w:ascii="Wingdings" w:hAnsi="Wingdings" w:hint="default"/>
      </w:rPr>
    </w:lvl>
    <w:lvl w:ilvl="7" w:tplc="D3BC6E98" w:tentative="1">
      <w:start w:val="1"/>
      <w:numFmt w:val="bullet"/>
      <w:lvlText w:val=""/>
      <w:lvlJc w:val="left"/>
      <w:pPr>
        <w:tabs>
          <w:tab w:val="num" w:pos="5760"/>
        </w:tabs>
        <w:ind w:left="5760" w:hanging="360"/>
      </w:pPr>
      <w:rPr>
        <w:rFonts w:ascii="Wingdings" w:hAnsi="Wingdings" w:hint="default"/>
      </w:rPr>
    </w:lvl>
    <w:lvl w:ilvl="8" w:tplc="4F6C331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65D1959"/>
    <w:multiLevelType w:val="hybridMultilevel"/>
    <w:tmpl w:val="322C327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
  </w:num>
  <w:num w:numId="3">
    <w:abstractNumId w:val="9"/>
  </w:num>
  <w:num w:numId="4">
    <w:abstractNumId w:val="8"/>
  </w:num>
  <w:num w:numId="5">
    <w:abstractNumId w:val="3"/>
  </w:num>
  <w:num w:numId="6">
    <w:abstractNumId w:val="5"/>
  </w:num>
  <w:num w:numId="7">
    <w:abstractNumId w:val="4"/>
  </w:num>
  <w:num w:numId="8">
    <w:abstractNumId w:val="0"/>
  </w:num>
  <w:num w:numId="9">
    <w:abstractNumId w:val="7"/>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ACC"/>
    <w:rsid w:val="000031A8"/>
    <w:rsid w:val="00023E81"/>
    <w:rsid w:val="000407D0"/>
    <w:rsid w:val="00043F2C"/>
    <w:rsid w:val="00051BD9"/>
    <w:rsid w:val="00056E13"/>
    <w:rsid w:val="000641F4"/>
    <w:rsid w:val="00065A61"/>
    <w:rsid w:val="00065AAA"/>
    <w:rsid w:val="00065CCE"/>
    <w:rsid w:val="00067A86"/>
    <w:rsid w:val="00067D4D"/>
    <w:rsid w:val="000703ED"/>
    <w:rsid w:val="00090BFE"/>
    <w:rsid w:val="000919F6"/>
    <w:rsid w:val="000A4D35"/>
    <w:rsid w:val="000A57A6"/>
    <w:rsid w:val="000B1BE1"/>
    <w:rsid w:val="000E4889"/>
    <w:rsid w:val="000F4FF0"/>
    <w:rsid w:val="0010093E"/>
    <w:rsid w:val="00110873"/>
    <w:rsid w:val="00136089"/>
    <w:rsid w:val="001369AF"/>
    <w:rsid w:val="00175466"/>
    <w:rsid w:val="00184F94"/>
    <w:rsid w:val="0019153C"/>
    <w:rsid w:val="00193608"/>
    <w:rsid w:val="001A4DC9"/>
    <w:rsid w:val="001B6796"/>
    <w:rsid w:val="00203A26"/>
    <w:rsid w:val="00213811"/>
    <w:rsid w:val="002648F0"/>
    <w:rsid w:val="002A6AE3"/>
    <w:rsid w:val="002A6FDA"/>
    <w:rsid w:val="002B0F6B"/>
    <w:rsid w:val="002B7261"/>
    <w:rsid w:val="002C7646"/>
    <w:rsid w:val="00310C66"/>
    <w:rsid w:val="00316787"/>
    <w:rsid w:val="00337E75"/>
    <w:rsid w:val="0035686A"/>
    <w:rsid w:val="00364E93"/>
    <w:rsid w:val="0036572C"/>
    <w:rsid w:val="003836E8"/>
    <w:rsid w:val="003B4299"/>
    <w:rsid w:val="003E57BB"/>
    <w:rsid w:val="004037D9"/>
    <w:rsid w:val="00410F08"/>
    <w:rsid w:val="00411CFD"/>
    <w:rsid w:val="00412A74"/>
    <w:rsid w:val="004173C4"/>
    <w:rsid w:val="00421540"/>
    <w:rsid w:val="00421E2C"/>
    <w:rsid w:val="004436FC"/>
    <w:rsid w:val="00465893"/>
    <w:rsid w:val="00480815"/>
    <w:rsid w:val="00487FD9"/>
    <w:rsid w:val="004A14D6"/>
    <w:rsid w:val="004A28F9"/>
    <w:rsid w:val="004C443D"/>
    <w:rsid w:val="004C4A2A"/>
    <w:rsid w:val="004C51B1"/>
    <w:rsid w:val="004D0DBF"/>
    <w:rsid w:val="004D6887"/>
    <w:rsid w:val="004E0189"/>
    <w:rsid w:val="004F1F57"/>
    <w:rsid w:val="004F2EBC"/>
    <w:rsid w:val="004F43F7"/>
    <w:rsid w:val="00505C94"/>
    <w:rsid w:val="005067E5"/>
    <w:rsid w:val="00511A05"/>
    <w:rsid w:val="0051503D"/>
    <w:rsid w:val="00521E14"/>
    <w:rsid w:val="0055702F"/>
    <w:rsid w:val="00562DE3"/>
    <w:rsid w:val="0056531F"/>
    <w:rsid w:val="00573E2E"/>
    <w:rsid w:val="0059462E"/>
    <w:rsid w:val="00596857"/>
    <w:rsid w:val="005A31B3"/>
    <w:rsid w:val="005C1FD0"/>
    <w:rsid w:val="005D3B91"/>
    <w:rsid w:val="005D497D"/>
    <w:rsid w:val="005F563B"/>
    <w:rsid w:val="00602C03"/>
    <w:rsid w:val="00617C5A"/>
    <w:rsid w:val="006255B5"/>
    <w:rsid w:val="006274DE"/>
    <w:rsid w:val="006348DA"/>
    <w:rsid w:val="00635496"/>
    <w:rsid w:val="00636A63"/>
    <w:rsid w:val="006418E1"/>
    <w:rsid w:val="00645D6E"/>
    <w:rsid w:val="00650B25"/>
    <w:rsid w:val="00651648"/>
    <w:rsid w:val="00675F43"/>
    <w:rsid w:val="006B5D18"/>
    <w:rsid w:val="006D3B1D"/>
    <w:rsid w:val="006E401C"/>
    <w:rsid w:val="00722871"/>
    <w:rsid w:val="0073096D"/>
    <w:rsid w:val="00765A58"/>
    <w:rsid w:val="0077041E"/>
    <w:rsid w:val="00782F85"/>
    <w:rsid w:val="007902E0"/>
    <w:rsid w:val="0079150B"/>
    <w:rsid w:val="00791523"/>
    <w:rsid w:val="007B1455"/>
    <w:rsid w:val="007C4A1C"/>
    <w:rsid w:val="007D3A10"/>
    <w:rsid w:val="007D5065"/>
    <w:rsid w:val="007F323F"/>
    <w:rsid w:val="00802868"/>
    <w:rsid w:val="00823CC8"/>
    <w:rsid w:val="00856695"/>
    <w:rsid w:val="00872321"/>
    <w:rsid w:val="008775E2"/>
    <w:rsid w:val="008823AE"/>
    <w:rsid w:val="0088332E"/>
    <w:rsid w:val="00883D90"/>
    <w:rsid w:val="00887C22"/>
    <w:rsid w:val="00893113"/>
    <w:rsid w:val="00895124"/>
    <w:rsid w:val="008A0457"/>
    <w:rsid w:val="008B2A69"/>
    <w:rsid w:val="008D00C5"/>
    <w:rsid w:val="008D1263"/>
    <w:rsid w:val="008E0ACC"/>
    <w:rsid w:val="008F53A0"/>
    <w:rsid w:val="00911483"/>
    <w:rsid w:val="00912784"/>
    <w:rsid w:val="00913510"/>
    <w:rsid w:val="009468BC"/>
    <w:rsid w:val="00956CC8"/>
    <w:rsid w:val="0099016A"/>
    <w:rsid w:val="009A2964"/>
    <w:rsid w:val="009A7D65"/>
    <w:rsid w:val="009B0D0E"/>
    <w:rsid w:val="009D1695"/>
    <w:rsid w:val="009D471B"/>
    <w:rsid w:val="00A04B33"/>
    <w:rsid w:val="00A104FD"/>
    <w:rsid w:val="00A40C3E"/>
    <w:rsid w:val="00A50823"/>
    <w:rsid w:val="00A52128"/>
    <w:rsid w:val="00A56FEF"/>
    <w:rsid w:val="00A76C2B"/>
    <w:rsid w:val="00A81E46"/>
    <w:rsid w:val="00A87577"/>
    <w:rsid w:val="00A9017C"/>
    <w:rsid w:val="00A944B3"/>
    <w:rsid w:val="00AA7AE0"/>
    <w:rsid w:val="00AD265D"/>
    <w:rsid w:val="00AD3445"/>
    <w:rsid w:val="00AD6C3A"/>
    <w:rsid w:val="00AE2CA4"/>
    <w:rsid w:val="00AE733C"/>
    <w:rsid w:val="00AF13B2"/>
    <w:rsid w:val="00B02891"/>
    <w:rsid w:val="00B028DE"/>
    <w:rsid w:val="00B25237"/>
    <w:rsid w:val="00B26753"/>
    <w:rsid w:val="00B27BA5"/>
    <w:rsid w:val="00B46BA0"/>
    <w:rsid w:val="00B50716"/>
    <w:rsid w:val="00B541B4"/>
    <w:rsid w:val="00B56059"/>
    <w:rsid w:val="00B76A52"/>
    <w:rsid w:val="00B77E8E"/>
    <w:rsid w:val="00B91E62"/>
    <w:rsid w:val="00BB4EDA"/>
    <w:rsid w:val="00BB54E0"/>
    <w:rsid w:val="00BB58AD"/>
    <w:rsid w:val="00BF63A8"/>
    <w:rsid w:val="00BF71EB"/>
    <w:rsid w:val="00BF7F75"/>
    <w:rsid w:val="00C0512D"/>
    <w:rsid w:val="00C07365"/>
    <w:rsid w:val="00C14A6B"/>
    <w:rsid w:val="00C17C02"/>
    <w:rsid w:val="00C26003"/>
    <w:rsid w:val="00C31324"/>
    <w:rsid w:val="00C4107A"/>
    <w:rsid w:val="00C85061"/>
    <w:rsid w:val="00C86FA0"/>
    <w:rsid w:val="00CA2BAA"/>
    <w:rsid w:val="00CB6E10"/>
    <w:rsid w:val="00CF6CC8"/>
    <w:rsid w:val="00D13A0D"/>
    <w:rsid w:val="00D23F7C"/>
    <w:rsid w:val="00D26A04"/>
    <w:rsid w:val="00D4726B"/>
    <w:rsid w:val="00D474AD"/>
    <w:rsid w:val="00D53158"/>
    <w:rsid w:val="00D53AF0"/>
    <w:rsid w:val="00D57E55"/>
    <w:rsid w:val="00D60E09"/>
    <w:rsid w:val="00D71F10"/>
    <w:rsid w:val="00DA335B"/>
    <w:rsid w:val="00DB490B"/>
    <w:rsid w:val="00DD3D81"/>
    <w:rsid w:val="00DF2A3D"/>
    <w:rsid w:val="00DF35B2"/>
    <w:rsid w:val="00DF6BE0"/>
    <w:rsid w:val="00E069B9"/>
    <w:rsid w:val="00E16CF3"/>
    <w:rsid w:val="00E16ED7"/>
    <w:rsid w:val="00E3615E"/>
    <w:rsid w:val="00E517F0"/>
    <w:rsid w:val="00E61B2F"/>
    <w:rsid w:val="00E63958"/>
    <w:rsid w:val="00E67FB8"/>
    <w:rsid w:val="00E86048"/>
    <w:rsid w:val="00EA3DCC"/>
    <w:rsid w:val="00EB041D"/>
    <w:rsid w:val="00EB444C"/>
    <w:rsid w:val="00EC1734"/>
    <w:rsid w:val="00EE5B96"/>
    <w:rsid w:val="00EE727F"/>
    <w:rsid w:val="00EF0D1B"/>
    <w:rsid w:val="00F00EDD"/>
    <w:rsid w:val="00F10736"/>
    <w:rsid w:val="00F14B28"/>
    <w:rsid w:val="00F22CED"/>
    <w:rsid w:val="00F24F1E"/>
    <w:rsid w:val="00F25EA7"/>
    <w:rsid w:val="00F3712A"/>
    <w:rsid w:val="00F510D5"/>
    <w:rsid w:val="00F955B7"/>
    <w:rsid w:val="00F963FB"/>
    <w:rsid w:val="00F96CF1"/>
    <w:rsid w:val="00F975CB"/>
    <w:rsid w:val="00FA2AE4"/>
    <w:rsid w:val="00FB06BA"/>
    <w:rsid w:val="00FC6840"/>
    <w:rsid w:val="00FD2FEE"/>
    <w:rsid w:val="00FE09B3"/>
    <w:rsid w:val="00FE2B62"/>
    <w:rsid w:val="00FF07D6"/>
    <w:rsid w:val="00FF22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646BE6"/>
  <w15:chartTrackingRefBased/>
  <w15:docId w15:val="{399B4BF3-7A08-43A1-9CCE-EA5EC4DC9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3B91"/>
    <w:pPr>
      <w:spacing w:after="0" w:line="480" w:lineRule="auto"/>
      <w:ind w:left="14" w:hanging="14"/>
    </w:pPr>
    <w:rPr>
      <w:rFonts w:ascii="Arial" w:eastAsia="Arial" w:hAnsi="Arial" w:cs="Arial"/>
      <w:color w:val="000000"/>
      <w:sz w:val="24"/>
    </w:rPr>
  </w:style>
  <w:style w:type="paragraph" w:styleId="Heading1">
    <w:name w:val="heading 1"/>
    <w:next w:val="Normal"/>
    <w:link w:val="Heading1Char"/>
    <w:uiPriority w:val="9"/>
    <w:qFormat/>
    <w:rsid w:val="008E0ACC"/>
    <w:pPr>
      <w:keepNext/>
      <w:keepLines/>
      <w:spacing w:after="0" w:line="240" w:lineRule="auto"/>
      <w:ind w:left="14" w:hanging="14"/>
      <w:outlineLvl w:val="0"/>
    </w:pPr>
    <w:rPr>
      <w:rFonts w:ascii="Arial" w:eastAsiaTheme="majorEastAsia" w:hAnsi="Arial" w:cstheme="majorBidi"/>
      <w:b/>
      <w:sz w:val="24"/>
      <w:szCs w:val="32"/>
      <w:u w:val="single"/>
    </w:rPr>
  </w:style>
  <w:style w:type="paragraph" w:styleId="Heading2">
    <w:name w:val="heading 2"/>
    <w:basedOn w:val="Normal"/>
    <w:next w:val="Normal"/>
    <w:link w:val="Heading2Char"/>
    <w:uiPriority w:val="9"/>
    <w:unhideWhenUsed/>
    <w:qFormat/>
    <w:rsid w:val="005D3B91"/>
    <w:pPr>
      <w:keepNext/>
      <w:keepLines/>
      <w:outlineLvl w:val="1"/>
    </w:pPr>
    <w:rPr>
      <w:rFonts w:eastAsiaTheme="majorEastAsia" w:cstheme="majorBidi"/>
      <w:b/>
      <w:color w:val="auto"/>
      <w:szCs w:val="26"/>
    </w:rPr>
  </w:style>
  <w:style w:type="paragraph" w:styleId="Heading3">
    <w:name w:val="heading 3"/>
    <w:basedOn w:val="Normal"/>
    <w:next w:val="Normal"/>
    <w:link w:val="Heading3Char"/>
    <w:uiPriority w:val="9"/>
    <w:unhideWhenUsed/>
    <w:qFormat/>
    <w:rsid w:val="00A52128"/>
    <w:pPr>
      <w:keepNext/>
      <w:keepLines/>
      <w:spacing w:before="40"/>
      <w:outlineLvl w:val="2"/>
    </w:pPr>
    <w:rPr>
      <w:rFonts w:eastAsiaTheme="majorEastAsia" w:cstheme="majorBidi"/>
      <w:color w:val="auto"/>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E0ACC"/>
    <w:pPr>
      <w:spacing w:after="0" w:line="240" w:lineRule="auto"/>
    </w:pPr>
  </w:style>
  <w:style w:type="character" w:customStyle="1" w:styleId="Heading1Char">
    <w:name w:val="Heading 1 Char"/>
    <w:basedOn w:val="DefaultParagraphFont"/>
    <w:link w:val="Heading1"/>
    <w:uiPriority w:val="9"/>
    <w:rsid w:val="008E0ACC"/>
    <w:rPr>
      <w:rFonts w:ascii="Arial" w:eastAsiaTheme="majorEastAsia" w:hAnsi="Arial" w:cstheme="majorBidi"/>
      <w:b/>
      <w:sz w:val="24"/>
      <w:szCs w:val="32"/>
      <w:u w:val="single"/>
    </w:rPr>
  </w:style>
  <w:style w:type="character" w:customStyle="1" w:styleId="Heading2Char">
    <w:name w:val="Heading 2 Char"/>
    <w:basedOn w:val="DefaultParagraphFont"/>
    <w:link w:val="Heading2"/>
    <w:uiPriority w:val="9"/>
    <w:rsid w:val="005D3B91"/>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A52128"/>
    <w:rPr>
      <w:rFonts w:ascii="Arial" w:eastAsiaTheme="majorEastAsia" w:hAnsi="Arial" w:cstheme="majorBidi"/>
      <w:sz w:val="24"/>
      <w:szCs w:val="24"/>
      <w:u w:val="single"/>
    </w:rPr>
  </w:style>
  <w:style w:type="character" w:styleId="Hyperlink">
    <w:name w:val="Hyperlink"/>
    <w:basedOn w:val="DefaultParagraphFont"/>
    <w:uiPriority w:val="99"/>
    <w:unhideWhenUsed/>
    <w:rsid w:val="008E0ACC"/>
    <w:rPr>
      <w:color w:val="0563C1" w:themeColor="hyperlink"/>
      <w:u w:val="single"/>
    </w:rPr>
  </w:style>
  <w:style w:type="paragraph" w:styleId="ListParagraph">
    <w:name w:val="List Paragraph"/>
    <w:basedOn w:val="Normal"/>
    <w:uiPriority w:val="34"/>
    <w:qFormat/>
    <w:rsid w:val="008E0ACC"/>
    <w:pPr>
      <w:ind w:left="720"/>
      <w:contextualSpacing/>
    </w:pPr>
  </w:style>
  <w:style w:type="paragraph" w:styleId="Footer">
    <w:name w:val="footer"/>
    <w:basedOn w:val="Normal"/>
    <w:link w:val="FooterChar"/>
    <w:uiPriority w:val="99"/>
    <w:unhideWhenUsed/>
    <w:rsid w:val="008E0ACC"/>
    <w:pPr>
      <w:tabs>
        <w:tab w:val="center" w:pos="4680"/>
        <w:tab w:val="right" w:pos="9360"/>
      </w:tabs>
      <w:spacing w:line="240" w:lineRule="auto"/>
    </w:pPr>
  </w:style>
  <w:style w:type="character" w:customStyle="1" w:styleId="FooterChar">
    <w:name w:val="Footer Char"/>
    <w:basedOn w:val="DefaultParagraphFont"/>
    <w:link w:val="Footer"/>
    <w:uiPriority w:val="99"/>
    <w:rsid w:val="008E0ACC"/>
    <w:rPr>
      <w:rFonts w:ascii="Arial" w:eastAsia="Arial" w:hAnsi="Arial" w:cs="Arial"/>
      <w:color w:val="000000"/>
    </w:rPr>
  </w:style>
  <w:style w:type="character" w:styleId="CommentReference">
    <w:name w:val="annotation reference"/>
    <w:basedOn w:val="DefaultParagraphFont"/>
    <w:uiPriority w:val="99"/>
    <w:semiHidden/>
    <w:unhideWhenUsed/>
    <w:rsid w:val="00B27BA5"/>
    <w:rPr>
      <w:sz w:val="16"/>
      <w:szCs w:val="16"/>
    </w:rPr>
  </w:style>
  <w:style w:type="paragraph" w:styleId="CommentText">
    <w:name w:val="annotation text"/>
    <w:basedOn w:val="Normal"/>
    <w:link w:val="CommentTextChar"/>
    <w:uiPriority w:val="99"/>
    <w:unhideWhenUsed/>
    <w:rsid w:val="00B27BA5"/>
    <w:pPr>
      <w:spacing w:line="240" w:lineRule="auto"/>
    </w:pPr>
    <w:rPr>
      <w:sz w:val="20"/>
      <w:szCs w:val="20"/>
    </w:rPr>
  </w:style>
  <w:style w:type="character" w:customStyle="1" w:styleId="CommentTextChar">
    <w:name w:val="Comment Text Char"/>
    <w:basedOn w:val="DefaultParagraphFont"/>
    <w:link w:val="CommentText"/>
    <w:uiPriority w:val="99"/>
    <w:rsid w:val="00B27BA5"/>
    <w:rPr>
      <w:rFonts w:ascii="Arial" w:eastAsia="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B27BA5"/>
    <w:rPr>
      <w:b/>
      <w:bCs/>
    </w:rPr>
  </w:style>
  <w:style w:type="character" w:customStyle="1" w:styleId="CommentSubjectChar">
    <w:name w:val="Comment Subject Char"/>
    <w:basedOn w:val="CommentTextChar"/>
    <w:link w:val="CommentSubject"/>
    <w:uiPriority w:val="99"/>
    <w:semiHidden/>
    <w:rsid w:val="00B27BA5"/>
    <w:rPr>
      <w:rFonts w:ascii="Arial" w:eastAsia="Arial" w:hAnsi="Arial" w:cs="Arial"/>
      <w:b/>
      <w:bCs/>
      <w:color w:val="000000"/>
      <w:sz w:val="20"/>
      <w:szCs w:val="20"/>
    </w:rPr>
  </w:style>
  <w:style w:type="character" w:styleId="LineNumber">
    <w:name w:val="line number"/>
    <w:basedOn w:val="DefaultParagraphFont"/>
    <w:uiPriority w:val="99"/>
    <w:semiHidden/>
    <w:unhideWhenUsed/>
    <w:rsid w:val="00802868"/>
  </w:style>
  <w:style w:type="paragraph" w:styleId="Revision">
    <w:name w:val="Revision"/>
    <w:hidden/>
    <w:uiPriority w:val="99"/>
    <w:semiHidden/>
    <w:rsid w:val="00823CC8"/>
    <w:pPr>
      <w:spacing w:after="0" w:line="240" w:lineRule="auto"/>
    </w:pPr>
    <w:rPr>
      <w:rFonts w:ascii="Arial" w:eastAsia="Arial" w:hAnsi="Arial" w:cs="Arial"/>
      <w:color w:val="000000"/>
      <w:sz w:val="24"/>
    </w:rPr>
  </w:style>
  <w:style w:type="paragraph" w:styleId="TOCHeading">
    <w:name w:val="TOC Heading"/>
    <w:basedOn w:val="Heading1"/>
    <w:next w:val="Normal"/>
    <w:uiPriority w:val="39"/>
    <w:unhideWhenUsed/>
    <w:qFormat/>
    <w:rsid w:val="000031A8"/>
    <w:pPr>
      <w:spacing w:before="240" w:line="259" w:lineRule="auto"/>
      <w:ind w:left="0" w:firstLine="0"/>
      <w:outlineLvl w:val="9"/>
    </w:pPr>
    <w:rPr>
      <w:rFonts w:asciiTheme="majorHAnsi" w:hAnsiTheme="majorHAnsi"/>
      <w:b w:val="0"/>
      <w:color w:val="2F5496" w:themeColor="accent1" w:themeShade="BF"/>
      <w:sz w:val="32"/>
      <w:u w:val="none"/>
    </w:rPr>
  </w:style>
  <w:style w:type="paragraph" w:styleId="TOC2">
    <w:name w:val="toc 2"/>
    <w:basedOn w:val="Normal"/>
    <w:next w:val="Normal"/>
    <w:autoRedefine/>
    <w:uiPriority w:val="39"/>
    <w:unhideWhenUsed/>
    <w:rsid w:val="00765A58"/>
    <w:pPr>
      <w:tabs>
        <w:tab w:val="right" w:leader="dot" w:pos="9350"/>
      </w:tabs>
      <w:spacing w:line="240" w:lineRule="auto"/>
      <w:ind w:left="244"/>
    </w:pPr>
  </w:style>
  <w:style w:type="paragraph" w:styleId="TOC3">
    <w:name w:val="toc 3"/>
    <w:basedOn w:val="Normal"/>
    <w:next w:val="Normal"/>
    <w:autoRedefine/>
    <w:uiPriority w:val="39"/>
    <w:unhideWhenUsed/>
    <w:rsid w:val="00765A58"/>
    <w:pPr>
      <w:tabs>
        <w:tab w:val="right" w:leader="dot" w:pos="9350"/>
      </w:tabs>
      <w:spacing w:line="240" w:lineRule="auto"/>
      <w:ind w:left="475"/>
    </w:pPr>
  </w:style>
  <w:style w:type="paragraph" w:styleId="TOC1">
    <w:name w:val="toc 1"/>
    <w:basedOn w:val="Normal"/>
    <w:next w:val="Normal"/>
    <w:autoRedefine/>
    <w:uiPriority w:val="39"/>
    <w:unhideWhenUsed/>
    <w:rsid w:val="00A944B3"/>
    <w:pPr>
      <w:tabs>
        <w:tab w:val="right" w:leader="dot" w:pos="9350"/>
      </w:tabs>
      <w:spacing w:line="240" w:lineRule="auto"/>
      <w:ind w:lef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429363">
      <w:bodyDiv w:val="1"/>
      <w:marLeft w:val="0"/>
      <w:marRight w:val="0"/>
      <w:marTop w:val="0"/>
      <w:marBottom w:val="0"/>
      <w:divBdr>
        <w:top w:val="none" w:sz="0" w:space="0" w:color="auto"/>
        <w:left w:val="none" w:sz="0" w:space="0" w:color="auto"/>
        <w:bottom w:val="none" w:sz="0" w:space="0" w:color="auto"/>
        <w:right w:val="none" w:sz="0" w:space="0" w:color="auto"/>
      </w:divBdr>
    </w:div>
    <w:div w:id="859708631">
      <w:bodyDiv w:val="1"/>
      <w:marLeft w:val="0"/>
      <w:marRight w:val="0"/>
      <w:marTop w:val="0"/>
      <w:marBottom w:val="0"/>
      <w:divBdr>
        <w:top w:val="none" w:sz="0" w:space="0" w:color="auto"/>
        <w:left w:val="none" w:sz="0" w:space="0" w:color="auto"/>
        <w:bottom w:val="none" w:sz="0" w:space="0" w:color="auto"/>
        <w:right w:val="none" w:sz="0" w:space="0" w:color="auto"/>
      </w:divBdr>
    </w:div>
    <w:div w:id="1202203605">
      <w:bodyDiv w:val="1"/>
      <w:marLeft w:val="0"/>
      <w:marRight w:val="0"/>
      <w:marTop w:val="0"/>
      <w:marBottom w:val="0"/>
      <w:divBdr>
        <w:top w:val="none" w:sz="0" w:space="0" w:color="auto"/>
        <w:left w:val="none" w:sz="0" w:space="0" w:color="auto"/>
        <w:bottom w:val="none" w:sz="0" w:space="0" w:color="auto"/>
        <w:right w:val="none" w:sz="0" w:space="0" w:color="auto"/>
      </w:divBdr>
    </w:div>
    <w:div w:id="1487360284">
      <w:bodyDiv w:val="1"/>
      <w:marLeft w:val="0"/>
      <w:marRight w:val="0"/>
      <w:marTop w:val="0"/>
      <w:marBottom w:val="0"/>
      <w:divBdr>
        <w:top w:val="none" w:sz="0" w:space="0" w:color="auto"/>
        <w:left w:val="none" w:sz="0" w:space="0" w:color="auto"/>
        <w:bottom w:val="none" w:sz="0" w:space="0" w:color="auto"/>
        <w:right w:val="none" w:sz="0" w:space="0" w:color="auto"/>
      </w:divBdr>
    </w:div>
    <w:div w:id="169950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5FF97-F48B-409C-AFFD-344F95D82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9532</Words>
  <Characters>54336</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Jiwrajka, Nikhil</dc:creator>
  <cp:keywords/>
  <dc:description/>
  <cp:lastModifiedBy>Jiwrajka, Nikhil</cp:lastModifiedBy>
  <cp:revision>2</cp:revision>
  <dcterms:created xsi:type="dcterms:W3CDTF">2022-01-25T15:06:00Z</dcterms:created>
  <dcterms:modified xsi:type="dcterms:W3CDTF">2022-01-25T15:06:00Z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https://csl.mendeley.com/styles/613062021/american-medical-association-NJ</vt:lpwstr>
  </property>
  <property fmtid="{D5CDD505-2E9C-101B-9397-08002B2CF9AE}" pid="3" name="Mendeley Recent Style Name 0_1">
    <vt:lpwstr>American Medical Association 11th edition - Nikhil Jiwrajka</vt:lpwstr>
  </property>
  <property fmtid="{D5CDD505-2E9C-101B-9397-08002B2CF9AE}" pid="4" name="Mendeley Recent Style Id 1_1">
    <vt:lpwstr>https://csl.mendeley.com/styles/613062021/american-medical-association</vt:lpwstr>
  </property>
  <property fmtid="{D5CDD505-2E9C-101B-9397-08002B2CF9AE}" pid="5" name="Mendeley Recent Style Name 1_1">
    <vt:lpwstr>American Medical Association 11th edition - Nikhil Jiwrajka</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http://csl.mendeley.com/styles/613062021/apa-et-al-6</vt:lpwstr>
  </property>
  <property fmtid="{D5CDD505-2E9C-101B-9397-08002B2CF9AE}" pid="9" name="Mendeley Recent Style Name 3_1">
    <vt:lpwstr>American Psychological Association 7th edition - Nikhil Jiwrajka</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(deprecated)</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http://www.zotero.org/styles/vancouver</vt:lpwstr>
  </property>
  <property fmtid="{D5CDD505-2E9C-101B-9397-08002B2CF9AE}" pid="15" name="Mendeley Recent Style Name 6_1">
    <vt:lpwstr>Vancouver</vt:lpwstr>
  </property>
  <property fmtid="{D5CDD505-2E9C-101B-9397-08002B2CF9AE}" pid="16" name="Mendeley Recent Style Id 7_1">
    <vt:lpwstr>https://csl.mendeley.com/styles/613062021/vancouver-NJ-Superscript</vt:lpwstr>
  </property>
  <property fmtid="{D5CDD505-2E9C-101B-9397-08002B2CF9AE}" pid="17" name="Mendeley Recent Style Name 7_1">
    <vt:lpwstr>Vancouver - Nikhil Jiwrajka</vt:lpwstr>
  </property>
  <property fmtid="{D5CDD505-2E9C-101B-9397-08002B2CF9AE}" pid="18" name="Mendeley Recent Style Id 8_1">
    <vt:lpwstr>https://csl.mendeley.com/styles/613062021/vancouver-NJ-no-issue-2</vt:lpwstr>
  </property>
  <property fmtid="{D5CDD505-2E9C-101B-9397-08002B2CF9AE}" pid="19" name="Mendeley Recent Style Name 8_1">
    <vt:lpwstr>Vancouver - Nikhil Jiwrajka</vt:lpwstr>
  </property>
  <property fmtid="{D5CDD505-2E9C-101B-9397-08002B2CF9AE}" pid="20" name="Mendeley Recent Style Id 9_1">
    <vt:lpwstr>http://csl.mendeley.com/styles/613062021/vancouver-NJ-brackets</vt:lpwstr>
  </property>
  <property fmtid="{D5CDD505-2E9C-101B-9397-08002B2CF9AE}" pid="21" name="Mendeley Recent Style Name 9_1">
    <vt:lpwstr>Vancouver - Nikhil Jiwrajka</vt:lpwstr>
  </property>
  <property fmtid="{D5CDD505-2E9C-101B-9397-08002B2CF9AE}" pid="22" name="Mendeley Document_1">
    <vt:lpwstr>True</vt:lpwstr>
  </property>
  <property fmtid="{D5CDD505-2E9C-101B-9397-08002B2CF9AE}" pid="23" name="Mendeley Unique User Id_1">
    <vt:lpwstr>c9a7d2f6-de20-3f77-b741-c77fe6ff9af9</vt:lpwstr>
  </property>
  <property fmtid="{D5CDD505-2E9C-101B-9397-08002B2CF9AE}" pid="24" name="Mendeley Citation Style_1">
    <vt:lpwstr>http://csl.mendeley.com/styles/613062021/vancouver-NJ-brackets</vt:lpwstr>
  </property>
</Properties>
</file>