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ind w:left="384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1"/>
        <w:tblW w:w="10425" w:type="dxa"/>
        <w:jc w:val="left"/>
        <w:tblInd w:w="-53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854"/>
        <w:gridCol w:w="3570"/>
      </w:tblGrid>
      <w:tr>
        <w:trPr>
          <w:trHeight w:val="360" w:hRule="atLeast"/>
        </w:trPr>
        <w:tc>
          <w:tcPr>
            <w:tcW w:w="104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MRSinMRS checklist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Hardware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Field strength [T]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b. Manufacturer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Siemens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c. Model (software version if available)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Magnetom 7T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RF coils: nuclei (transmit/ receive), number of channels, type, body part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1H, 32 ch, head, Nova Medical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e. Additional hardware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Acquisition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Pulse sequence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FID-MRSI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Volume of Interest (VOI) locations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Parallel to the anterior commissure-posterior commissure line, superior to the lateral ventricles, and covering the centrum semiovale region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Nominal VOI size [cm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, mm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]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220×220×20 mm3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Repetition Time (TR), Echo Time (TE) [ms, s]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TR=200 ms / 1.3 ms acquisition delay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Total number of Excitations or acquisitions per spectrum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average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time series for kinetic studies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Number of Averaged spectra (NA) per time-point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Averaging method (e.g. block-wise or moving average)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 Total number of spectra (acquired / in time-series)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Additional sequence parameters (spectral width in Hz, number of spectral points, frequency offsets); If STEAM: Mixing Time TM; If MRSI: 2D or 3D, FOV in all directions, matrix size, acceleration factors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 6000 Hz, 1024 spectral points, MRSI: 2D, FOV 220×220 mm2 , 8mm slice thickness, matrix size 100×100, Acc. factor: 4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Water Suppression Method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Shimming Method, reference peak, and thresholds for “acceptance of shim” chosen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shim + manual adjustment, water peak &lt; 40 Hz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Triggering or motion correction method (respiratory, peripheral, cardiac triggering, incl. device used and delays)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Data analysis methods and outputs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Analysis software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LCModel 6.3-1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Processing steps deviating from quoted reference or product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Output measure (e.g. absolute concentration, institutional units, ratio)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institutional units, ratio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Quantification references and assumptions, fitting model assumptions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Simulated in NMRScope-B, macromolecular background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Data Quality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999999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Reported variables (SNR, Linewidth (with reference peaks))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SNR was calculated using the pseudoreplica method, and linewidth as FWHM of the NAA fit (see Supplementary Table 2) 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Data exclusion criteria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 below 20mm³ for all lesions, volume between 100-400mm³ for lesion periphery analysis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Quality measures of postprocessing Model fitting (e.g. CRLB, goodness of fit, SD of residual) 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CRLB (see Supplementary Table 2) </w:t>
            </w:r>
          </w:p>
        </w:tc>
      </w:tr>
      <w:tr>
        <w:trPr/>
        <w:tc>
          <w:tcPr>
            <w:tcW w:w="6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Sample Spectrum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Supplementary Figure 1 </w:t>
            </w:r>
          </w:p>
        </w:tc>
      </w:tr>
    </w:tbl>
    <w:p>
      <w:pPr>
        <w:pStyle w:val="Normal"/>
        <w:widowControl w:val="false"/>
        <w:spacing w:lineRule="auto" w:line="240"/>
        <w:ind w:left="384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b/>
          <w:sz w:val="16"/>
          <w:szCs w:val="16"/>
        </w:rPr>
        <w:t>Supplementary Table 1:</w:t>
      </w:r>
      <w:r>
        <w:rPr>
          <w:sz w:val="16"/>
          <w:szCs w:val="16"/>
        </w:rPr>
        <w:t xml:space="preserve"> Minimum Reporting Standards for </w:t>
      </w:r>
      <w:r>
        <w:rPr>
          <w:b/>
          <w:i/>
          <w:sz w:val="16"/>
          <w:szCs w:val="16"/>
        </w:rPr>
        <w:t>in vivo</w:t>
      </w:r>
      <w:r>
        <w:rPr>
          <w:sz w:val="16"/>
          <w:szCs w:val="16"/>
        </w:rPr>
        <w:t xml:space="preserve"> MR Spectroscopy</w:t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/>
        <w:rPr>
          <w:sz w:val="16"/>
          <w:szCs w:val="16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372</Words>
  <Characters>2083</Characters>
  <CharactersWithSpaces>2409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2022-06-02T15:23:29Z</dcterms:modified>
  <cp:revision>1</cp:revision>
  <dc:subject/>
  <dc:title/>
</cp:coreProperties>
</file>