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BF04" w14:textId="77777777" w:rsidR="004469F8" w:rsidRDefault="004469F8" w:rsidP="00957EB4">
      <w:pPr>
        <w:ind w:left="1418" w:hanging="1418"/>
        <w:rPr>
          <w:b/>
          <w:bCs/>
        </w:rPr>
      </w:pPr>
      <w:r w:rsidRPr="004469F8">
        <w:rPr>
          <w:b/>
          <w:bCs/>
        </w:rPr>
        <w:t xml:space="preserve">Supporting </w:t>
      </w:r>
      <w:r w:rsidR="00003C53">
        <w:rPr>
          <w:b/>
          <w:bCs/>
        </w:rPr>
        <w:t>material</w:t>
      </w:r>
    </w:p>
    <w:p w14:paraId="1795E940" w14:textId="77777777" w:rsidR="00713928" w:rsidRDefault="00CA5E1D" w:rsidP="00957EB4">
      <w:pPr>
        <w:spacing w:line="240" w:lineRule="auto"/>
      </w:pPr>
      <w:r>
        <w:t>T</w:t>
      </w:r>
      <w:r w:rsidR="00003C53" w:rsidRPr="00003C53">
        <w:t>he additional material shows the information of an ex vivo experiment</w:t>
      </w:r>
      <w:r w:rsidR="00003C53">
        <w:t xml:space="preserve"> (Fig S1)</w:t>
      </w:r>
      <w:r w:rsidR="00003C53" w:rsidRPr="00003C53">
        <w:t xml:space="preserve"> as well as all patient related data</w:t>
      </w:r>
      <w:r w:rsidR="00003C53">
        <w:t xml:space="preserve"> (Fig S2-S12)</w:t>
      </w:r>
    </w:p>
    <w:p w14:paraId="6D220C32" w14:textId="77777777" w:rsidR="00003C53" w:rsidRDefault="00003C53" w:rsidP="00957EB4">
      <w:pPr>
        <w:spacing w:line="240" w:lineRule="auto"/>
        <w:ind w:left="1418" w:hanging="1418"/>
      </w:pPr>
    </w:p>
    <w:p w14:paraId="4E3AD319" w14:textId="77777777" w:rsidR="00003C53" w:rsidRDefault="00003C53" w:rsidP="00957EB4">
      <w:pPr>
        <w:ind w:left="1418" w:hanging="1418"/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232AFBAC" wp14:editId="4305C43C">
            <wp:simplePos x="0" y="0"/>
            <wp:positionH relativeFrom="column">
              <wp:posOffset>709930</wp:posOffset>
            </wp:positionH>
            <wp:positionV relativeFrom="page">
              <wp:posOffset>2124075</wp:posOffset>
            </wp:positionV>
            <wp:extent cx="4237200" cy="2869200"/>
            <wp:effectExtent l="0" t="0" r="0" b="7620"/>
            <wp:wrapTopAndBottom/>
            <wp:docPr id="1338409323" name="Picture 1" descr="A diagram of a cell numb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409323" name="Picture 1" descr="A diagram of a cell numb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00" cy="28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14684" w14:textId="77777777" w:rsidR="00003C53" w:rsidRDefault="00003C53" w:rsidP="00957EB4">
      <w:pPr>
        <w:ind w:left="1418" w:hanging="1418"/>
      </w:pPr>
    </w:p>
    <w:p w14:paraId="2EBB0707" w14:textId="77777777" w:rsidR="00713928" w:rsidRDefault="00713928" w:rsidP="00957EB4">
      <w:pPr>
        <w:ind w:left="1418" w:hanging="1418"/>
      </w:pPr>
      <w:r w:rsidRPr="004469F8">
        <w:t>Fig. S1 –</w:t>
      </w:r>
      <w:r>
        <w:t xml:space="preserve"> </w:t>
      </w:r>
      <w:r w:rsidR="00957EB4">
        <w:tab/>
      </w:r>
      <w:r>
        <w:t>TRF measurements</w:t>
      </w:r>
      <w:r w:rsidR="003C0C2C">
        <w:t xml:space="preserve"> of a representative donor</w:t>
      </w:r>
      <w:r>
        <w:t xml:space="preserve">. </w:t>
      </w:r>
      <w:r w:rsidRPr="00713928">
        <w:t>Eu-DOTA uptake was measured by time resolved fluorescence spectroscopy in WBCs.</w:t>
      </w:r>
      <w:r>
        <w:t xml:space="preserve"> </w:t>
      </w:r>
      <w:r w:rsidRPr="00713928">
        <w:rPr>
          <w:b/>
          <w:bCs/>
        </w:rPr>
        <w:t>A</w:t>
      </w:r>
      <w:r>
        <w:t>: TRF</w:t>
      </w:r>
      <w:r w:rsidRPr="00713928">
        <w:t xml:space="preserve"> spectra were recorded from the 0 min (</w:t>
      </w:r>
      <w:r w:rsidRPr="00713928">
        <w:rPr>
          <w:b/>
          <w:bCs/>
          <w:color w:val="0000FF"/>
        </w:rPr>
        <w:t>–</w:t>
      </w:r>
      <w:r w:rsidRPr="00713928">
        <w:t>) as well from the 60 min sample (</w:t>
      </w:r>
      <w:r w:rsidRPr="00713928">
        <w:rPr>
          <w:b/>
          <w:bCs/>
          <w:color w:val="FF0000"/>
        </w:rPr>
        <w:t>–</w:t>
      </w:r>
      <w:r w:rsidRPr="00713928">
        <w:t>)</w:t>
      </w:r>
      <w:r>
        <w:t xml:space="preserve"> </w:t>
      </w:r>
      <w:r w:rsidR="003C0C2C">
        <w:t>and t</w:t>
      </w:r>
      <w:r w:rsidRPr="00713928">
        <w:t>he area under the curve was obtained by integrating the fluorescence intensity.</w:t>
      </w:r>
      <w:r>
        <w:t xml:space="preserve"> </w:t>
      </w:r>
      <w:r w:rsidRPr="00713928">
        <w:rPr>
          <w:b/>
          <w:bCs/>
        </w:rPr>
        <w:t>B</w:t>
      </w:r>
      <w:r w:rsidRPr="00713928">
        <w:t>:</w:t>
      </w:r>
      <w:r>
        <w:t xml:space="preserve"> </w:t>
      </w:r>
      <w:r w:rsidRPr="00713928">
        <w:t>By a set of standard samples of known concentration</w:t>
      </w:r>
      <w:r w:rsidR="00CA5E1D">
        <w:t>s</w:t>
      </w:r>
      <w:r w:rsidRPr="00713928">
        <w:t xml:space="preserve"> (</w:t>
      </w:r>
      <w:r>
        <w:sym w:font="Wingdings" w:char="F0A1"/>
      </w:r>
      <w:r w:rsidRPr="00713928">
        <w:t>)</w:t>
      </w:r>
      <w:r w:rsidR="00CA5E1D">
        <w:t>,</w:t>
      </w:r>
      <w:r w:rsidRPr="00713928">
        <w:t xml:space="preserve"> a standard curve was fitted using linear regression. Using the standard curve, the concentration</w:t>
      </w:r>
      <w:r w:rsidR="00CA5E1D">
        <w:t>s</w:t>
      </w:r>
      <w:r w:rsidRPr="00713928">
        <w:t xml:space="preserve"> of Eu</w:t>
      </w:r>
      <w:r w:rsidRPr="00D108B3">
        <w:rPr>
          <w:vertAlign w:val="superscript"/>
        </w:rPr>
        <w:t>3+</w:t>
      </w:r>
      <w:r w:rsidRPr="00713928">
        <w:t xml:space="preserve"> of the 0-minute </w:t>
      </w:r>
      <w:r>
        <w:t>(</w:t>
      </w:r>
      <w:r w:rsidRPr="00713928">
        <w:rPr>
          <w:color w:val="0000FF"/>
        </w:rPr>
        <w:sym w:font="Wingdings" w:char="F06E"/>
      </w:r>
      <w:r>
        <w:t xml:space="preserve">) </w:t>
      </w:r>
      <w:r w:rsidRPr="00713928">
        <w:t>and 60-minute</w:t>
      </w:r>
      <w:r>
        <w:t xml:space="preserve"> (</w:t>
      </w:r>
      <w:r w:rsidRPr="00713928">
        <w:rPr>
          <w:color w:val="FF0000"/>
        </w:rPr>
        <w:sym w:font="Wingdings" w:char="F06E"/>
      </w:r>
      <w:r>
        <w:t>)</w:t>
      </w:r>
      <w:r w:rsidR="00CA5E1D">
        <w:t xml:space="preserve"> samples were</w:t>
      </w:r>
      <w:r w:rsidRPr="00713928">
        <w:t xml:space="preserve"> determined by interpolation.</w:t>
      </w:r>
      <w:r>
        <w:t xml:space="preserve"> </w:t>
      </w:r>
      <w:r w:rsidRPr="00713928">
        <w:rPr>
          <w:b/>
          <w:bCs/>
        </w:rPr>
        <w:t>C</w:t>
      </w:r>
      <w:r>
        <w:t>:</w:t>
      </w:r>
      <w:r w:rsidR="003C0C2C">
        <w:t xml:space="preserve"> </w:t>
      </w:r>
      <w:r w:rsidRPr="00713928">
        <w:t>The Eu-DOTA uptake by human WBC cells after incubation was calculated from the difference in Eu</w:t>
      </w:r>
      <w:r w:rsidRPr="00713928">
        <w:rPr>
          <w:vertAlign w:val="superscript"/>
        </w:rPr>
        <w:t>3+</w:t>
      </w:r>
      <w:r w:rsidRPr="00713928">
        <w:t xml:space="preserve"> concentration between the measurements after 0 min and 60 min incubation time</w:t>
      </w:r>
      <w:r>
        <w:t xml:space="preserve">. </w:t>
      </w:r>
      <w:r w:rsidRPr="00713928">
        <w:rPr>
          <w:b/>
          <w:bCs/>
        </w:rPr>
        <w:t>D</w:t>
      </w:r>
      <w:r>
        <w:t>: B</w:t>
      </w:r>
      <w:r w:rsidRPr="00713928">
        <w:t xml:space="preserve">y considering the sample volumes, </w:t>
      </w:r>
      <w:r w:rsidR="00C07DB6">
        <w:t>the Eu</w:t>
      </w:r>
      <w:r w:rsidR="00C07DB6" w:rsidRPr="00C07DB6">
        <w:rPr>
          <w:vertAlign w:val="superscript"/>
        </w:rPr>
        <w:t>3+</w:t>
      </w:r>
      <w:r w:rsidR="00C07DB6">
        <w:t xml:space="preserve"> concentration </w:t>
      </w:r>
      <w:r w:rsidR="00C07DB6" w:rsidRPr="003C0C2C">
        <w:t>Δ</w:t>
      </w:r>
      <w:r w:rsidR="00C07DB6">
        <w:t>,</w:t>
      </w:r>
      <w:r w:rsidR="00C07DB6" w:rsidRPr="00713928">
        <w:t xml:space="preserve"> </w:t>
      </w:r>
      <w:r w:rsidRPr="00713928">
        <w:t>the average cell number used in the experiments</w:t>
      </w:r>
      <w:r w:rsidR="00C07DB6">
        <w:t xml:space="preserve"> and</w:t>
      </w:r>
      <w:r w:rsidRPr="00713928">
        <w:t xml:space="preserve"> the mean cell diameter of the WBCs</w:t>
      </w:r>
      <w:r w:rsidR="003C0C2C">
        <w:t>,</w:t>
      </w:r>
      <w:r w:rsidRPr="00713928">
        <w:rPr>
          <w:rFonts w:eastAsia="Calibri" w:cs="Times New Roman"/>
          <w:sz w:val="24"/>
          <w:szCs w:val="24"/>
        </w:rPr>
        <w:t xml:space="preserve"> </w:t>
      </w:r>
      <w:r>
        <w:t>t</w:t>
      </w:r>
      <w:r w:rsidRPr="00713928">
        <w:t>he intracellular Eu</w:t>
      </w:r>
      <w:r w:rsidRPr="00713928">
        <w:rPr>
          <w:vertAlign w:val="superscript"/>
        </w:rPr>
        <w:t>3+</w:t>
      </w:r>
      <w:r w:rsidRPr="00713928">
        <w:t xml:space="preserve"> concentration </w:t>
      </w:r>
      <w:r w:rsidR="00AF15C1">
        <w:t xml:space="preserve">was </w:t>
      </w:r>
      <w:r w:rsidRPr="00713928">
        <w:t>calculated</w:t>
      </w:r>
      <w:r w:rsidR="003C0C2C">
        <w:t>.</w:t>
      </w:r>
      <w:r w:rsidR="00AE27A7">
        <w:t xml:space="preserve"> </w:t>
      </w:r>
    </w:p>
    <w:p w14:paraId="58095F8C" w14:textId="77777777" w:rsidR="00A02C64" w:rsidRDefault="00A02C64" w:rsidP="00957EB4">
      <w:pPr>
        <w:ind w:left="1418" w:hanging="1418"/>
      </w:pPr>
    </w:p>
    <w:p w14:paraId="7AA36D0D" w14:textId="77777777" w:rsidR="00A02C64" w:rsidRPr="004469F8" w:rsidRDefault="00A02C64" w:rsidP="00957EB4">
      <w:pPr>
        <w:ind w:left="1418" w:hanging="1418"/>
      </w:pPr>
      <w:r w:rsidRPr="00A02C64">
        <w:rPr>
          <w:noProof/>
          <w:lang w:val="de-CH" w:eastAsia="de-CH"/>
        </w:rPr>
        <w:lastRenderedPageBreak/>
        <w:drawing>
          <wp:inline distT="0" distB="0" distL="0" distR="0" wp14:anchorId="4F4607F7" wp14:editId="4CAC6439">
            <wp:extent cx="1687668" cy="2354400"/>
            <wp:effectExtent l="0" t="0" r="0" b="0"/>
            <wp:docPr id="7705677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668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B7AD7" w14:textId="77777777" w:rsidR="00C07DB6" w:rsidRDefault="00C07DB6" w:rsidP="00BF69D2">
      <w:pPr>
        <w:ind w:left="1418" w:hanging="1418"/>
        <w:jc w:val="both"/>
      </w:pPr>
      <w:r w:rsidRPr="004469F8">
        <w:t xml:space="preserve">Fig. S2 – </w:t>
      </w:r>
      <w:r w:rsidR="00957EB4">
        <w:tab/>
      </w:r>
      <w:r w:rsidRPr="00C07DB6">
        <w:t xml:space="preserve">Patients’ age distribution showing a median </w:t>
      </w:r>
      <w:r w:rsidR="00AF15C1">
        <w:t xml:space="preserve">(black horizontal line) </w:t>
      </w:r>
      <w:r w:rsidRPr="00C07DB6">
        <w:t xml:space="preserve">of 68.0 y </w:t>
      </w:r>
      <w:r w:rsidR="00AF15C1">
        <w:br/>
      </w:r>
      <w:r w:rsidRPr="00C07DB6">
        <w:t>(</w:t>
      </w:r>
      <w:r w:rsidRPr="00C07DB6">
        <w:rPr>
          <w:rFonts w:ascii="Wingdings 2" w:eastAsia="Wingdings 2" w:hAnsi="Wingdings 2" w:cs="Wingdings 2"/>
          <w:color w:val="FFCCFF"/>
        </w:rPr>
        <w:sym w:font="Wingdings 2" w:char="F098"/>
      </w:r>
      <w:r w:rsidRPr="00C07DB6">
        <w:rPr>
          <w:color w:val="000000" w:themeColor="text1"/>
        </w:rPr>
        <w:t xml:space="preserve">= </w:t>
      </w:r>
      <w:r w:rsidRPr="00C07DB6">
        <w:t xml:space="preserve">♀; </w:t>
      </w:r>
      <w:r w:rsidRPr="00C07DB6">
        <w:rPr>
          <w:rFonts w:ascii="Wingdings 2" w:eastAsia="Wingdings 2" w:hAnsi="Wingdings 2" w:cs="Wingdings 2"/>
          <w:color w:val="99CCFF"/>
        </w:rPr>
        <w:sym w:font="Wingdings 2" w:char="F098"/>
      </w:r>
      <w:r w:rsidRPr="00C07DB6">
        <w:rPr>
          <w:b/>
          <w:bCs/>
          <w:color w:val="99CCFF"/>
        </w:rPr>
        <w:t xml:space="preserve"> </w:t>
      </w:r>
      <w:r w:rsidRPr="00C07DB6">
        <w:t>= ♂).</w:t>
      </w:r>
    </w:p>
    <w:p w14:paraId="69C47254" w14:textId="77777777" w:rsidR="00003C53" w:rsidRPr="00C07DB6" w:rsidRDefault="00003C53" w:rsidP="00957EB4">
      <w:pPr>
        <w:spacing w:line="480" w:lineRule="auto"/>
        <w:ind w:left="1418" w:hanging="1418"/>
        <w:jc w:val="both"/>
      </w:pPr>
    </w:p>
    <w:p w14:paraId="3062F3C2" w14:textId="77777777" w:rsidR="004469F8" w:rsidRPr="004469F8" w:rsidRDefault="00D108B3" w:rsidP="00957EB4">
      <w:pPr>
        <w:ind w:left="1418" w:hanging="1418"/>
      </w:pPr>
      <w:r w:rsidRPr="00D108B3">
        <w:rPr>
          <w:noProof/>
          <w:lang w:val="de-CH" w:eastAsia="de-CH"/>
        </w:rPr>
        <w:drawing>
          <wp:inline distT="0" distB="0" distL="0" distR="0" wp14:anchorId="0C8DC237" wp14:editId="356073D9">
            <wp:extent cx="1714500" cy="2353099"/>
            <wp:effectExtent l="0" t="0" r="0" b="0"/>
            <wp:docPr id="11892377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422" cy="235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E1AE3" w14:textId="77777777" w:rsidR="004469F8" w:rsidRPr="004469F8" w:rsidRDefault="004469F8" w:rsidP="00957EB4">
      <w:pPr>
        <w:ind w:left="1418" w:hanging="1418"/>
      </w:pPr>
      <w:r w:rsidRPr="004469F8">
        <w:t>Fig. S</w:t>
      </w:r>
      <w:r w:rsidR="00C07DB6">
        <w:t>3</w:t>
      </w:r>
      <w:r w:rsidRPr="004469F8">
        <w:t xml:space="preserve"> –</w:t>
      </w:r>
      <w:r w:rsidR="00957EB4">
        <w:tab/>
      </w:r>
      <w:r w:rsidRPr="004469F8">
        <w:t>weight distribution. Average: 72.9 kg ± 16 (1q = 61.8; 2q = 73.3 median</w:t>
      </w:r>
      <w:r w:rsidR="00AF15C1">
        <w:t xml:space="preserve"> (black horizontal line)</w:t>
      </w:r>
      <w:r w:rsidRPr="004469F8">
        <w:t>; 3q = 80.5</w:t>
      </w:r>
      <w:r w:rsidR="001362A3">
        <w:t xml:space="preserve">; </w:t>
      </w:r>
      <w:r w:rsidR="001362A3" w:rsidRPr="00C07DB6">
        <w:rPr>
          <w:rFonts w:ascii="Wingdings 2" w:eastAsia="Wingdings 2" w:hAnsi="Wingdings 2" w:cs="Wingdings 2"/>
          <w:color w:val="FFCCFF"/>
        </w:rPr>
        <w:sym w:font="Wingdings 2" w:char="F098"/>
      </w:r>
      <w:r w:rsidR="001362A3" w:rsidRPr="00C07DB6">
        <w:rPr>
          <w:color w:val="000000" w:themeColor="text1"/>
        </w:rPr>
        <w:t xml:space="preserve">= </w:t>
      </w:r>
      <w:r w:rsidR="001362A3" w:rsidRPr="00C07DB6">
        <w:t xml:space="preserve">♀; </w:t>
      </w:r>
      <w:r w:rsidR="001362A3" w:rsidRPr="00C07DB6">
        <w:rPr>
          <w:rFonts w:ascii="Wingdings 2" w:eastAsia="Wingdings 2" w:hAnsi="Wingdings 2" w:cs="Wingdings 2"/>
          <w:color w:val="99CCFF"/>
        </w:rPr>
        <w:sym w:font="Wingdings 2" w:char="F098"/>
      </w:r>
      <w:r w:rsidR="001362A3" w:rsidRPr="00C07DB6">
        <w:rPr>
          <w:b/>
          <w:bCs/>
          <w:color w:val="99CCFF"/>
        </w:rPr>
        <w:t xml:space="preserve"> </w:t>
      </w:r>
      <w:r w:rsidR="001362A3" w:rsidRPr="00C07DB6">
        <w:t>= ♂.</w:t>
      </w:r>
    </w:p>
    <w:p w14:paraId="06CA6643" w14:textId="77777777" w:rsidR="00003C53" w:rsidRDefault="00003C53" w:rsidP="00957EB4">
      <w:pPr>
        <w:ind w:left="1418" w:hanging="1418"/>
      </w:pPr>
      <w:r>
        <w:br w:type="page"/>
      </w:r>
    </w:p>
    <w:p w14:paraId="1DC1CC1E" w14:textId="77777777" w:rsidR="004469F8" w:rsidRPr="004469F8" w:rsidRDefault="004469F8" w:rsidP="00957EB4">
      <w:pPr>
        <w:ind w:left="1418" w:hanging="1418"/>
      </w:pPr>
    </w:p>
    <w:p w14:paraId="2EC06215" w14:textId="77777777" w:rsidR="004469F8" w:rsidRPr="004469F8" w:rsidRDefault="00D108B3" w:rsidP="00957EB4">
      <w:pPr>
        <w:ind w:left="1418" w:hanging="1418"/>
      </w:pPr>
      <w:r w:rsidRPr="00D108B3">
        <w:rPr>
          <w:noProof/>
          <w:lang w:val="de-CH" w:eastAsia="de-CH"/>
        </w:rPr>
        <w:drawing>
          <wp:inline distT="0" distB="0" distL="0" distR="0" wp14:anchorId="50492AB1" wp14:editId="21F7A07E">
            <wp:extent cx="1708503" cy="2354400"/>
            <wp:effectExtent l="0" t="0" r="0" b="0"/>
            <wp:docPr id="161845360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503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F8889" w14:textId="77777777" w:rsidR="004469F8" w:rsidRPr="004469F8" w:rsidRDefault="004469F8" w:rsidP="00957EB4">
      <w:pPr>
        <w:ind w:left="1418" w:hanging="1418"/>
      </w:pPr>
      <w:r w:rsidRPr="004469F8">
        <w:t>Fig. S</w:t>
      </w:r>
      <w:r w:rsidR="00C07DB6">
        <w:t>4</w:t>
      </w:r>
      <w:r w:rsidRPr="004469F8">
        <w:t xml:space="preserve"> – </w:t>
      </w:r>
      <w:r w:rsidR="00957EB4">
        <w:tab/>
      </w:r>
      <w:r w:rsidRPr="004469F8">
        <w:t>height distribution. Average: 1.71 m ± 0.07 (1q = 1.68; 2q = 1.70 median</w:t>
      </w:r>
      <w:r w:rsidR="00BF69D2">
        <w:t xml:space="preserve"> (black horizontal line)</w:t>
      </w:r>
      <w:r w:rsidRPr="004469F8">
        <w:t>; 3q =</w:t>
      </w:r>
      <w:r w:rsidR="00FB6A3E">
        <w:t> </w:t>
      </w:r>
      <w:r w:rsidRPr="004469F8">
        <w:t>1.75</w:t>
      </w:r>
      <w:r w:rsidR="001362A3">
        <w:t xml:space="preserve">; </w:t>
      </w:r>
      <w:r w:rsidR="001362A3" w:rsidRPr="00C07DB6">
        <w:rPr>
          <w:rFonts w:ascii="Wingdings 2" w:eastAsia="Wingdings 2" w:hAnsi="Wingdings 2" w:cs="Wingdings 2"/>
          <w:color w:val="FFCCFF"/>
        </w:rPr>
        <w:sym w:font="Wingdings 2" w:char="F098"/>
      </w:r>
      <w:r w:rsidR="001362A3" w:rsidRPr="00C07DB6">
        <w:rPr>
          <w:color w:val="000000" w:themeColor="text1"/>
        </w:rPr>
        <w:t xml:space="preserve">= </w:t>
      </w:r>
      <w:r w:rsidR="001362A3" w:rsidRPr="00C07DB6">
        <w:t xml:space="preserve">♀; </w:t>
      </w:r>
      <w:r w:rsidR="001362A3" w:rsidRPr="00C07DB6">
        <w:rPr>
          <w:rFonts w:ascii="Wingdings 2" w:eastAsia="Wingdings 2" w:hAnsi="Wingdings 2" w:cs="Wingdings 2"/>
          <w:color w:val="99CCFF"/>
        </w:rPr>
        <w:sym w:font="Wingdings 2" w:char="F098"/>
      </w:r>
      <w:r w:rsidR="001362A3" w:rsidRPr="00C07DB6">
        <w:rPr>
          <w:b/>
          <w:bCs/>
          <w:color w:val="99CCFF"/>
        </w:rPr>
        <w:t xml:space="preserve"> </w:t>
      </w:r>
      <w:r w:rsidR="001362A3" w:rsidRPr="00C07DB6">
        <w:t>= ♂.</w:t>
      </w:r>
    </w:p>
    <w:p w14:paraId="28A5BF7F" w14:textId="77777777" w:rsidR="00C07DB6" w:rsidRDefault="00C07DB6" w:rsidP="00957EB4">
      <w:pPr>
        <w:ind w:left="1418" w:hanging="1418"/>
      </w:pPr>
    </w:p>
    <w:p w14:paraId="79B028CD" w14:textId="77777777" w:rsidR="004469F8" w:rsidRPr="004469F8" w:rsidRDefault="00D108B3" w:rsidP="00957EB4">
      <w:pPr>
        <w:ind w:left="1418" w:hanging="1418"/>
      </w:pPr>
      <w:r w:rsidRPr="00D108B3">
        <w:rPr>
          <w:noProof/>
          <w:lang w:val="de-CH" w:eastAsia="de-CH"/>
        </w:rPr>
        <w:drawing>
          <wp:inline distT="0" distB="0" distL="0" distR="0" wp14:anchorId="33D4D399" wp14:editId="06C6558C">
            <wp:extent cx="1708503" cy="2354400"/>
            <wp:effectExtent l="0" t="0" r="0" b="0"/>
            <wp:docPr id="20968729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503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A2D1E" w14:textId="77777777" w:rsidR="004469F8" w:rsidRDefault="004469F8" w:rsidP="00957EB4">
      <w:pPr>
        <w:ind w:left="1418" w:hanging="1418"/>
      </w:pPr>
      <w:r w:rsidRPr="004469F8">
        <w:t>Fig. S</w:t>
      </w:r>
      <w:r w:rsidR="00C07DB6">
        <w:t>5</w:t>
      </w:r>
      <w:r w:rsidRPr="004469F8">
        <w:t xml:space="preserve"> – </w:t>
      </w:r>
      <w:r w:rsidR="00957EB4">
        <w:tab/>
      </w:r>
      <w:r w:rsidRPr="004469F8">
        <w:t>BMI. Average: 24.8 ± 4.4; 1q = 22.4; 2q = 24.9 median</w:t>
      </w:r>
      <w:r w:rsidR="00BF69D2">
        <w:t xml:space="preserve"> (black horizontal line)</w:t>
      </w:r>
      <w:r w:rsidRPr="004469F8">
        <w:t>; 3q = 27.2</w:t>
      </w:r>
      <w:r w:rsidR="001362A3">
        <w:t xml:space="preserve">; </w:t>
      </w:r>
      <w:r w:rsidR="001362A3" w:rsidRPr="00C07DB6">
        <w:rPr>
          <w:rFonts w:ascii="Wingdings 2" w:eastAsia="Wingdings 2" w:hAnsi="Wingdings 2" w:cs="Wingdings 2"/>
          <w:color w:val="FFCCFF"/>
        </w:rPr>
        <w:sym w:font="Wingdings 2" w:char="F098"/>
      </w:r>
      <w:r w:rsidR="001362A3" w:rsidRPr="00C07DB6">
        <w:rPr>
          <w:color w:val="000000" w:themeColor="text1"/>
        </w:rPr>
        <w:t xml:space="preserve">= </w:t>
      </w:r>
      <w:r w:rsidR="001362A3" w:rsidRPr="00C07DB6">
        <w:t xml:space="preserve">♀; </w:t>
      </w:r>
      <w:r w:rsidR="001362A3" w:rsidRPr="00C07DB6">
        <w:rPr>
          <w:rFonts w:ascii="Wingdings 2" w:eastAsia="Wingdings 2" w:hAnsi="Wingdings 2" w:cs="Wingdings 2"/>
          <w:color w:val="99CCFF"/>
        </w:rPr>
        <w:sym w:font="Wingdings 2" w:char="F098"/>
      </w:r>
      <w:r w:rsidR="001362A3" w:rsidRPr="00C07DB6">
        <w:rPr>
          <w:b/>
          <w:bCs/>
          <w:color w:val="99CCFF"/>
        </w:rPr>
        <w:t xml:space="preserve"> </w:t>
      </w:r>
      <w:r w:rsidR="001362A3" w:rsidRPr="00C07DB6">
        <w:t>= ♂.</w:t>
      </w:r>
    </w:p>
    <w:p w14:paraId="6541C06C" w14:textId="77777777" w:rsidR="00D108B3" w:rsidRDefault="00D108B3" w:rsidP="00957EB4">
      <w:pPr>
        <w:ind w:left="1418" w:hanging="1418"/>
      </w:pPr>
    </w:p>
    <w:p w14:paraId="267FD810" w14:textId="77777777" w:rsidR="00003C53" w:rsidRDefault="00003C53" w:rsidP="00957EB4">
      <w:pPr>
        <w:ind w:left="1418" w:hanging="1418"/>
      </w:pPr>
    </w:p>
    <w:p w14:paraId="119095B6" w14:textId="77777777" w:rsidR="00003C53" w:rsidRPr="004469F8" w:rsidRDefault="00003C53" w:rsidP="00957EB4">
      <w:pPr>
        <w:ind w:left="1418" w:hanging="1418"/>
      </w:pPr>
    </w:p>
    <w:p w14:paraId="72CC2DEC" w14:textId="77777777" w:rsidR="004469F8" w:rsidRPr="004469F8" w:rsidRDefault="004469F8" w:rsidP="00957EB4">
      <w:pPr>
        <w:ind w:left="1418" w:hanging="1418"/>
      </w:pPr>
      <w:r w:rsidRPr="004469F8">
        <w:rPr>
          <w:noProof/>
          <w:lang w:val="de-CH" w:eastAsia="de-CH"/>
        </w:rPr>
        <w:lastRenderedPageBreak/>
        <w:drawing>
          <wp:inline distT="0" distB="0" distL="0" distR="0" wp14:anchorId="01CCA1D9" wp14:editId="2269A7F9">
            <wp:extent cx="2764341" cy="23544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41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AA987" w14:textId="77777777" w:rsidR="004469F8" w:rsidRPr="004469F8" w:rsidRDefault="004469F8" w:rsidP="00957EB4">
      <w:pPr>
        <w:ind w:left="1418" w:hanging="1418"/>
      </w:pPr>
      <w:r w:rsidRPr="004469F8">
        <w:t>Fig. S</w:t>
      </w:r>
      <w:r w:rsidR="00D108B3">
        <w:t>6</w:t>
      </w:r>
      <w:r w:rsidRPr="004469F8">
        <w:t xml:space="preserve"> – </w:t>
      </w:r>
      <w:r w:rsidR="00957EB4">
        <w:tab/>
      </w:r>
      <w:r w:rsidRPr="004469F8">
        <w:t>Blood group</w:t>
      </w:r>
      <w:r w:rsidR="001362A3">
        <w:t xml:space="preserve">; </w:t>
      </w:r>
      <w:r w:rsidR="001362A3" w:rsidRPr="00C07DB6">
        <w:rPr>
          <w:rFonts w:ascii="Wingdings 2" w:eastAsia="Wingdings 2" w:hAnsi="Wingdings 2" w:cs="Wingdings 2"/>
          <w:color w:val="FFCCFF"/>
        </w:rPr>
        <w:sym w:font="Wingdings 2" w:char="F098"/>
      </w:r>
      <w:r w:rsidR="001362A3" w:rsidRPr="00C07DB6">
        <w:rPr>
          <w:color w:val="000000" w:themeColor="text1"/>
        </w:rPr>
        <w:t xml:space="preserve">= </w:t>
      </w:r>
      <w:r w:rsidR="001362A3" w:rsidRPr="00C07DB6">
        <w:t xml:space="preserve">♀; </w:t>
      </w:r>
      <w:r w:rsidR="001362A3" w:rsidRPr="00C07DB6">
        <w:rPr>
          <w:rFonts w:ascii="Wingdings 2" w:eastAsia="Wingdings 2" w:hAnsi="Wingdings 2" w:cs="Wingdings 2"/>
          <w:color w:val="99CCFF"/>
        </w:rPr>
        <w:sym w:font="Wingdings 2" w:char="F098"/>
      </w:r>
      <w:r w:rsidR="001362A3" w:rsidRPr="00C07DB6">
        <w:rPr>
          <w:b/>
          <w:bCs/>
          <w:color w:val="99CCFF"/>
        </w:rPr>
        <w:t xml:space="preserve"> </w:t>
      </w:r>
      <w:r w:rsidR="001362A3" w:rsidRPr="00C07DB6">
        <w:t>= ♂.</w:t>
      </w:r>
    </w:p>
    <w:p w14:paraId="1A165E03" w14:textId="77777777" w:rsidR="00003C53" w:rsidRDefault="00003C53" w:rsidP="00957EB4">
      <w:pPr>
        <w:ind w:left="1418" w:hanging="1418"/>
      </w:pPr>
    </w:p>
    <w:p w14:paraId="672154E1" w14:textId="77777777" w:rsidR="00D108B3" w:rsidRDefault="00D108B3" w:rsidP="00957EB4">
      <w:pPr>
        <w:ind w:left="1418" w:hanging="1418"/>
      </w:pPr>
    </w:p>
    <w:p w14:paraId="04C239FF" w14:textId="77777777" w:rsidR="004469F8" w:rsidRPr="004469F8" w:rsidRDefault="00D108B3" w:rsidP="00957EB4">
      <w:pPr>
        <w:ind w:left="1418" w:hanging="1418"/>
      </w:pPr>
      <w:r w:rsidRPr="00D108B3">
        <w:rPr>
          <w:noProof/>
          <w:lang w:val="de-CH" w:eastAsia="de-CH"/>
        </w:rPr>
        <w:drawing>
          <wp:inline distT="0" distB="0" distL="0" distR="0" wp14:anchorId="4A5DC065" wp14:editId="09AAB15F">
            <wp:extent cx="1715448" cy="2354400"/>
            <wp:effectExtent l="0" t="0" r="0" b="0"/>
            <wp:docPr id="9720309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448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7A196" w14:textId="77777777" w:rsidR="004469F8" w:rsidRPr="004469F8" w:rsidRDefault="004469F8" w:rsidP="00957EB4">
      <w:pPr>
        <w:ind w:left="1418" w:hanging="1418"/>
      </w:pPr>
      <w:r w:rsidRPr="004469F8">
        <w:t>Fig. S</w:t>
      </w:r>
      <w:r w:rsidR="00D108B3">
        <w:t>7</w:t>
      </w:r>
      <w:r w:rsidRPr="004469F8">
        <w:t xml:space="preserve"> – </w:t>
      </w:r>
      <w:r w:rsidR="00957EB4">
        <w:tab/>
      </w:r>
      <w:r w:rsidRPr="004469F8">
        <w:t>GBCA blood concentration: Average: 1.5 mM ± 0.1; 1q = 1.48; 2q = 1.53 median</w:t>
      </w:r>
      <w:r w:rsidR="00BF69D2">
        <w:t xml:space="preserve"> (black horizontal line)</w:t>
      </w:r>
      <w:r w:rsidRPr="004469F8">
        <w:t>;</w:t>
      </w:r>
      <w:r w:rsidR="00FB6A3E">
        <w:t xml:space="preserve"> </w:t>
      </w:r>
      <w:r w:rsidRPr="004469F8">
        <w:t>3q = 1.60</w:t>
      </w:r>
      <w:r w:rsidR="001362A3">
        <w:t xml:space="preserve">; </w:t>
      </w:r>
      <w:r w:rsidR="001362A3" w:rsidRPr="00C07DB6">
        <w:rPr>
          <w:rFonts w:ascii="Wingdings 2" w:eastAsia="Wingdings 2" w:hAnsi="Wingdings 2" w:cs="Wingdings 2"/>
          <w:color w:val="FFCCFF"/>
        </w:rPr>
        <w:sym w:font="Wingdings 2" w:char="F098"/>
      </w:r>
      <w:r w:rsidR="001362A3" w:rsidRPr="00C07DB6">
        <w:rPr>
          <w:color w:val="000000" w:themeColor="text1"/>
        </w:rPr>
        <w:t xml:space="preserve">= </w:t>
      </w:r>
      <w:r w:rsidR="001362A3" w:rsidRPr="00C07DB6">
        <w:t xml:space="preserve">♀; </w:t>
      </w:r>
      <w:r w:rsidR="001362A3" w:rsidRPr="00C07DB6">
        <w:rPr>
          <w:rFonts w:ascii="Wingdings 2" w:eastAsia="Wingdings 2" w:hAnsi="Wingdings 2" w:cs="Wingdings 2"/>
          <w:color w:val="99CCFF"/>
        </w:rPr>
        <w:sym w:font="Wingdings 2" w:char="F098"/>
      </w:r>
      <w:r w:rsidR="001362A3" w:rsidRPr="00C07DB6">
        <w:rPr>
          <w:b/>
          <w:bCs/>
          <w:color w:val="99CCFF"/>
        </w:rPr>
        <w:t xml:space="preserve"> </w:t>
      </w:r>
      <w:r w:rsidR="001362A3" w:rsidRPr="00C07DB6">
        <w:t>= ♂.</w:t>
      </w:r>
    </w:p>
    <w:p w14:paraId="333EC8F1" w14:textId="77777777" w:rsidR="004469F8" w:rsidRDefault="004469F8" w:rsidP="00957EB4">
      <w:pPr>
        <w:ind w:left="1418" w:hanging="1418"/>
      </w:pPr>
    </w:p>
    <w:p w14:paraId="0AAF8A0A" w14:textId="77777777" w:rsidR="00003C53" w:rsidRPr="004469F8" w:rsidRDefault="00003C53" w:rsidP="00957EB4">
      <w:pPr>
        <w:ind w:left="1418" w:hanging="1418"/>
      </w:pPr>
    </w:p>
    <w:p w14:paraId="0B4F55DD" w14:textId="77777777" w:rsidR="004469F8" w:rsidRPr="004469F8" w:rsidRDefault="00D108B3" w:rsidP="00957EB4">
      <w:pPr>
        <w:ind w:left="1418" w:hanging="1418"/>
      </w:pPr>
      <w:r w:rsidRPr="00D108B3">
        <w:rPr>
          <w:noProof/>
          <w:lang w:val="de-CH" w:eastAsia="de-CH"/>
        </w:rPr>
        <w:lastRenderedPageBreak/>
        <w:drawing>
          <wp:inline distT="0" distB="0" distL="0" distR="0" wp14:anchorId="74633258" wp14:editId="1C8F59F3">
            <wp:extent cx="1722393" cy="2354400"/>
            <wp:effectExtent l="0" t="0" r="0" b="0"/>
            <wp:docPr id="161545148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393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DA38C" w14:textId="77777777" w:rsidR="004469F8" w:rsidRPr="004469F8" w:rsidRDefault="004469F8" w:rsidP="00957EB4">
      <w:pPr>
        <w:ind w:left="1418" w:hanging="1418"/>
      </w:pPr>
      <w:r w:rsidRPr="004469F8">
        <w:t>Fig. S</w:t>
      </w:r>
      <w:r w:rsidR="00D108B3">
        <w:t>8</w:t>
      </w:r>
      <w:r w:rsidRPr="004469F8">
        <w:t xml:space="preserve"> – </w:t>
      </w:r>
      <w:r w:rsidR="00957EB4">
        <w:tab/>
      </w:r>
      <w:r w:rsidR="00AF15C1">
        <w:t>Time from GBCA administration to first fixation of the WBCs (</w:t>
      </w:r>
      <w:r w:rsidRPr="004469F8">
        <w:t>t</w:t>
      </w:r>
      <w:r w:rsidRPr="004469F8">
        <w:rPr>
          <w:vertAlign w:val="subscript"/>
        </w:rPr>
        <w:t>x</w:t>
      </w:r>
      <w:r w:rsidR="00AF15C1">
        <w:t>)</w:t>
      </w:r>
      <w:r w:rsidRPr="004469F8">
        <w:t>: Average: 17 min ± 3; 1q = 15; 2q = 17 median</w:t>
      </w:r>
      <w:r w:rsidR="00BF69D2">
        <w:t xml:space="preserve"> (black horizontal line)</w:t>
      </w:r>
      <w:r w:rsidRPr="004469F8">
        <w:t>; 3q = 18</w:t>
      </w:r>
      <w:r w:rsidR="001362A3">
        <w:t xml:space="preserve">; </w:t>
      </w:r>
      <w:r w:rsidR="001362A3" w:rsidRPr="00C07DB6">
        <w:rPr>
          <w:rFonts w:ascii="Wingdings 2" w:eastAsia="Wingdings 2" w:hAnsi="Wingdings 2" w:cs="Wingdings 2"/>
          <w:color w:val="FFCCFF"/>
        </w:rPr>
        <w:sym w:font="Wingdings 2" w:char="F098"/>
      </w:r>
      <w:r w:rsidR="001362A3" w:rsidRPr="00C07DB6">
        <w:rPr>
          <w:color w:val="000000" w:themeColor="text1"/>
        </w:rPr>
        <w:t xml:space="preserve">= </w:t>
      </w:r>
      <w:r w:rsidR="001362A3" w:rsidRPr="00C07DB6">
        <w:t xml:space="preserve">♀; </w:t>
      </w:r>
      <w:r w:rsidR="001362A3" w:rsidRPr="00C07DB6">
        <w:rPr>
          <w:rFonts w:ascii="Wingdings 2" w:eastAsia="Wingdings 2" w:hAnsi="Wingdings 2" w:cs="Wingdings 2"/>
          <w:color w:val="99CCFF"/>
        </w:rPr>
        <w:sym w:font="Wingdings 2" w:char="F098"/>
      </w:r>
      <w:r w:rsidR="001362A3" w:rsidRPr="00C07DB6">
        <w:rPr>
          <w:b/>
          <w:bCs/>
          <w:color w:val="99CCFF"/>
        </w:rPr>
        <w:t xml:space="preserve"> </w:t>
      </w:r>
      <w:r w:rsidR="001362A3" w:rsidRPr="00C07DB6">
        <w:t>= ♂.</w:t>
      </w:r>
    </w:p>
    <w:p w14:paraId="23982EC4" w14:textId="77777777" w:rsidR="00D108B3" w:rsidRDefault="00D108B3" w:rsidP="00957EB4">
      <w:pPr>
        <w:ind w:left="1418" w:hanging="1418"/>
      </w:pPr>
    </w:p>
    <w:p w14:paraId="2046E740" w14:textId="77777777" w:rsidR="004469F8" w:rsidRPr="004469F8" w:rsidRDefault="00D108B3" w:rsidP="00957EB4">
      <w:pPr>
        <w:ind w:left="1418" w:hanging="1418"/>
      </w:pPr>
      <w:r w:rsidRPr="00D108B3">
        <w:rPr>
          <w:noProof/>
          <w:lang w:val="de-CH" w:eastAsia="de-CH"/>
        </w:rPr>
        <w:drawing>
          <wp:inline distT="0" distB="0" distL="0" distR="0" wp14:anchorId="427A7C0B" wp14:editId="6FF597BF">
            <wp:extent cx="3114675" cy="2515944"/>
            <wp:effectExtent l="0" t="0" r="0" b="0"/>
            <wp:docPr id="11374960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634" cy="252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2581E" w14:textId="77777777" w:rsidR="00D108B3" w:rsidRPr="004469F8" w:rsidRDefault="00D108B3" w:rsidP="00957EB4">
      <w:pPr>
        <w:ind w:left="1418" w:hanging="1418"/>
      </w:pPr>
      <w:r w:rsidRPr="004469F8">
        <w:t>Fig. S</w:t>
      </w:r>
      <w:r>
        <w:t>9</w:t>
      </w:r>
      <w:r w:rsidRPr="004469F8">
        <w:t xml:space="preserve"> – </w:t>
      </w:r>
      <w:r w:rsidR="00957EB4">
        <w:tab/>
      </w:r>
      <w:r w:rsidRPr="00D108B3">
        <w:t>The cellular concentration of Gd from the time point t</w:t>
      </w:r>
      <w:r w:rsidRPr="00D108B3">
        <w:rPr>
          <w:vertAlign w:val="subscript"/>
        </w:rPr>
        <w:t>x</w:t>
      </w:r>
      <w:r w:rsidRPr="00D108B3">
        <w:t> to t</w:t>
      </w:r>
      <w:r w:rsidRPr="00D108B3">
        <w:rPr>
          <w:vertAlign w:val="subscript"/>
        </w:rPr>
        <w:t>60</w:t>
      </w:r>
      <w:r w:rsidRPr="00D108B3">
        <w:t xml:space="preserve"> increased. </w:t>
      </w:r>
      <w:r w:rsidR="00AF15C1">
        <w:t>Between these two time points t</w:t>
      </w:r>
      <w:r w:rsidRPr="00D108B3">
        <w:t xml:space="preserve">he blood </w:t>
      </w:r>
      <w:r w:rsidR="00CA5E1D">
        <w:t xml:space="preserve">Gd-DOTA </w:t>
      </w:r>
      <w:r w:rsidRPr="00D108B3">
        <w:t>concentration remained constant.</w:t>
      </w:r>
      <w:r w:rsidR="00AF15C1">
        <w:t xml:space="preserve"> Gd concentration at t</w:t>
      </w:r>
      <w:r w:rsidR="00AF15C1" w:rsidRPr="00AF15C1">
        <w:rPr>
          <w:vertAlign w:val="subscript"/>
        </w:rPr>
        <w:t>0</w:t>
      </w:r>
      <w:r w:rsidR="00AF15C1">
        <w:t xml:space="preserve"> is at zero since this time point represents the Gd level in absence of the contrast agent.</w:t>
      </w:r>
    </w:p>
    <w:p w14:paraId="4F9B56E2" w14:textId="77777777" w:rsidR="00003C53" w:rsidRDefault="00003C53" w:rsidP="00957EB4">
      <w:pPr>
        <w:ind w:left="1418" w:hanging="1418"/>
      </w:pPr>
      <w:r>
        <w:br w:type="page"/>
      </w:r>
    </w:p>
    <w:p w14:paraId="1560E9BB" w14:textId="77777777" w:rsidR="004469F8" w:rsidRPr="004469F8" w:rsidRDefault="004469F8" w:rsidP="00957EB4">
      <w:pPr>
        <w:ind w:left="1418" w:hanging="1418"/>
      </w:pPr>
      <w:r w:rsidRPr="004469F8">
        <w:rPr>
          <w:noProof/>
          <w:lang w:val="de-CH" w:eastAsia="de-CH"/>
        </w:rPr>
        <w:lastRenderedPageBreak/>
        <w:drawing>
          <wp:inline distT="0" distB="0" distL="0" distR="0" wp14:anchorId="3BCB6DDA" wp14:editId="06421A97">
            <wp:extent cx="3401060" cy="229108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06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3654E" w14:textId="77777777" w:rsidR="004469F8" w:rsidRPr="004469F8" w:rsidRDefault="004469F8" w:rsidP="00957EB4">
      <w:pPr>
        <w:ind w:left="1418" w:hanging="1418"/>
      </w:pPr>
      <w:r w:rsidRPr="004469F8">
        <w:t>Fig. S</w:t>
      </w:r>
      <w:r w:rsidR="00D108B3">
        <w:t>10</w:t>
      </w:r>
      <w:r w:rsidRPr="004469F8">
        <w:t xml:space="preserve"> – </w:t>
      </w:r>
      <w:r w:rsidR="00957EB4">
        <w:tab/>
      </w:r>
      <w:r w:rsidRPr="004469F8">
        <w:t>Correlation studies: intracellular Gd vs. incubation time</w:t>
      </w:r>
      <w:r w:rsidR="00E42F72">
        <w:br/>
        <w:t>C</w:t>
      </w:r>
      <w:r w:rsidR="00E42F72" w:rsidRPr="00957EB4">
        <w:t>orrelation analysis according to Pearson</w:t>
      </w:r>
      <w:r w:rsidR="00E42F72">
        <w:t xml:space="preserve"> (R</w:t>
      </w:r>
      <w:r w:rsidR="00E42F72" w:rsidRPr="00957EB4">
        <w:rPr>
          <w:vertAlign w:val="superscript"/>
        </w:rPr>
        <w:t>2</w:t>
      </w:r>
      <w:r w:rsidR="00E42F72">
        <w:t>, r</w:t>
      </w:r>
      <w:r w:rsidR="00E42F72">
        <w:rPr>
          <w:vertAlign w:val="subscript"/>
        </w:rPr>
        <w:t>P</w:t>
      </w:r>
      <w:r w:rsidR="00E42F72">
        <w:t xml:space="preserve">) </w:t>
      </w:r>
      <w:r w:rsidR="00E42F72" w:rsidRPr="00957EB4">
        <w:t xml:space="preserve">as well as </w:t>
      </w:r>
      <w:r w:rsidR="00E42F72">
        <w:t>S</w:t>
      </w:r>
      <w:r w:rsidR="00E42F72" w:rsidRPr="00957EB4">
        <w:t>pearman</w:t>
      </w:r>
      <w:r w:rsidR="00E42F72">
        <w:t xml:space="preserve"> (r</w:t>
      </w:r>
      <w:r w:rsidR="00E42F72" w:rsidRPr="00957EB4">
        <w:rPr>
          <w:vertAlign w:val="subscript"/>
        </w:rPr>
        <w:t>S</w:t>
      </w:r>
      <w:r w:rsidR="00E42F72">
        <w:t>)</w:t>
      </w:r>
      <w:r w:rsidR="00E42F72" w:rsidRPr="00957EB4">
        <w:t>.</w:t>
      </w:r>
      <w:r w:rsidR="00E42F72">
        <w:t xml:space="preserve"> b</w:t>
      </w:r>
      <w:r w:rsidR="00E42F72" w:rsidRPr="00957EB4">
        <w:t>oth showed that there is no correlation</w:t>
      </w:r>
      <w:r w:rsidR="00E42F72">
        <w:t xml:space="preserve"> </w:t>
      </w:r>
      <w:r w:rsidR="00335E0E">
        <w:t>(R</w:t>
      </w:r>
      <w:r w:rsidR="00335E0E" w:rsidRPr="00957EB4">
        <w:rPr>
          <w:vertAlign w:val="superscript"/>
        </w:rPr>
        <w:t>2</w:t>
      </w:r>
      <w:r w:rsidR="00335E0E">
        <w:rPr>
          <w:vertAlign w:val="superscript"/>
        </w:rPr>
        <w:t> </w:t>
      </w:r>
      <w:r w:rsidR="00335E0E">
        <w:t>/ r</w:t>
      </w:r>
      <w:r w:rsidR="00335E0E">
        <w:rPr>
          <w:vertAlign w:val="subscript"/>
        </w:rPr>
        <w:t>P</w:t>
      </w:r>
      <w:r w:rsidR="00335E0E">
        <w:t xml:space="preserve">:  </w:t>
      </w:r>
      <w:r w:rsidR="00335E0E">
        <w:rPr>
          <w:rFonts w:cstheme="minorHAnsi"/>
        </w:rPr>
        <w:t xml:space="preserve">0.0134 / ̵ </w:t>
      </w:r>
      <w:r w:rsidR="00335E0E">
        <w:t>0.1159; r</w:t>
      </w:r>
      <w:r w:rsidR="00335E0E" w:rsidRPr="00957EB4">
        <w:rPr>
          <w:vertAlign w:val="subscript"/>
        </w:rPr>
        <w:t>S</w:t>
      </w:r>
      <w:r w:rsidR="00335E0E">
        <w:t xml:space="preserve">: </w:t>
      </w:r>
      <w:r w:rsidR="00335E0E" w:rsidRPr="00E42F72">
        <w:rPr>
          <w:rFonts w:cs="Arial"/>
        </w:rPr>
        <w:t xml:space="preserve"> ̵</w:t>
      </w:r>
      <w:r w:rsidR="00335E0E">
        <w:rPr>
          <w:rFonts w:cs="Arial"/>
        </w:rPr>
        <w:t xml:space="preserve"> </w:t>
      </w:r>
      <w:r w:rsidR="00335E0E">
        <w:t>0.1834)</w:t>
      </w:r>
      <w:r w:rsidR="001362A3">
        <w:t xml:space="preserve">  </w:t>
      </w:r>
      <w:r w:rsidR="001362A3" w:rsidRPr="00C07DB6">
        <w:rPr>
          <w:rFonts w:ascii="Wingdings 2" w:eastAsia="Wingdings 2" w:hAnsi="Wingdings 2" w:cs="Wingdings 2"/>
          <w:color w:val="FFCCFF"/>
        </w:rPr>
        <w:sym w:font="Wingdings 2" w:char="F098"/>
      </w:r>
      <w:r w:rsidR="001362A3" w:rsidRPr="00C07DB6">
        <w:rPr>
          <w:color w:val="000000" w:themeColor="text1"/>
        </w:rPr>
        <w:t xml:space="preserve">= </w:t>
      </w:r>
      <w:r w:rsidR="001362A3" w:rsidRPr="00C07DB6">
        <w:t xml:space="preserve">♀; </w:t>
      </w:r>
      <w:r w:rsidR="001362A3" w:rsidRPr="00C07DB6">
        <w:rPr>
          <w:rFonts w:ascii="Wingdings 2" w:eastAsia="Wingdings 2" w:hAnsi="Wingdings 2" w:cs="Wingdings 2"/>
          <w:color w:val="99CCFF"/>
        </w:rPr>
        <w:sym w:font="Wingdings 2" w:char="F098"/>
      </w:r>
      <w:r w:rsidR="001362A3" w:rsidRPr="00C07DB6">
        <w:rPr>
          <w:b/>
          <w:bCs/>
          <w:color w:val="99CCFF"/>
        </w:rPr>
        <w:t xml:space="preserve"> </w:t>
      </w:r>
      <w:r w:rsidR="001362A3" w:rsidRPr="00C07DB6">
        <w:t>= ♂.</w:t>
      </w:r>
    </w:p>
    <w:p w14:paraId="318227EB" w14:textId="77777777" w:rsidR="004469F8" w:rsidRDefault="004469F8" w:rsidP="00957EB4">
      <w:pPr>
        <w:ind w:left="1418" w:hanging="1418"/>
      </w:pPr>
    </w:p>
    <w:p w14:paraId="69424041" w14:textId="77777777" w:rsidR="00003C53" w:rsidRPr="004469F8" w:rsidRDefault="00003C53" w:rsidP="00957EB4">
      <w:pPr>
        <w:ind w:left="1418" w:hanging="1418"/>
      </w:pPr>
    </w:p>
    <w:p w14:paraId="2DA7EE4F" w14:textId="77777777" w:rsidR="004469F8" w:rsidRPr="004469F8" w:rsidRDefault="004469F8" w:rsidP="00957EB4">
      <w:pPr>
        <w:ind w:left="1418" w:hanging="1418"/>
      </w:pPr>
      <w:r w:rsidRPr="004469F8">
        <w:rPr>
          <w:noProof/>
          <w:lang w:val="de-CH" w:eastAsia="de-CH"/>
        </w:rPr>
        <w:drawing>
          <wp:inline distT="0" distB="0" distL="0" distR="0" wp14:anchorId="3102D6E4" wp14:editId="54FABFF8">
            <wp:extent cx="3195320" cy="21367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E075F" w14:textId="77777777" w:rsidR="00E42F72" w:rsidRPr="00E42F72" w:rsidRDefault="004469F8" w:rsidP="00E42F72">
      <w:pPr>
        <w:ind w:left="1418" w:hanging="1418"/>
      </w:pPr>
      <w:r w:rsidRPr="004469F8">
        <w:t>Fig. S</w:t>
      </w:r>
      <w:r w:rsidR="00D108B3">
        <w:t>11</w:t>
      </w:r>
      <w:r w:rsidRPr="004469F8">
        <w:t xml:space="preserve"> – </w:t>
      </w:r>
      <w:r w:rsidR="00957EB4">
        <w:tab/>
      </w:r>
      <w:r w:rsidRPr="004469F8">
        <w:t>Correlation studies: intracellular c Gd (t</w:t>
      </w:r>
      <w:r w:rsidRPr="004469F8">
        <w:rPr>
          <w:vertAlign w:val="subscript"/>
        </w:rPr>
        <w:t>60</w:t>
      </w:r>
      <w:r w:rsidRPr="004469F8">
        <w:t>) vs. BMI</w:t>
      </w:r>
      <w:r w:rsidR="00957EB4">
        <w:br/>
      </w:r>
      <w:r w:rsidR="00D15F15">
        <w:t>R</w:t>
      </w:r>
      <w:r w:rsidR="00D15F15" w:rsidRPr="00957EB4">
        <w:rPr>
          <w:vertAlign w:val="superscript"/>
        </w:rPr>
        <w:t>2</w:t>
      </w:r>
      <w:r w:rsidR="00D15F15">
        <w:t xml:space="preserve"> and r</w:t>
      </w:r>
      <w:r w:rsidR="00D15F15">
        <w:rPr>
          <w:vertAlign w:val="subscript"/>
        </w:rPr>
        <w:t>P</w:t>
      </w:r>
      <w:r w:rsidR="00D15F15">
        <w:t xml:space="preserve"> form the </w:t>
      </w:r>
      <w:r w:rsidR="00D15F15" w:rsidRPr="00957EB4">
        <w:t>Pearson</w:t>
      </w:r>
      <w:r w:rsidR="00D15F15">
        <w:t xml:space="preserve"> </w:t>
      </w:r>
      <w:r w:rsidR="00D15F15" w:rsidRPr="00957EB4">
        <w:t xml:space="preserve">as well as </w:t>
      </w:r>
      <w:r w:rsidR="00D15F15">
        <w:t>r</w:t>
      </w:r>
      <w:r w:rsidR="00D15F15" w:rsidRPr="00957EB4">
        <w:rPr>
          <w:vertAlign w:val="subscript"/>
        </w:rPr>
        <w:t>S</w:t>
      </w:r>
      <w:r w:rsidR="00D15F15">
        <w:t xml:space="preserve"> form the S</w:t>
      </w:r>
      <w:r w:rsidR="00D15F15" w:rsidRPr="00957EB4">
        <w:t>pearman</w:t>
      </w:r>
      <w:r w:rsidR="00D15F15">
        <w:t xml:space="preserve"> correlation analysis were close to 0, hence, a correlation can be excluded </w:t>
      </w:r>
      <w:r w:rsidR="00D15F15">
        <w:br/>
      </w:r>
      <w:r w:rsidR="00335E0E">
        <w:t>(R</w:t>
      </w:r>
      <w:r w:rsidR="00335E0E" w:rsidRPr="00957EB4">
        <w:rPr>
          <w:vertAlign w:val="superscript"/>
        </w:rPr>
        <w:t>2</w:t>
      </w:r>
      <w:r w:rsidR="00335E0E">
        <w:rPr>
          <w:vertAlign w:val="superscript"/>
        </w:rPr>
        <w:t> </w:t>
      </w:r>
      <w:r w:rsidR="00335E0E">
        <w:t>/ r</w:t>
      </w:r>
      <w:r w:rsidR="00335E0E">
        <w:rPr>
          <w:vertAlign w:val="subscript"/>
        </w:rPr>
        <w:t>P</w:t>
      </w:r>
      <w:r w:rsidR="00335E0E">
        <w:t xml:space="preserve">:  </w:t>
      </w:r>
      <w:r w:rsidR="00335E0E">
        <w:rPr>
          <w:rFonts w:cstheme="minorHAnsi"/>
        </w:rPr>
        <w:t xml:space="preserve">0.0002 / ̵ </w:t>
      </w:r>
      <w:r w:rsidR="00335E0E">
        <w:t>0.0155; r</w:t>
      </w:r>
      <w:r w:rsidR="00335E0E" w:rsidRPr="00957EB4">
        <w:rPr>
          <w:vertAlign w:val="subscript"/>
        </w:rPr>
        <w:t>S</w:t>
      </w:r>
      <w:r w:rsidR="00335E0E">
        <w:t xml:space="preserve">: </w:t>
      </w:r>
      <w:r w:rsidR="00335E0E">
        <w:rPr>
          <w:rFonts w:cs="Arial"/>
        </w:rPr>
        <w:t xml:space="preserve"> </w:t>
      </w:r>
      <w:r w:rsidR="00335E0E">
        <w:t>0.0272</w:t>
      </w:r>
      <w:r w:rsidR="00E42F72">
        <w:t>)</w:t>
      </w:r>
      <w:r w:rsidR="001362A3">
        <w:t xml:space="preserve">;  </w:t>
      </w:r>
      <w:r w:rsidR="001362A3" w:rsidRPr="00C07DB6">
        <w:rPr>
          <w:rFonts w:ascii="Wingdings 2" w:eastAsia="Wingdings 2" w:hAnsi="Wingdings 2" w:cs="Wingdings 2"/>
          <w:color w:val="FFCCFF"/>
        </w:rPr>
        <w:sym w:font="Wingdings 2" w:char="F098"/>
      </w:r>
      <w:r w:rsidR="001362A3" w:rsidRPr="00C07DB6">
        <w:rPr>
          <w:color w:val="000000" w:themeColor="text1"/>
        </w:rPr>
        <w:t xml:space="preserve">= </w:t>
      </w:r>
      <w:r w:rsidR="001362A3" w:rsidRPr="00C07DB6">
        <w:t xml:space="preserve">♀; </w:t>
      </w:r>
      <w:r w:rsidR="001362A3" w:rsidRPr="00C07DB6">
        <w:rPr>
          <w:rFonts w:ascii="Wingdings 2" w:eastAsia="Wingdings 2" w:hAnsi="Wingdings 2" w:cs="Wingdings 2"/>
          <w:color w:val="99CCFF"/>
        </w:rPr>
        <w:sym w:font="Wingdings 2" w:char="F098"/>
      </w:r>
      <w:r w:rsidR="001362A3" w:rsidRPr="00C07DB6">
        <w:rPr>
          <w:b/>
          <w:bCs/>
          <w:color w:val="99CCFF"/>
        </w:rPr>
        <w:t xml:space="preserve"> </w:t>
      </w:r>
      <w:r w:rsidR="001362A3" w:rsidRPr="00C07DB6">
        <w:t>= ♂.</w:t>
      </w:r>
    </w:p>
    <w:p w14:paraId="7E1D839A" w14:textId="77777777" w:rsidR="00003C53" w:rsidRDefault="005D5D6D" w:rsidP="00957EB4">
      <w:pPr>
        <w:ind w:left="1418" w:hanging="1418"/>
      </w:pPr>
      <w:r>
        <w:br/>
      </w:r>
    </w:p>
    <w:p w14:paraId="4D4E9EB6" w14:textId="77777777" w:rsidR="00003C53" w:rsidRDefault="00003C53" w:rsidP="00957EB4">
      <w:pPr>
        <w:ind w:left="1418" w:hanging="1418"/>
      </w:pPr>
      <w:r>
        <w:br w:type="page"/>
      </w:r>
    </w:p>
    <w:p w14:paraId="5C2B7805" w14:textId="77777777" w:rsidR="00003C53" w:rsidRPr="004469F8" w:rsidRDefault="00003C53" w:rsidP="00957EB4">
      <w:pPr>
        <w:ind w:left="1418" w:hanging="1418"/>
      </w:pPr>
    </w:p>
    <w:p w14:paraId="0AA831BC" w14:textId="77777777" w:rsidR="004469F8" w:rsidRPr="004469F8" w:rsidRDefault="004469F8" w:rsidP="00957EB4">
      <w:pPr>
        <w:ind w:left="1418" w:hanging="1418"/>
      </w:pPr>
      <w:r w:rsidRPr="004469F8">
        <w:rPr>
          <w:noProof/>
          <w:lang w:val="de-CH" w:eastAsia="de-CH"/>
        </w:rPr>
        <w:drawing>
          <wp:inline distT="0" distB="0" distL="0" distR="0" wp14:anchorId="32A37073" wp14:editId="431DC012">
            <wp:extent cx="3185160" cy="21266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8AB92" w14:textId="77777777" w:rsidR="00BF67FA" w:rsidRDefault="004469F8" w:rsidP="00D15F15">
      <w:pPr>
        <w:ind w:left="1418" w:hanging="1418"/>
      </w:pPr>
      <w:r w:rsidRPr="004469F8">
        <w:t>Fig. S</w:t>
      </w:r>
      <w:r w:rsidR="00D108B3">
        <w:t>12</w:t>
      </w:r>
      <w:r w:rsidRPr="004469F8">
        <w:t xml:space="preserve"> – </w:t>
      </w:r>
      <w:r w:rsidR="00957EB4">
        <w:tab/>
      </w:r>
      <w:r w:rsidRPr="004469F8">
        <w:t>Correlation studies: intracellular Gd (t</w:t>
      </w:r>
      <w:r w:rsidRPr="004469F8">
        <w:rPr>
          <w:vertAlign w:val="subscript"/>
        </w:rPr>
        <w:t>60</w:t>
      </w:r>
      <w:r w:rsidRPr="004469F8">
        <w:t>) vs. GBCA blood concentration</w:t>
      </w:r>
      <w:bookmarkStart w:id="0" w:name="_Hlk142469641"/>
      <w:r w:rsidR="00D15F15">
        <w:t>.</w:t>
      </w:r>
      <w:r w:rsidR="00D15F15">
        <w:br/>
        <w:t>C</w:t>
      </w:r>
      <w:r w:rsidR="00D15F15" w:rsidRPr="00957EB4">
        <w:t>orrelation analysis was performed according to Pearson</w:t>
      </w:r>
      <w:r w:rsidR="00D15F15">
        <w:t xml:space="preserve"> (R</w:t>
      </w:r>
      <w:r w:rsidR="00D15F15" w:rsidRPr="00957EB4">
        <w:rPr>
          <w:vertAlign w:val="superscript"/>
        </w:rPr>
        <w:t>2</w:t>
      </w:r>
      <w:r w:rsidR="00D15F15">
        <w:t>, r</w:t>
      </w:r>
      <w:r w:rsidR="00D15F15">
        <w:rPr>
          <w:vertAlign w:val="subscript"/>
        </w:rPr>
        <w:t>P</w:t>
      </w:r>
      <w:r w:rsidR="00D15F15">
        <w:t xml:space="preserve">) </w:t>
      </w:r>
      <w:r w:rsidR="00D15F15" w:rsidRPr="00957EB4">
        <w:t xml:space="preserve">as well as </w:t>
      </w:r>
      <w:r w:rsidR="00D15F15">
        <w:t>S</w:t>
      </w:r>
      <w:r w:rsidR="00D15F15" w:rsidRPr="00957EB4">
        <w:t>pearman</w:t>
      </w:r>
      <w:r w:rsidR="00D15F15">
        <w:t xml:space="preserve"> (r</w:t>
      </w:r>
      <w:r w:rsidR="00D15F15" w:rsidRPr="00957EB4">
        <w:rPr>
          <w:vertAlign w:val="subscript"/>
        </w:rPr>
        <w:t>S</w:t>
      </w:r>
      <w:r w:rsidR="00D15F15">
        <w:t>)</w:t>
      </w:r>
      <w:r w:rsidR="00D15F15" w:rsidRPr="00957EB4">
        <w:t>.</w:t>
      </w:r>
      <w:r w:rsidR="00D15F15">
        <w:t xml:space="preserve"> </w:t>
      </w:r>
      <w:r w:rsidR="00D15F15" w:rsidRPr="00957EB4">
        <w:t xml:space="preserve">Both </w:t>
      </w:r>
      <w:r w:rsidR="00D15F15">
        <w:t>analyses provided no evidence for a</w:t>
      </w:r>
      <w:r w:rsidR="00D15F15" w:rsidRPr="00957EB4">
        <w:t xml:space="preserve"> correlation</w:t>
      </w:r>
      <w:r w:rsidR="00D15F15">
        <w:br/>
        <w:t>(R</w:t>
      </w:r>
      <w:r w:rsidR="00D15F15" w:rsidRPr="00957EB4">
        <w:rPr>
          <w:vertAlign w:val="superscript"/>
        </w:rPr>
        <w:t>2</w:t>
      </w:r>
      <w:r w:rsidR="00D15F15">
        <w:rPr>
          <w:vertAlign w:val="superscript"/>
        </w:rPr>
        <w:t> </w:t>
      </w:r>
      <w:r w:rsidR="00D15F15">
        <w:t>/ r</w:t>
      </w:r>
      <w:r w:rsidR="00D15F15">
        <w:rPr>
          <w:vertAlign w:val="subscript"/>
        </w:rPr>
        <w:t>P</w:t>
      </w:r>
      <w:r w:rsidR="00D15F15">
        <w:t xml:space="preserve">:  </w:t>
      </w:r>
      <w:r w:rsidR="00D15F15">
        <w:rPr>
          <w:rFonts w:cstheme="minorHAnsi"/>
        </w:rPr>
        <w:t xml:space="preserve">0.0850 / ̵ </w:t>
      </w:r>
      <w:r w:rsidR="00D15F15">
        <w:t>0.2915; r</w:t>
      </w:r>
      <w:r w:rsidR="00D15F15" w:rsidRPr="00957EB4">
        <w:rPr>
          <w:vertAlign w:val="subscript"/>
        </w:rPr>
        <w:t>S</w:t>
      </w:r>
      <w:r w:rsidR="00D15F15">
        <w:t xml:space="preserve">: </w:t>
      </w:r>
      <w:r w:rsidR="00D15F15" w:rsidRPr="00E42F72">
        <w:rPr>
          <w:rFonts w:cs="Arial"/>
        </w:rPr>
        <w:t xml:space="preserve"> ̵</w:t>
      </w:r>
      <w:r w:rsidR="00D15F15">
        <w:rPr>
          <w:rFonts w:cs="Arial"/>
        </w:rPr>
        <w:t xml:space="preserve"> </w:t>
      </w:r>
      <w:r w:rsidR="00D15F15">
        <w:t>0.0372)</w:t>
      </w:r>
      <w:bookmarkEnd w:id="0"/>
      <w:r w:rsidR="001362A3">
        <w:t xml:space="preserve">;  </w:t>
      </w:r>
      <w:r w:rsidR="001362A3" w:rsidRPr="00C07DB6">
        <w:rPr>
          <w:rFonts w:ascii="Wingdings 2" w:eastAsia="Wingdings 2" w:hAnsi="Wingdings 2" w:cs="Wingdings 2"/>
          <w:color w:val="FFCCFF"/>
        </w:rPr>
        <w:sym w:font="Wingdings 2" w:char="F098"/>
      </w:r>
      <w:r w:rsidR="001362A3" w:rsidRPr="00C07DB6">
        <w:rPr>
          <w:color w:val="000000" w:themeColor="text1"/>
        </w:rPr>
        <w:t xml:space="preserve">= </w:t>
      </w:r>
      <w:r w:rsidR="001362A3" w:rsidRPr="00C07DB6">
        <w:t xml:space="preserve">♀; </w:t>
      </w:r>
      <w:r w:rsidR="001362A3" w:rsidRPr="00C07DB6">
        <w:rPr>
          <w:rFonts w:ascii="Wingdings 2" w:eastAsia="Wingdings 2" w:hAnsi="Wingdings 2" w:cs="Wingdings 2"/>
          <w:color w:val="99CCFF"/>
        </w:rPr>
        <w:sym w:font="Wingdings 2" w:char="F098"/>
      </w:r>
      <w:r w:rsidR="001362A3" w:rsidRPr="00C07DB6">
        <w:rPr>
          <w:b/>
          <w:bCs/>
          <w:color w:val="99CCFF"/>
        </w:rPr>
        <w:t xml:space="preserve"> </w:t>
      </w:r>
      <w:r w:rsidR="001362A3" w:rsidRPr="00C07DB6">
        <w:t>= ♂.</w:t>
      </w:r>
    </w:p>
    <w:sectPr w:rsidR="00BF67FA" w:rsidSect="00003C53">
      <w:footerReference w:type="default" r:id="rId1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0E04D" w14:textId="77777777" w:rsidR="004C2A8C" w:rsidRDefault="004C2A8C" w:rsidP="00472BE0">
      <w:pPr>
        <w:spacing w:after="0" w:line="240" w:lineRule="auto"/>
      </w:pPr>
      <w:r>
        <w:separator/>
      </w:r>
    </w:p>
  </w:endnote>
  <w:endnote w:type="continuationSeparator" w:id="0">
    <w:p w14:paraId="0496BE74" w14:textId="77777777" w:rsidR="004C2A8C" w:rsidRDefault="004C2A8C" w:rsidP="0047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0728" w14:textId="1399293C" w:rsidR="00472BE0" w:rsidRDefault="00472BE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9666A" w14:textId="77777777" w:rsidR="004C2A8C" w:rsidRDefault="004C2A8C" w:rsidP="00472BE0">
      <w:pPr>
        <w:spacing w:after="0" w:line="240" w:lineRule="auto"/>
      </w:pPr>
      <w:r>
        <w:separator/>
      </w:r>
    </w:p>
  </w:footnote>
  <w:footnote w:type="continuationSeparator" w:id="0">
    <w:p w14:paraId="2C2BE99F" w14:textId="77777777" w:rsidR="004C2A8C" w:rsidRDefault="004C2A8C" w:rsidP="00472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F8"/>
    <w:rsid w:val="00003C53"/>
    <w:rsid w:val="000A5EC8"/>
    <w:rsid w:val="000D3431"/>
    <w:rsid w:val="001362A3"/>
    <w:rsid w:val="00163573"/>
    <w:rsid w:val="002C043E"/>
    <w:rsid w:val="00335E0E"/>
    <w:rsid w:val="003C0C2C"/>
    <w:rsid w:val="003C2BA3"/>
    <w:rsid w:val="004469F8"/>
    <w:rsid w:val="00472BE0"/>
    <w:rsid w:val="004C2A8C"/>
    <w:rsid w:val="00591F78"/>
    <w:rsid w:val="005D5D6D"/>
    <w:rsid w:val="00713928"/>
    <w:rsid w:val="007A3BF4"/>
    <w:rsid w:val="008C7450"/>
    <w:rsid w:val="008E67D1"/>
    <w:rsid w:val="0092563A"/>
    <w:rsid w:val="00957EB4"/>
    <w:rsid w:val="00980F2F"/>
    <w:rsid w:val="009E28C9"/>
    <w:rsid w:val="00A02C64"/>
    <w:rsid w:val="00AE27A7"/>
    <w:rsid w:val="00AF15C1"/>
    <w:rsid w:val="00BF67FA"/>
    <w:rsid w:val="00BF69D2"/>
    <w:rsid w:val="00C07DB6"/>
    <w:rsid w:val="00CA5E1D"/>
    <w:rsid w:val="00D108B3"/>
    <w:rsid w:val="00D15F15"/>
    <w:rsid w:val="00E42F72"/>
    <w:rsid w:val="00F51E15"/>
    <w:rsid w:val="00FA41F9"/>
    <w:rsid w:val="00FB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C005"/>
  <w15:chartTrackingRefBased/>
  <w15:docId w15:val="{6A2D0A02-F72F-4C5A-AFE5-7E4A31AF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573"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2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BE0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2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BE0"/>
    <w:rPr>
      <w:rFonts w:ascii="Arial" w:hAnsi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Insel Gruppe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Ruprecht, Nico Olivier</dc:creator>
  <cp:keywords/>
  <dc:description/>
  <cp:lastModifiedBy>Kempf, Christoph (DCBP)</cp:lastModifiedBy>
  <cp:revision>2</cp:revision>
  <dcterms:created xsi:type="dcterms:W3CDTF">2023-08-14T11:32:00Z</dcterms:created>
  <dcterms:modified xsi:type="dcterms:W3CDTF">2023-08-14T11:32:00Z</dcterms:modified>
</cp:coreProperties>
</file>