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691E" w14:textId="66E038C7" w:rsidR="0035035C" w:rsidRPr="003B58B4" w:rsidRDefault="00ED5011" w:rsidP="0035035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Supplemental </w:t>
      </w:r>
      <w:r w:rsidR="0035035C" w:rsidRPr="003B58B4">
        <w:rPr>
          <w:b/>
          <w:bCs/>
          <w:color w:val="000000" w:themeColor="text1"/>
        </w:rPr>
        <w:t>Table 3.</w:t>
      </w:r>
      <w:r w:rsidR="0035035C" w:rsidRPr="003B58B4">
        <w:rPr>
          <w:color w:val="000000" w:themeColor="text1"/>
        </w:rPr>
        <w:t xml:space="preserve"> Survey responses associated with psychosocial impact related to shunt device</w:t>
      </w:r>
      <w:r w:rsidR="0035035C">
        <w:rPr>
          <w:color w:val="000000" w:themeColor="text1"/>
        </w:rPr>
        <w:t>s</w:t>
      </w:r>
      <w:r w:rsidR="0035035C" w:rsidRPr="003B58B4">
        <w:rPr>
          <w:color w:val="000000" w:themeColor="text1"/>
        </w:rPr>
        <w:t>.</w:t>
      </w:r>
    </w:p>
    <w:p w14:paraId="29114A1D" w14:textId="77777777" w:rsidR="0035035C" w:rsidRPr="003B58B4" w:rsidRDefault="0035035C" w:rsidP="0035035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320"/>
      </w:tblGrid>
      <w:tr w:rsidR="0035035C" w:rsidRPr="003B58B4" w14:paraId="6C237C95" w14:textId="77777777" w:rsidTr="00794A8A">
        <w:tc>
          <w:tcPr>
            <w:tcW w:w="4765" w:type="dxa"/>
          </w:tcPr>
          <w:p w14:paraId="17550671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b/>
                <w:bCs/>
                <w:color w:val="000000" w:themeColor="text1"/>
              </w:rPr>
            </w:pPr>
            <w:r w:rsidRPr="003B58B4">
              <w:rPr>
                <w:b/>
                <w:bCs/>
                <w:color w:val="000000" w:themeColor="text1"/>
              </w:rPr>
              <w:t>Variable</w:t>
            </w:r>
          </w:p>
        </w:tc>
        <w:tc>
          <w:tcPr>
            <w:tcW w:w="4320" w:type="dxa"/>
          </w:tcPr>
          <w:p w14:paraId="33E4D09A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b/>
                <w:bCs/>
                <w:color w:val="000000" w:themeColor="text1"/>
              </w:rPr>
            </w:pPr>
            <w:r w:rsidRPr="003B58B4">
              <w:rPr>
                <w:b/>
                <w:bCs/>
                <w:color w:val="000000" w:themeColor="text1"/>
              </w:rPr>
              <w:t>Number of patients (percent)</w:t>
            </w:r>
          </w:p>
        </w:tc>
      </w:tr>
      <w:tr w:rsidR="0035035C" w:rsidRPr="003B58B4" w14:paraId="110F7507" w14:textId="77777777" w:rsidTr="00794A8A">
        <w:tc>
          <w:tcPr>
            <w:tcW w:w="4765" w:type="dxa"/>
          </w:tcPr>
          <w:p w14:paraId="286F5BC3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 xml:space="preserve">Pain with shunt                       </w:t>
            </w:r>
          </w:p>
        </w:tc>
        <w:tc>
          <w:tcPr>
            <w:tcW w:w="4320" w:type="dxa"/>
          </w:tcPr>
          <w:p w14:paraId="53201697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398 (72</w:t>
            </w:r>
            <w:r w:rsidRPr="003B58B4">
              <w:rPr>
                <w:color w:val="000000" w:themeColor="text1"/>
              </w:rPr>
              <w:t>)</w:t>
            </w:r>
          </w:p>
        </w:tc>
      </w:tr>
      <w:tr w:rsidR="0035035C" w:rsidRPr="003B58B4" w14:paraId="72E04D23" w14:textId="77777777" w:rsidTr="00794A8A">
        <w:trPr>
          <w:trHeight w:val="80"/>
        </w:trPr>
        <w:tc>
          <w:tcPr>
            <w:tcW w:w="4765" w:type="dxa"/>
          </w:tcPr>
          <w:p w14:paraId="19093CAD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Avoid resting on side(s) of head with the shunt</w:t>
            </w:r>
          </w:p>
        </w:tc>
        <w:tc>
          <w:tcPr>
            <w:tcW w:w="4320" w:type="dxa"/>
          </w:tcPr>
          <w:p w14:paraId="126975FE" w14:textId="77777777" w:rsidR="0035035C" w:rsidRPr="003B58B4" w:rsidRDefault="0035035C" w:rsidP="00794A8A">
            <w:pPr>
              <w:pStyle w:val="NormalWeb"/>
              <w:spacing w:line="240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 (42</w:t>
            </w:r>
            <w:r w:rsidRPr="003B58B4">
              <w:rPr>
                <w:color w:val="000000" w:themeColor="text1"/>
              </w:rPr>
              <w:t>)</w:t>
            </w:r>
          </w:p>
        </w:tc>
      </w:tr>
      <w:tr w:rsidR="0035035C" w:rsidRPr="003B58B4" w14:paraId="65ED69CD" w14:textId="77777777" w:rsidTr="00794A8A">
        <w:tc>
          <w:tcPr>
            <w:tcW w:w="4765" w:type="dxa"/>
          </w:tcPr>
          <w:p w14:paraId="21FC3CF1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 xml:space="preserve">Fear of bumping shunt          </w:t>
            </w:r>
          </w:p>
        </w:tc>
        <w:tc>
          <w:tcPr>
            <w:tcW w:w="4320" w:type="dxa"/>
          </w:tcPr>
          <w:p w14:paraId="64BA9B87" w14:textId="77777777" w:rsidR="0035035C" w:rsidRPr="003B58B4" w:rsidRDefault="0035035C" w:rsidP="00794A8A">
            <w:pPr>
              <w:pStyle w:val="NormalWeb"/>
              <w:spacing w:line="240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 (67</w:t>
            </w:r>
            <w:r w:rsidRPr="003B58B4">
              <w:rPr>
                <w:color w:val="000000" w:themeColor="text1"/>
              </w:rPr>
              <w:t>)</w:t>
            </w:r>
          </w:p>
        </w:tc>
      </w:tr>
      <w:tr w:rsidR="0035035C" w:rsidRPr="003B58B4" w14:paraId="39AB7F09" w14:textId="77777777" w:rsidTr="00794A8A">
        <w:tc>
          <w:tcPr>
            <w:tcW w:w="4765" w:type="dxa"/>
          </w:tcPr>
          <w:p w14:paraId="6000BC8E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Avoid sports/ exercise/ outdoor activities</w:t>
            </w:r>
          </w:p>
        </w:tc>
        <w:tc>
          <w:tcPr>
            <w:tcW w:w="4320" w:type="dxa"/>
          </w:tcPr>
          <w:p w14:paraId="174E80AF" w14:textId="77777777" w:rsidR="0035035C" w:rsidRPr="003B58B4" w:rsidRDefault="0035035C" w:rsidP="00794A8A">
            <w:pPr>
              <w:pStyle w:val="NormalWeb"/>
              <w:spacing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243</w:t>
            </w:r>
            <w:r>
              <w:rPr>
                <w:color w:val="000000" w:themeColor="text1"/>
              </w:rPr>
              <w:t xml:space="preserve"> (43</w:t>
            </w:r>
            <w:r w:rsidRPr="003B58B4">
              <w:rPr>
                <w:color w:val="000000" w:themeColor="text1"/>
              </w:rPr>
              <w:t>)</w:t>
            </w:r>
          </w:p>
        </w:tc>
      </w:tr>
      <w:tr w:rsidR="0035035C" w:rsidRPr="003B58B4" w14:paraId="78FAB584" w14:textId="77777777" w:rsidTr="00794A8A">
        <w:tc>
          <w:tcPr>
            <w:tcW w:w="4765" w:type="dxa"/>
          </w:tcPr>
          <w:p w14:paraId="03353E5C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Avoid theme park rides</w:t>
            </w:r>
          </w:p>
        </w:tc>
        <w:tc>
          <w:tcPr>
            <w:tcW w:w="4320" w:type="dxa"/>
          </w:tcPr>
          <w:p w14:paraId="2CA60AD7" w14:textId="77777777" w:rsidR="0035035C" w:rsidRPr="003B58B4" w:rsidRDefault="0035035C" w:rsidP="00794A8A">
            <w:pPr>
              <w:pStyle w:val="NormalWeb"/>
              <w:spacing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 (5</w:t>
            </w:r>
            <w:r w:rsidRPr="003B58B4">
              <w:rPr>
                <w:color w:val="000000" w:themeColor="text1"/>
              </w:rPr>
              <w:t>)</w:t>
            </w:r>
          </w:p>
        </w:tc>
      </w:tr>
      <w:tr w:rsidR="0035035C" w:rsidRPr="003B58B4" w14:paraId="3BD71FC3" w14:textId="77777777" w:rsidTr="00794A8A">
        <w:tc>
          <w:tcPr>
            <w:tcW w:w="4765" w:type="dxa"/>
          </w:tcPr>
          <w:p w14:paraId="451290E0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Avoid headwear or glasses</w:t>
            </w:r>
          </w:p>
        </w:tc>
        <w:tc>
          <w:tcPr>
            <w:tcW w:w="4320" w:type="dxa"/>
          </w:tcPr>
          <w:p w14:paraId="744CA808" w14:textId="77777777" w:rsidR="0035035C" w:rsidRPr="003B58B4" w:rsidRDefault="0035035C" w:rsidP="00794A8A">
            <w:pPr>
              <w:pStyle w:val="NormalWeb"/>
              <w:spacing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52</w:t>
            </w:r>
            <w:r>
              <w:rPr>
                <w:color w:val="000000" w:themeColor="text1"/>
              </w:rPr>
              <w:t xml:space="preserve"> (9</w:t>
            </w:r>
            <w:r w:rsidRPr="003B58B4">
              <w:rPr>
                <w:color w:val="000000" w:themeColor="text1"/>
              </w:rPr>
              <w:t>)</w:t>
            </w:r>
          </w:p>
        </w:tc>
      </w:tr>
      <w:tr w:rsidR="0035035C" w:rsidRPr="003B58B4" w14:paraId="5861BCEB" w14:textId="77777777" w:rsidTr="00794A8A">
        <w:tc>
          <w:tcPr>
            <w:tcW w:w="4765" w:type="dxa"/>
          </w:tcPr>
          <w:p w14:paraId="46EA4233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Alters hair grooming</w:t>
            </w:r>
          </w:p>
        </w:tc>
        <w:tc>
          <w:tcPr>
            <w:tcW w:w="4320" w:type="dxa"/>
          </w:tcPr>
          <w:p w14:paraId="23FA6782" w14:textId="77777777" w:rsidR="0035035C" w:rsidRPr="003B58B4" w:rsidRDefault="0035035C" w:rsidP="00794A8A">
            <w:pPr>
              <w:pStyle w:val="NormalWeb"/>
              <w:spacing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(2</w:t>
            </w:r>
            <w:r w:rsidRPr="003B58B4">
              <w:rPr>
                <w:color w:val="000000" w:themeColor="text1"/>
              </w:rPr>
              <w:t>)</w:t>
            </w:r>
          </w:p>
        </w:tc>
      </w:tr>
      <w:tr w:rsidR="0035035C" w:rsidRPr="003B58B4" w14:paraId="7DA11B6A" w14:textId="77777777" w:rsidTr="00794A8A">
        <w:tc>
          <w:tcPr>
            <w:tcW w:w="4765" w:type="dxa"/>
          </w:tcPr>
          <w:p w14:paraId="38996348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General fear about shunt</w:t>
            </w:r>
          </w:p>
        </w:tc>
        <w:tc>
          <w:tcPr>
            <w:tcW w:w="4320" w:type="dxa"/>
          </w:tcPr>
          <w:p w14:paraId="6F8287D0" w14:textId="77777777" w:rsidR="0035035C" w:rsidRPr="003B58B4" w:rsidRDefault="0035035C" w:rsidP="00794A8A">
            <w:pPr>
              <w:pStyle w:val="NormalWeb"/>
              <w:spacing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(5</w:t>
            </w:r>
            <w:r w:rsidRPr="003B58B4">
              <w:rPr>
                <w:color w:val="000000" w:themeColor="text1"/>
              </w:rPr>
              <w:t>)</w:t>
            </w:r>
          </w:p>
        </w:tc>
      </w:tr>
      <w:tr w:rsidR="0035035C" w:rsidRPr="003B58B4" w14:paraId="3969C712" w14:textId="77777777" w:rsidTr="00794A8A">
        <w:tc>
          <w:tcPr>
            <w:tcW w:w="4765" w:type="dxa"/>
          </w:tcPr>
          <w:p w14:paraId="28A59E3B" w14:textId="77777777" w:rsidR="0035035C" w:rsidRPr="003B58B4" w:rsidRDefault="0035035C" w:rsidP="00794A8A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Other</w:t>
            </w:r>
          </w:p>
        </w:tc>
        <w:tc>
          <w:tcPr>
            <w:tcW w:w="4320" w:type="dxa"/>
          </w:tcPr>
          <w:p w14:paraId="74B4067C" w14:textId="77777777" w:rsidR="0035035C" w:rsidRPr="003B58B4" w:rsidRDefault="0035035C" w:rsidP="00794A8A">
            <w:pPr>
              <w:pStyle w:val="NormalWeb"/>
              <w:spacing w:line="240" w:lineRule="atLeast"/>
              <w:textAlignment w:val="baseline"/>
              <w:rPr>
                <w:color w:val="000000" w:themeColor="text1"/>
              </w:rPr>
            </w:pPr>
            <w:r w:rsidRPr="003B58B4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(5</w:t>
            </w:r>
            <w:r w:rsidRPr="003B58B4">
              <w:rPr>
                <w:color w:val="000000" w:themeColor="text1"/>
              </w:rPr>
              <w:t>)</w:t>
            </w:r>
          </w:p>
        </w:tc>
      </w:tr>
    </w:tbl>
    <w:p w14:paraId="2A06D97A" w14:textId="77777777" w:rsidR="0035035C" w:rsidRDefault="0035035C" w:rsidP="0035035C">
      <w:pPr>
        <w:rPr>
          <w:b/>
          <w:bCs/>
          <w:color w:val="000000" w:themeColor="text1"/>
        </w:rPr>
      </w:pPr>
    </w:p>
    <w:p w14:paraId="63D1F24A" w14:textId="77777777" w:rsidR="0035035C" w:rsidRDefault="0035035C" w:rsidP="0035035C">
      <w:pPr>
        <w:rPr>
          <w:b/>
          <w:bCs/>
          <w:color w:val="000000" w:themeColor="text1"/>
        </w:rPr>
      </w:pPr>
    </w:p>
    <w:p w14:paraId="0848D9FA" w14:textId="77777777" w:rsidR="0035035C" w:rsidRDefault="0035035C" w:rsidP="0035035C">
      <w:pPr>
        <w:rPr>
          <w:b/>
          <w:bCs/>
          <w:color w:val="000000" w:themeColor="text1"/>
        </w:rPr>
      </w:pPr>
    </w:p>
    <w:p w14:paraId="6DDEFE2B" w14:textId="77777777" w:rsidR="0035035C" w:rsidRDefault="0035035C" w:rsidP="0035035C">
      <w:pPr>
        <w:rPr>
          <w:b/>
          <w:bCs/>
          <w:color w:val="000000" w:themeColor="text1"/>
        </w:rPr>
      </w:pPr>
    </w:p>
    <w:p w14:paraId="1EC9BA39" w14:textId="77777777" w:rsidR="000D4778" w:rsidRDefault="000D4778"/>
    <w:sectPr w:rsidR="000D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5C"/>
    <w:rsid w:val="000C50A9"/>
    <w:rsid w:val="000D4778"/>
    <w:rsid w:val="0035035C"/>
    <w:rsid w:val="00616775"/>
    <w:rsid w:val="00E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C4E9"/>
  <w15:chartTrackingRefBased/>
  <w15:docId w15:val="{7CE911C0-2D59-4F95-B636-AE41D42C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3503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5035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rsid w:val="00350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Gordon</dc:creator>
  <cp:keywords/>
  <dc:description/>
  <cp:lastModifiedBy>Kerry-Ann Mitchell</cp:lastModifiedBy>
  <cp:revision>3</cp:revision>
  <dcterms:created xsi:type="dcterms:W3CDTF">2020-11-11T17:10:00Z</dcterms:created>
  <dcterms:modified xsi:type="dcterms:W3CDTF">2020-11-13T11:29:00Z</dcterms:modified>
</cp:coreProperties>
</file>