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4FF28" w14:textId="4F7FA29D" w:rsidR="00007FBB" w:rsidRDefault="00007FBB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>Supplementary</w:t>
      </w:r>
      <w:r>
        <w:rPr>
          <w:rFonts w:ascii="Times New Roman" w:eastAsia="SimSun" w:hAnsi="Times New Roman" w:cs="Times New Roman" w:hint="eastAsia"/>
          <w:b/>
          <w:bCs/>
        </w:rPr>
        <w:t xml:space="preserve"> File 1.</w:t>
      </w:r>
      <w:r w:rsidR="003C6F2A">
        <w:rPr>
          <w:rFonts w:ascii="Times New Roman" w:eastAsia="SimSun" w:hAnsi="Times New Roman" w:cs="Times New Roman" w:hint="eastAsia"/>
          <w:b/>
          <w:bCs/>
        </w:rPr>
        <w:t xml:space="preserve"> Diagnostic criteria for severe sepsis and septic shock</w:t>
      </w:r>
    </w:p>
    <w:p w14:paraId="3F790706" w14:textId="77777777" w:rsidR="00623B7A" w:rsidRPr="002A4E11" w:rsidRDefault="00623B7A" w:rsidP="00623B7A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First: The patients should meet the diagnostic criteria sepsis. Sepsis=</w:t>
      </w:r>
      <w:r w:rsidRPr="002A4E11">
        <w:rPr>
          <w:color w:val="222222"/>
          <w:shd w:val="clear" w:color="auto" w:fill="FFFFFF"/>
        </w:rPr>
        <w:t xml:space="preserve">Infection (documented or suspected)+at least two of the following: </w:t>
      </w:r>
    </w:p>
    <w:p w14:paraId="210F52BD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" w:hAnsi="Times" w:cs="Times"/>
          <w:kern w:val="0"/>
        </w:rPr>
        <w:t xml:space="preserve">Fever (&gt; 38.3°C) or </w:t>
      </w:r>
      <w:r>
        <w:rPr>
          <w:rFonts w:ascii="Times" w:hAnsi="Times" w:cs="Times"/>
          <w:kern w:val="0"/>
        </w:rPr>
        <w:t>h</w:t>
      </w:r>
      <w:r w:rsidRPr="004F78C2">
        <w:rPr>
          <w:rFonts w:ascii="Times" w:hAnsi="Times" w:cs="Times"/>
          <w:kern w:val="0"/>
        </w:rPr>
        <w:t>ypothermia (core temperature &lt; 36°C)</w:t>
      </w:r>
    </w:p>
    <w:p w14:paraId="63E5E32A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" w:hAnsi="Times" w:cs="Times"/>
          <w:kern w:val="0"/>
        </w:rPr>
        <w:t>Heart rate &gt; 90/min</w:t>
      </w:r>
      <w:r w:rsidRPr="004F78C2">
        <w:rPr>
          <w:rFonts w:ascii="Times" w:hAnsi="Times" w:cs="Times"/>
          <w:kern w:val="0"/>
          <w:position w:val="8"/>
          <w:sz w:val="14"/>
          <w:szCs w:val="14"/>
        </w:rPr>
        <w:t xml:space="preserve">–1 </w:t>
      </w:r>
    </w:p>
    <w:p w14:paraId="0548BF8B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" w:hAnsi="Times" w:cs="Times"/>
          <w:kern w:val="0"/>
        </w:rPr>
        <w:t>Tachypnea: RR&gt;20/min or on mechanical ventilation</w:t>
      </w:r>
    </w:p>
    <w:p w14:paraId="52E8DF95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" w:hAnsi="Times" w:cs="Times"/>
          <w:kern w:val="0"/>
        </w:rPr>
        <w:t>Altered mental status</w:t>
      </w:r>
    </w:p>
    <w:p w14:paraId="4AD637C9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" w:hAnsi="Times" w:cs="Times"/>
          <w:kern w:val="0"/>
        </w:rPr>
        <w:t>Significant edema or positive fluid balance (&gt; 20 mL/kg over 24 hr)</w:t>
      </w:r>
    </w:p>
    <w:p w14:paraId="17270000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" w:hAnsi="Times" w:cs="Times"/>
          <w:kern w:val="0"/>
        </w:rPr>
        <w:t>Hyperglycemi</w:t>
      </w:r>
      <w:r>
        <w:rPr>
          <w:rFonts w:ascii="Times" w:hAnsi="Times" w:cs="Times"/>
          <w:kern w:val="0"/>
        </w:rPr>
        <w:t xml:space="preserve">a (plasma glucose &gt; </w:t>
      </w:r>
      <w:r w:rsidRPr="004F78C2">
        <w:rPr>
          <w:rFonts w:ascii="Times" w:hAnsi="Times" w:cs="Times"/>
          <w:kern w:val="0"/>
        </w:rPr>
        <w:t>7.7 mmol/L) in the absence of diabetes</w:t>
      </w:r>
    </w:p>
    <w:p w14:paraId="4E37BBA4" w14:textId="77777777" w:rsidR="00623B7A" w:rsidRPr="004F78C2" w:rsidRDefault="00623B7A" w:rsidP="00623B7A">
      <w:pPr>
        <w:pStyle w:val="a5"/>
        <w:widowControl/>
        <w:numPr>
          <w:ilvl w:val="0"/>
          <w:numId w:val="1"/>
        </w:numPr>
        <w:autoSpaceDE w:val="0"/>
        <w:autoSpaceDN w:val="0"/>
        <w:adjustRightInd w:val="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 New Roman" w:hAnsi="Times New Roman" w:cs="Times New Roman"/>
          <w:kern w:val="0"/>
        </w:rPr>
        <w:t>Leukocytosis (WBC count &gt; 12,000 μL</w:t>
      </w:r>
      <w:r w:rsidRPr="004F78C2">
        <w:rPr>
          <w:rFonts w:ascii="Times New Roman" w:hAnsi="Times New Roman" w:cs="Times New Roman"/>
          <w:kern w:val="0"/>
          <w:vertAlign w:val="superscript"/>
        </w:rPr>
        <w:t>-1</w:t>
      </w:r>
      <w:r w:rsidRPr="004F78C2">
        <w:rPr>
          <w:rFonts w:ascii="Times New Roman" w:hAnsi="Times New Roman" w:cs="Times New Roman"/>
          <w:kern w:val="0"/>
        </w:rPr>
        <w:t>) or Leukopenia (WBC count &lt; 4000 μL</w:t>
      </w:r>
      <w:r w:rsidRPr="004F78C2">
        <w:rPr>
          <w:rFonts w:ascii="Times New Roman" w:hAnsi="Times New Roman" w:cs="Times New Roman"/>
          <w:kern w:val="0"/>
          <w:vertAlign w:val="superscript"/>
        </w:rPr>
        <w:t>-1</w:t>
      </w:r>
      <w:r w:rsidRPr="004F78C2">
        <w:rPr>
          <w:rFonts w:ascii="Times New Roman" w:hAnsi="Times New Roman" w:cs="Times New Roman"/>
          <w:kern w:val="0"/>
        </w:rPr>
        <w:t xml:space="preserve">) or </w:t>
      </w:r>
      <w:r>
        <w:rPr>
          <w:rFonts w:ascii="Times New Roman" w:hAnsi="Times New Roman" w:cs="Times New Roman"/>
          <w:kern w:val="0"/>
        </w:rPr>
        <w:t>n</w:t>
      </w:r>
      <w:r w:rsidRPr="004F78C2">
        <w:rPr>
          <w:rFonts w:ascii="Times New Roman" w:hAnsi="Times New Roman" w:cs="Times New Roman"/>
          <w:kern w:val="0"/>
        </w:rPr>
        <w:t xml:space="preserve">ormal WBC count with greater than 10% immature forms </w:t>
      </w:r>
    </w:p>
    <w:p w14:paraId="4B2672E5" w14:textId="77777777" w:rsidR="00623B7A" w:rsidRPr="004C77C3" w:rsidRDefault="00623B7A" w:rsidP="00623B7A">
      <w:pPr>
        <w:contextualSpacing/>
      </w:pPr>
    </w:p>
    <w:p w14:paraId="1D129FBF" w14:textId="77777777" w:rsidR="00623B7A" w:rsidRPr="004C77C3" w:rsidRDefault="00623B7A" w:rsidP="00623B7A">
      <w:pPr>
        <w:contextualSpacing/>
      </w:pPr>
      <w:r w:rsidRPr="004C77C3">
        <w:t xml:space="preserve">Second: Severe Sepsis=Sepsis induced hypoperfusion or organ dysfunction. </w:t>
      </w:r>
      <w:r>
        <w:t>Sepsis+</w:t>
      </w:r>
      <w:r w:rsidRPr="004C77C3">
        <w:t>any one of the following:</w:t>
      </w:r>
    </w:p>
    <w:p w14:paraId="6E873315" w14:textId="77777777" w:rsidR="00623B7A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C77C3">
        <w:rPr>
          <w:rFonts w:ascii="Times New Roman" w:hAnsi="Times New Roman" w:cs="Times New Roman"/>
          <w:kern w:val="0"/>
        </w:rPr>
        <w:t>Se</w:t>
      </w:r>
      <w:r>
        <w:rPr>
          <w:rFonts w:ascii="Times New Roman" w:hAnsi="Times New Roman" w:cs="Times New Roman"/>
          <w:kern w:val="0"/>
        </w:rPr>
        <w:t>psis-induced hypotension: MAP&lt;</w:t>
      </w:r>
      <w:r>
        <w:rPr>
          <w:rFonts w:ascii="Times New Roman" w:hAnsi="Times New Roman" w:cs="Times New Roman" w:hint="eastAsia"/>
          <w:kern w:val="0"/>
        </w:rPr>
        <w:t>70</w:t>
      </w:r>
      <w:r w:rsidRPr="004C77C3">
        <w:rPr>
          <w:rFonts w:ascii="Times New Roman" w:hAnsi="Times New Roman" w:cs="Times New Roman"/>
          <w:kern w:val="0"/>
        </w:rPr>
        <w:t>mmHg</w:t>
      </w:r>
    </w:p>
    <w:p w14:paraId="53BF9E85" w14:textId="77777777" w:rsidR="00623B7A" w:rsidRPr="004F78C2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F78C2">
        <w:rPr>
          <w:rFonts w:ascii="Times New Roman" w:hAnsi="Times New Roman" w:cs="Times New Roman"/>
          <w:kern w:val="0"/>
        </w:rPr>
        <w:t>Lactate</w:t>
      </w:r>
      <w:r w:rsidRPr="004F78C2">
        <w:rPr>
          <w:rFonts w:ascii="Times New Roman" w:eastAsia="宋体" w:hAnsi="Times New Roman" w:cs="Times New Roman"/>
          <w:kern w:val="0"/>
        </w:rPr>
        <w:t>≥</w:t>
      </w:r>
      <w:r w:rsidRPr="004F78C2">
        <w:rPr>
          <w:rFonts w:ascii="Times New Roman" w:hAnsi="Times New Roman" w:cs="Times New Roman"/>
          <w:kern w:val="0"/>
        </w:rPr>
        <w:t>2 mmol/L</w:t>
      </w:r>
    </w:p>
    <w:p w14:paraId="793131C0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C77C3">
        <w:rPr>
          <w:rFonts w:ascii="Times New Roman" w:hAnsi="Times New Roman" w:cs="Times New Roman"/>
          <w:kern w:val="0"/>
        </w:rPr>
        <w:t xml:space="preserve">Urine output &lt; 0.5 mL/kg/hr for more than 2 hrs despite adequate fluid resuscitation </w:t>
      </w:r>
    </w:p>
    <w:p w14:paraId="6F4E7FFE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C77C3">
        <w:rPr>
          <w:rFonts w:ascii="Times New Roman" w:hAnsi="Times New Roman" w:cs="Times New Roman"/>
          <w:kern w:val="0"/>
        </w:rPr>
        <w:t>Acute lung injury with PaO</w:t>
      </w:r>
      <w:r w:rsidRPr="00981B13">
        <w:rPr>
          <w:rFonts w:ascii="Times New Roman" w:hAnsi="Times New Roman" w:cs="Times New Roman"/>
          <w:kern w:val="0"/>
          <w:vertAlign w:val="subscript"/>
        </w:rPr>
        <w:t>2</w:t>
      </w:r>
      <w:r w:rsidRPr="004C77C3">
        <w:rPr>
          <w:rFonts w:ascii="Times New Roman" w:hAnsi="Times New Roman" w:cs="Times New Roman"/>
          <w:kern w:val="0"/>
        </w:rPr>
        <w:t>/FIO</w:t>
      </w:r>
      <w:r w:rsidRPr="00981B13">
        <w:rPr>
          <w:rFonts w:ascii="Times New Roman" w:hAnsi="Times New Roman" w:cs="Times New Roman"/>
          <w:kern w:val="0"/>
          <w:vertAlign w:val="subscript"/>
        </w:rPr>
        <w:t>2</w:t>
      </w:r>
      <w:r w:rsidRPr="004C77C3">
        <w:rPr>
          <w:rFonts w:ascii="Times New Roman" w:hAnsi="Times New Roman" w:cs="Times New Roman"/>
          <w:kern w:val="0"/>
          <w:position w:val="-8"/>
        </w:rPr>
        <w:t xml:space="preserve"> </w:t>
      </w:r>
      <w:r w:rsidRPr="004C77C3">
        <w:rPr>
          <w:rFonts w:ascii="Times New Roman" w:hAnsi="Times New Roman" w:cs="Times New Roman"/>
          <w:kern w:val="0"/>
        </w:rPr>
        <w:t xml:space="preserve">&lt; 250 in the absence of pneumonia as infection source </w:t>
      </w:r>
    </w:p>
    <w:p w14:paraId="31912D2F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C77C3">
        <w:rPr>
          <w:rFonts w:ascii="Times New Roman" w:hAnsi="Times New Roman" w:cs="Times New Roman"/>
          <w:kern w:val="0"/>
        </w:rPr>
        <w:t>Acute lung injury with PaO</w:t>
      </w:r>
      <w:r w:rsidRPr="00981B13">
        <w:rPr>
          <w:rFonts w:ascii="Times New Roman" w:hAnsi="Times New Roman" w:cs="Times New Roman"/>
          <w:kern w:val="0"/>
          <w:vertAlign w:val="subscript"/>
        </w:rPr>
        <w:t>2</w:t>
      </w:r>
      <w:r w:rsidRPr="004C77C3">
        <w:rPr>
          <w:rFonts w:ascii="Times New Roman" w:hAnsi="Times New Roman" w:cs="Times New Roman"/>
          <w:kern w:val="0"/>
        </w:rPr>
        <w:t>/FIO</w:t>
      </w:r>
      <w:r w:rsidRPr="00981B13">
        <w:rPr>
          <w:rFonts w:ascii="Times New Roman" w:hAnsi="Times New Roman" w:cs="Times New Roman"/>
          <w:kern w:val="0"/>
          <w:vertAlign w:val="subscript"/>
        </w:rPr>
        <w:t>2</w:t>
      </w:r>
      <w:r w:rsidRPr="004C77C3">
        <w:rPr>
          <w:rFonts w:ascii="Times New Roman" w:hAnsi="Times New Roman" w:cs="Times New Roman"/>
          <w:kern w:val="0"/>
          <w:position w:val="-8"/>
        </w:rPr>
        <w:t xml:space="preserve"> </w:t>
      </w:r>
      <w:r w:rsidRPr="004C77C3">
        <w:rPr>
          <w:rFonts w:ascii="Times New Roman" w:hAnsi="Times New Roman" w:cs="Times New Roman"/>
          <w:kern w:val="0"/>
        </w:rPr>
        <w:t xml:space="preserve">&lt; 200 in the presence of pneumonia as infection source </w:t>
      </w:r>
    </w:p>
    <w:p w14:paraId="297F2BEF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bookmarkStart w:id="0" w:name="OLE_LINK83"/>
      <w:bookmarkStart w:id="1" w:name="OLE_LINK84"/>
      <w:r>
        <w:rPr>
          <w:rFonts w:ascii="Times New Roman" w:hAnsi="Times New Roman" w:cs="Times New Roman"/>
          <w:kern w:val="0"/>
        </w:rPr>
        <w:t xml:space="preserve">Creatinine </w:t>
      </w:r>
      <w:bookmarkEnd w:id="0"/>
      <w:bookmarkEnd w:id="1"/>
      <w:r>
        <w:rPr>
          <w:rFonts w:ascii="Times New Roman" w:hAnsi="Times New Roman" w:cs="Times New Roman"/>
          <w:kern w:val="0"/>
        </w:rPr>
        <w:t>&gt; 176.8 μ</w:t>
      </w:r>
      <w:bookmarkStart w:id="2" w:name="OLE_LINK85"/>
      <w:bookmarkStart w:id="3" w:name="OLE_LINK86"/>
      <w:r>
        <w:rPr>
          <w:rFonts w:ascii="Times New Roman" w:hAnsi="Times New Roman" w:cs="Times New Roman"/>
          <w:kern w:val="0"/>
        </w:rPr>
        <w:t>mol</w:t>
      </w:r>
      <w:bookmarkEnd w:id="2"/>
      <w:bookmarkEnd w:id="3"/>
      <w:r>
        <w:rPr>
          <w:rFonts w:ascii="Times New Roman" w:hAnsi="Times New Roman" w:cs="Times New Roman"/>
          <w:kern w:val="0"/>
        </w:rPr>
        <w:t>/L</w:t>
      </w:r>
    </w:p>
    <w:p w14:paraId="0EC52AB9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Bilirubin &gt; 34.2 μmol/L</w:t>
      </w:r>
    </w:p>
    <w:p w14:paraId="3D04A5D7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 w:rsidRPr="004C77C3">
        <w:rPr>
          <w:rFonts w:ascii="Times New Roman" w:hAnsi="Times New Roman" w:cs="Times New Roman"/>
          <w:kern w:val="0"/>
        </w:rPr>
        <w:t>Platelet count &lt; 100,000 μ</w:t>
      </w:r>
      <w:bookmarkStart w:id="4" w:name="OLE_LINK87"/>
      <w:bookmarkStart w:id="5" w:name="OLE_LINK88"/>
      <w:r w:rsidRPr="004C77C3">
        <w:rPr>
          <w:rFonts w:ascii="Times New Roman" w:hAnsi="Times New Roman" w:cs="Times New Roman"/>
          <w:kern w:val="0"/>
        </w:rPr>
        <w:t xml:space="preserve">L </w:t>
      </w:r>
      <w:bookmarkEnd w:id="4"/>
      <w:bookmarkEnd w:id="5"/>
    </w:p>
    <w:p w14:paraId="765B1081" w14:textId="77777777" w:rsidR="00623B7A" w:rsidRPr="004C77C3" w:rsidRDefault="00623B7A" w:rsidP="00623B7A">
      <w:pPr>
        <w:pStyle w:val="a5"/>
        <w:widowControl/>
        <w:numPr>
          <w:ilvl w:val="0"/>
          <w:numId w:val="2"/>
        </w:numPr>
        <w:autoSpaceDE w:val="0"/>
        <w:autoSpaceDN w:val="0"/>
        <w:adjustRightInd w:val="0"/>
        <w:spacing w:after="240"/>
        <w:ind w:firstLineChars="0"/>
        <w:contextualSpacing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  <w:kern w:val="0"/>
        </w:rPr>
        <w:t>INR</w:t>
      </w:r>
      <w:r>
        <w:rPr>
          <w:rFonts w:ascii="Times New Roman" w:hAnsi="Times New Roman" w:cs="Times New Roman"/>
          <w:kern w:val="0"/>
        </w:rPr>
        <w:t xml:space="preserve"> &gt; 1.5</w:t>
      </w:r>
    </w:p>
    <w:p w14:paraId="509356E2" w14:textId="58CD652A" w:rsidR="00623B7A" w:rsidRPr="00623B7A" w:rsidRDefault="00623B7A" w:rsidP="00623B7A">
      <w:pPr>
        <w:contextualSpacing/>
        <w:rPr>
          <w:rFonts w:ascii="Times" w:hAnsi="Times" w:cs="Times"/>
        </w:rPr>
      </w:pPr>
      <w:r w:rsidRPr="00E21316">
        <w:rPr>
          <w:rFonts w:ascii="Times" w:hAnsi="Times" w:cs="Times"/>
          <w:sz w:val="26"/>
          <w:szCs w:val="26"/>
        </w:rPr>
        <w:t>Septic shock is de</w:t>
      </w:r>
      <w:r w:rsidRPr="00E21316">
        <w:rPr>
          <w:rFonts w:ascii="Times" w:hAnsi="Times" w:cs="Times" w:hint="eastAsia"/>
          <w:sz w:val="26"/>
          <w:szCs w:val="26"/>
        </w:rPr>
        <w:t>fi</w:t>
      </w:r>
      <w:r w:rsidRPr="00E21316">
        <w:rPr>
          <w:rFonts w:ascii="Times" w:hAnsi="Times" w:cs="Times"/>
          <w:sz w:val="26"/>
          <w:szCs w:val="26"/>
        </w:rPr>
        <w:t xml:space="preserve">ned as sepsis-induced hypotension persisting despite adequate fluid resuscitation. </w:t>
      </w:r>
    </w:p>
    <w:p w14:paraId="636E1E4C" w14:textId="77777777" w:rsidR="00007FBB" w:rsidRDefault="00007FBB" w:rsidP="00623B7A">
      <w:pPr>
        <w:pStyle w:val="EndNoteBibliography"/>
        <w:rPr>
          <w:rFonts w:ascii="Times New Roman" w:eastAsia="SimSun" w:hAnsi="Times New Roman" w:cs="Times New Roman"/>
          <w:b/>
          <w:bCs/>
        </w:rPr>
      </w:pPr>
    </w:p>
    <w:p w14:paraId="18C0A595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bookmarkStart w:id="6" w:name="OLE_LINK361"/>
      <w:bookmarkStart w:id="7" w:name="OLE_LINK362"/>
    </w:p>
    <w:p w14:paraId="319D148E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722A53BD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CDB76CA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6A690A68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AC12E9E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40264062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1680D967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68210A2D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6903E4F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76B32DFE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2F86C8C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1F6919B1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1E0B652F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3635734C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3B94FF6E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E17EA1D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67D3B7E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1D602C43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0D8ED7DD" w14:textId="77777777" w:rsidR="00A2647E" w:rsidRDefault="00A2647E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299A41F3" w14:textId="46120D04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>Supplementary</w:t>
      </w:r>
      <w:bookmarkEnd w:id="6"/>
      <w:bookmarkEnd w:id="7"/>
      <w:r w:rsidR="00B75F86">
        <w:rPr>
          <w:rFonts w:ascii="Times New Roman" w:eastAsia="SimSun" w:hAnsi="Times New Roman" w:cs="Times New Roman"/>
          <w:b/>
          <w:bCs/>
        </w:rPr>
        <w:t xml:space="preserve"> Fig</w:t>
      </w:r>
      <w:r w:rsidR="00B75F86">
        <w:rPr>
          <w:rFonts w:ascii="Times New Roman" w:eastAsia="SimSun" w:hAnsi="Times New Roman" w:cs="Times New Roman" w:hint="eastAsia"/>
          <w:b/>
          <w:bCs/>
        </w:rPr>
        <w:t>.</w:t>
      </w:r>
      <w:r>
        <w:rPr>
          <w:rFonts w:ascii="Times New Roman" w:eastAsia="SimSun" w:hAnsi="Times New Roman" w:cs="Times New Roman"/>
          <w:b/>
          <w:bCs/>
        </w:rPr>
        <w:t xml:space="preserve"> 1. A flow chart for processing and examining sample </w:t>
      </w:r>
    </w:p>
    <w:p w14:paraId="1DE0D91A" w14:textId="77777777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55F57B68" w14:textId="77777777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 w:hint="eastAsia"/>
          <w:b/>
          <w:bCs/>
          <w:noProof/>
        </w:rPr>
        <w:drawing>
          <wp:inline distT="0" distB="0" distL="0" distR="0" wp14:anchorId="3CB068C6" wp14:editId="56B050EA">
            <wp:extent cx="5943600" cy="42837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3121" w14:textId="77777777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</w:rPr>
      </w:pPr>
    </w:p>
    <w:p w14:paraId="2E458B7E" w14:textId="016E81DD" w:rsidR="008B5B4C" w:rsidRDefault="00B75F86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>Supplementary Fig</w:t>
      </w:r>
      <w:r>
        <w:rPr>
          <w:rFonts w:ascii="Times New Roman" w:eastAsia="SimSun" w:hAnsi="Times New Roman" w:cs="Times New Roman" w:hint="eastAsia"/>
          <w:b/>
          <w:bCs/>
        </w:rPr>
        <w:t>.</w:t>
      </w:r>
      <w:r w:rsidR="008B5B4C">
        <w:rPr>
          <w:rFonts w:ascii="Times New Roman" w:eastAsia="SimSun" w:hAnsi="Times New Roman" w:cs="Times New Roman"/>
          <w:b/>
          <w:bCs/>
        </w:rPr>
        <w:t xml:space="preserve"> 2. Flow cytometry plot and gate for </w:t>
      </w:r>
      <w:bookmarkStart w:id="8" w:name="OLE_LINK367"/>
      <w:bookmarkStart w:id="9" w:name="OLE_LINK368"/>
      <w:r w:rsidR="003E3E3D">
        <w:rPr>
          <w:rFonts w:ascii="Times New Roman" w:eastAsia="SimSun" w:hAnsi="Times New Roman" w:cs="Times New Roman" w:hint="eastAsia"/>
          <w:b/>
          <w:bCs/>
        </w:rPr>
        <w:t xml:space="preserve">percentage of </w:t>
      </w:r>
      <w:r w:rsidR="008B5B4C">
        <w:rPr>
          <w:rFonts w:ascii="Times New Roman" w:hAnsi="Times New Roman" w:cs="Times New Roman"/>
          <w:b/>
          <w:bCs/>
        </w:rPr>
        <w:t>γδ T cells</w:t>
      </w:r>
      <w:bookmarkEnd w:id="8"/>
      <w:bookmarkEnd w:id="9"/>
      <w:r w:rsidR="008B5B4C">
        <w:rPr>
          <w:rFonts w:ascii="Times New Roman" w:eastAsia="SimSun" w:hAnsi="Times New Roman" w:cs="Times New Roman"/>
          <w:b/>
          <w:bCs/>
        </w:rPr>
        <w:t xml:space="preserve"> </w:t>
      </w:r>
    </w:p>
    <w:p w14:paraId="3A8CD232" w14:textId="44DEAF91" w:rsidR="00F06014" w:rsidRDefault="00DE48C6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  <w:noProof/>
        </w:rPr>
        <w:drawing>
          <wp:inline distT="0" distB="0" distL="0" distR="0" wp14:anchorId="2E022E56" wp14:editId="4F35AB90">
            <wp:extent cx="5943600" cy="354266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Figur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25B5" w14:textId="35DC8EA9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bookmarkStart w:id="10" w:name="OLE_LINK208"/>
      <w:bookmarkStart w:id="11" w:name="OLE_LINK209"/>
    </w:p>
    <w:bookmarkEnd w:id="10"/>
    <w:bookmarkEnd w:id="11"/>
    <w:p w14:paraId="09846ECB" w14:textId="3789DFC1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389B13A6" w14:textId="77777777" w:rsidR="008B5B4C" w:rsidRDefault="008B5B4C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</w:p>
    <w:p w14:paraId="304DA019" w14:textId="63882DD4" w:rsidR="008B5B4C" w:rsidRDefault="00DA7184" w:rsidP="008B5B4C">
      <w:pPr>
        <w:pStyle w:val="EndNoteBibliography"/>
        <w:ind w:left="720" w:hanging="720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/>
          <w:b/>
          <w:bCs/>
        </w:rPr>
        <w:t>Supplementary Fig</w:t>
      </w:r>
      <w:r>
        <w:rPr>
          <w:rFonts w:ascii="Times New Roman" w:eastAsia="SimSun" w:hAnsi="Times New Roman" w:cs="Times New Roman" w:hint="eastAsia"/>
          <w:b/>
          <w:bCs/>
        </w:rPr>
        <w:t>.</w:t>
      </w:r>
      <w:r w:rsidR="008B5B4C">
        <w:rPr>
          <w:rFonts w:ascii="Times New Roman" w:eastAsia="SimSun" w:hAnsi="Times New Roman" w:cs="Times New Roman"/>
          <w:b/>
          <w:bCs/>
        </w:rPr>
        <w:t xml:space="preserve"> 3. </w:t>
      </w:r>
      <w:bookmarkStart w:id="12" w:name="OLE_LINK365"/>
      <w:bookmarkStart w:id="13" w:name="OLE_LINK366"/>
      <w:r w:rsidR="008B5B4C">
        <w:rPr>
          <w:rFonts w:ascii="Times New Roman" w:eastAsia="SimSun" w:hAnsi="Times New Roman" w:cs="Times New Roman"/>
          <w:b/>
          <w:bCs/>
        </w:rPr>
        <w:t>Flow cytometry plot of intracellular staining for IFN-</w:t>
      </w:r>
      <w:r w:rsidR="008B5B4C">
        <w:rPr>
          <w:rFonts w:ascii="Times New Roman" w:eastAsia="SimSun" w:hAnsi="Times New Roman" w:cs="Times New Roman"/>
          <w:b/>
          <w:bCs/>
        </w:rPr>
        <w:sym w:font="Symbol" w:char="0067"/>
      </w:r>
      <w:r w:rsidR="008B5B4C">
        <w:rPr>
          <w:rFonts w:ascii="Times New Roman" w:eastAsia="SimSun" w:hAnsi="Times New Roman" w:cs="Times New Roman"/>
          <w:b/>
          <w:bCs/>
        </w:rPr>
        <w:t xml:space="preserve"> </w:t>
      </w:r>
      <w:bookmarkEnd w:id="12"/>
      <w:bookmarkEnd w:id="13"/>
      <w:r w:rsidR="008B5B4C">
        <w:rPr>
          <w:rFonts w:ascii="Times New Roman" w:eastAsia="SimSun" w:hAnsi="Times New Roman" w:cs="Times New Roman"/>
          <w:b/>
          <w:bCs/>
        </w:rPr>
        <w:t xml:space="preserve"> (left panel) and histogram for surface staining of CD69 (right panel)</w:t>
      </w:r>
      <w:r w:rsidR="00A35D5E">
        <w:rPr>
          <w:rFonts w:ascii="Times New Roman" w:eastAsia="SimSun" w:hAnsi="Times New Roman" w:cs="Times New Roman" w:hint="eastAsia"/>
          <w:b/>
          <w:bCs/>
        </w:rPr>
        <w:t xml:space="preserve"> </w:t>
      </w:r>
    </w:p>
    <w:p w14:paraId="2D039BED" w14:textId="53583370" w:rsidR="008B5B4C" w:rsidRDefault="00C45786" w:rsidP="00C45786">
      <w:pPr>
        <w:pStyle w:val="EndNoteBibliography"/>
        <w:rPr>
          <w:rFonts w:ascii="Times New Roman" w:eastAsia="SimSun" w:hAnsi="Times New Roman" w:cs="Times New Roman"/>
          <w:b/>
          <w:bCs/>
        </w:rPr>
      </w:pPr>
      <w:r>
        <w:rPr>
          <w:rFonts w:ascii="Times New Roman" w:eastAsia="SimSun" w:hAnsi="Times New Roman" w:cs="Times New Roman" w:hint="eastAsia"/>
          <w:b/>
          <w:bCs/>
          <w:noProof/>
        </w:rPr>
        <w:drawing>
          <wp:inline distT="0" distB="0" distL="0" distR="0" wp14:anchorId="79BA3F54" wp14:editId="58649747">
            <wp:extent cx="5372100" cy="3720868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nt Figure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E67C" w14:textId="77777777" w:rsidR="008B5B4C" w:rsidRDefault="008B5B4C" w:rsidP="008B5B4C">
      <w:pPr>
        <w:rPr>
          <w:b/>
          <w:bCs/>
        </w:rPr>
      </w:pPr>
    </w:p>
    <w:p w14:paraId="1B3E426E" w14:textId="58FC0C84" w:rsidR="00C45786" w:rsidRDefault="00DA7184" w:rsidP="00C45786">
      <w:pPr>
        <w:pStyle w:val="EndNoteBibliography"/>
        <w:ind w:left="720" w:hanging="720"/>
        <w:rPr>
          <w:rFonts w:ascii="Times New Roman" w:hAnsi="Times New Roman" w:cs="Times New Roman"/>
          <w:b/>
          <w:kern w:val="0"/>
        </w:rPr>
      </w:pPr>
      <w:bookmarkStart w:id="14" w:name="OLE_LINK446"/>
      <w:bookmarkStart w:id="15" w:name="OLE_LINK447"/>
      <w:r>
        <w:rPr>
          <w:rFonts w:ascii="Times New Roman" w:eastAsia="SimSun" w:hAnsi="Times New Roman" w:cs="Times New Roman"/>
          <w:b/>
          <w:bCs/>
        </w:rPr>
        <w:t>Supplementary Fig</w:t>
      </w:r>
      <w:r>
        <w:rPr>
          <w:rFonts w:ascii="Times New Roman" w:eastAsia="SimSun" w:hAnsi="Times New Roman" w:cs="Times New Roman" w:hint="eastAsia"/>
          <w:b/>
          <w:bCs/>
        </w:rPr>
        <w:t>.</w:t>
      </w:r>
      <w:r w:rsidR="00DC1921" w:rsidRPr="00BA4CA2">
        <w:rPr>
          <w:rFonts w:ascii="Times New Roman" w:eastAsia="SimSun" w:hAnsi="Times New Roman" w:cs="Times New Roman"/>
          <w:b/>
          <w:bCs/>
        </w:rPr>
        <w:t xml:space="preserve"> 4. </w:t>
      </w:r>
      <w:bookmarkStart w:id="16" w:name="OLE_LINK385"/>
      <w:bookmarkStart w:id="17" w:name="OLE_LINK386"/>
      <w:r w:rsidR="00BA4CA2" w:rsidRPr="00BA4CA2">
        <w:rPr>
          <w:rFonts w:ascii="Times New Roman" w:hAnsi="Times New Roman" w:cs="Helvetica" w:hint="eastAsia"/>
          <w:b/>
          <w:kern w:val="0"/>
        </w:rPr>
        <w:t xml:space="preserve">An example for the gating strategy </w:t>
      </w:r>
      <w:r w:rsidR="00BA4CA2" w:rsidRPr="00BA4CA2">
        <w:rPr>
          <w:rFonts w:ascii="Times New Roman" w:eastAsia="SimSun" w:hAnsi="Times New Roman" w:cs="Times New Roman" w:hint="eastAsia"/>
          <w:b/>
          <w:bCs/>
        </w:rPr>
        <w:t xml:space="preserve">for intracellular cytokines production by </w:t>
      </w:r>
      <w:r w:rsidR="00BA4CA2" w:rsidRPr="00BA4CA2">
        <w:rPr>
          <w:rFonts w:ascii="Times New Roman" w:hAnsi="Times New Roman" w:cs="Times New Roman"/>
          <w:b/>
          <w:bCs/>
        </w:rPr>
        <w:t>γδ T cells</w:t>
      </w:r>
      <w:r w:rsidR="00BA4CA2" w:rsidRPr="00BA4CA2">
        <w:rPr>
          <w:rFonts w:ascii="Times New Roman" w:hAnsi="Times New Roman" w:cs="Times New Roman" w:hint="eastAsia"/>
          <w:b/>
          <w:bCs/>
        </w:rPr>
        <w:t xml:space="preserve"> </w:t>
      </w:r>
      <w:r w:rsidR="00BA4CA2" w:rsidRPr="00BA4CA2">
        <w:rPr>
          <w:rFonts w:ascii="Times New Roman" w:hAnsi="Times New Roman" w:cs="Helvetica"/>
          <w:b/>
          <w:kern w:val="0"/>
        </w:rPr>
        <w:t>exported from Flow</w:t>
      </w:r>
      <w:r w:rsidR="00BA4CA2" w:rsidRPr="000E75F6">
        <w:rPr>
          <w:rFonts w:ascii="Times New Roman" w:hAnsi="Times New Roman" w:cs="Helvetica"/>
          <w:b/>
          <w:kern w:val="0"/>
        </w:rPr>
        <w:t>jo</w:t>
      </w:r>
      <w:r w:rsidR="000E75F6" w:rsidRPr="000E75F6">
        <w:rPr>
          <w:rFonts w:ascii="Times New Roman" w:hAnsi="Times New Roman" w:cs="Helvetica" w:hint="eastAsia"/>
          <w:b/>
          <w:kern w:val="0"/>
        </w:rPr>
        <w:t xml:space="preserve"> </w:t>
      </w:r>
      <w:r w:rsidR="000E75F6" w:rsidRPr="000E75F6">
        <w:rPr>
          <w:rFonts w:ascii="Times New Roman" w:hAnsi="Times New Roman" w:cs="Times New Roman"/>
          <w:b/>
          <w:kern w:val="0"/>
        </w:rPr>
        <w:t>software</w:t>
      </w:r>
    </w:p>
    <w:p w14:paraId="3EB83AB1" w14:textId="62E8EE7E" w:rsidR="006B3CB2" w:rsidRPr="00C45786" w:rsidRDefault="009C4609" w:rsidP="00C45786">
      <w:pPr>
        <w:pStyle w:val="EndNoteBibliography"/>
        <w:ind w:left="720" w:hanging="720"/>
        <w:rPr>
          <w:rFonts w:ascii="Times New Roman" w:hAnsi="Times New Roman" w:cs="Times New Roman"/>
          <w:b/>
          <w:kern w:val="0"/>
        </w:rPr>
      </w:pPr>
      <w:bookmarkStart w:id="18" w:name="_GoBack"/>
      <w:bookmarkEnd w:id="14"/>
      <w:bookmarkEnd w:id="15"/>
      <w:bookmarkEnd w:id="16"/>
      <w:bookmarkEnd w:id="17"/>
      <w:r>
        <w:rPr>
          <w:rFonts w:ascii="Times New Roman" w:hAnsi="Times New Roman" w:cs="Times New Roman"/>
          <w:b/>
          <w:noProof/>
          <w:kern w:val="0"/>
        </w:rPr>
        <w:drawing>
          <wp:inline distT="0" distB="0" distL="0" distR="0" wp14:anchorId="1D123151" wp14:editId="754B44AD">
            <wp:extent cx="5894480" cy="335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Figure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64" cy="335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sectPr w:rsidR="006B3CB2" w:rsidRPr="00C45786">
      <w:headerReference w:type="default" r:id="rId12"/>
      <w:footerReference w:type="default" r:id="rId13"/>
      <w:pgSz w:w="11900" w:h="16840"/>
      <w:pgMar w:top="1440" w:right="1460" w:bottom="1440" w:left="108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0A02C" w14:textId="77777777" w:rsidR="00A35D5E" w:rsidRDefault="00A35D5E">
      <w:pPr>
        <w:spacing w:after="0" w:line="240" w:lineRule="auto"/>
      </w:pPr>
      <w:r>
        <w:separator/>
      </w:r>
    </w:p>
  </w:endnote>
  <w:endnote w:type="continuationSeparator" w:id="0">
    <w:p w14:paraId="1BE4B503" w14:textId="77777777" w:rsidR="00A35D5E" w:rsidRDefault="00A3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78B857" w14:textId="77777777" w:rsidR="00A35D5E" w:rsidRDefault="002620FE">
    <w:pPr>
      <w:pStyle w:val="HeaderFooter"/>
    </w:pPr>
    <w:r>
      <w:pict w14:anchorId="0FB69DAE"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1025" type="#_x0000_t202" style="position:absolute;margin-left:0;margin-top:0;width:6.05pt;height:25.8pt;z-index:251659264;mso-wrap-style:none;mso-position-horizontal-relative:margin" filled="f" stroked="f">
          <v:textbox style="mso-fit-shape-to-text:t" inset="0,0,0,0">
            <w:txbxContent>
              <w:p w14:paraId="6BCBD78D" w14:textId="77777777" w:rsidR="00A35D5E" w:rsidRDefault="00A35D5E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2620FE" w:rsidRPr="002620FE">
                  <w:rPr>
                    <w:noProof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D9F2A" w14:textId="77777777" w:rsidR="00A35D5E" w:rsidRDefault="00A35D5E">
      <w:pPr>
        <w:spacing w:after="0" w:line="240" w:lineRule="auto"/>
      </w:pPr>
      <w:r>
        <w:separator/>
      </w:r>
    </w:p>
  </w:footnote>
  <w:footnote w:type="continuationSeparator" w:id="0">
    <w:p w14:paraId="0202B7B0" w14:textId="77777777" w:rsidR="00A35D5E" w:rsidRDefault="00A3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5D9A74" w14:textId="77777777" w:rsidR="00A35D5E" w:rsidRDefault="00A35D5E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411"/>
    <w:multiLevelType w:val="hybridMultilevel"/>
    <w:tmpl w:val="BCD4BA0A"/>
    <w:lvl w:ilvl="0" w:tplc="82F4280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F986F40"/>
    <w:multiLevelType w:val="hybridMultilevel"/>
    <w:tmpl w:val="7A8481B2"/>
    <w:lvl w:ilvl="0" w:tplc="82F4280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4C"/>
    <w:rsid w:val="00007FBB"/>
    <w:rsid w:val="00076586"/>
    <w:rsid w:val="00091CBD"/>
    <w:rsid w:val="000E75F6"/>
    <w:rsid w:val="001434ED"/>
    <w:rsid w:val="001550DD"/>
    <w:rsid w:val="001B4731"/>
    <w:rsid w:val="002620FE"/>
    <w:rsid w:val="0027268E"/>
    <w:rsid w:val="003B42CD"/>
    <w:rsid w:val="003C6F2A"/>
    <w:rsid w:val="003E3E3D"/>
    <w:rsid w:val="00623B7A"/>
    <w:rsid w:val="00670C53"/>
    <w:rsid w:val="006B3CB2"/>
    <w:rsid w:val="007633F4"/>
    <w:rsid w:val="00794D52"/>
    <w:rsid w:val="008B5B4C"/>
    <w:rsid w:val="00987EBD"/>
    <w:rsid w:val="009C4609"/>
    <w:rsid w:val="00A2647E"/>
    <w:rsid w:val="00A35D5E"/>
    <w:rsid w:val="00A666EB"/>
    <w:rsid w:val="00B75F86"/>
    <w:rsid w:val="00B835BE"/>
    <w:rsid w:val="00BA4CA2"/>
    <w:rsid w:val="00C254DA"/>
    <w:rsid w:val="00C45786"/>
    <w:rsid w:val="00C947F8"/>
    <w:rsid w:val="00DA7184"/>
    <w:rsid w:val="00DC1921"/>
    <w:rsid w:val="00DE48C6"/>
    <w:rsid w:val="00E469AD"/>
    <w:rsid w:val="00E775AC"/>
    <w:rsid w:val="00F0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6876D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B4C"/>
    <w:pPr>
      <w:autoSpaceDE w:val="0"/>
      <w:autoSpaceDN w:val="0"/>
      <w:adjustRightInd w:val="0"/>
      <w:spacing w:after="240" w:line="200" w:lineRule="atLeast"/>
    </w:pPr>
    <w:rPr>
      <w:rFonts w:ascii="Times New Roman" w:eastAsia="SimSu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rsid w:val="008B5B4C"/>
    <w:pPr>
      <w:widowControl w:val="0"/>
    </w:pPr>
    <w:rPr>
      <w:rFonts w:ascii="Cambria" w:eastAsia="Cambria" w:hAnsi="Cambria" w:cs="Cambria"/>
      <w:color w:val="000000"/>
      <w:u w:color="000000"/>
    </w:rPr>
  </w:style>
  <w:style w:type="paragraph" w:customStyle="1" w:styleId="HeaderFooter">
    <w:name w:val="Header &amp; Footer"/>
    <w:rsid w:val="008B5B4C"/>
    <w:pPr>
      <w:tabs>
        <w:tab w:val="right" w:pos="9020"/>
      </w:tabs>
    </w:pPr>
    <w:rPr>
      <w:rFonts w:ascii="Helvetica" w:eastAsia="Arial Unicode MS" w:hAnsi="Helvetica" w:cs="Arial Unicode MS"/>
      <w:color w:val="000000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8B5B4C"/>
    <w:pPr>
      <w:spacing w:after="0" w:line="240" w:lineRule="auto"/>
    </w:pPr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B5B4C"/>
    <w:rPr>
      <w:rFonts w:ascii="Heiti SC Light" w:eastAsia="Heiti SC Light" w:hAnsi="Times New Roman" w:cs="Times New Roman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623B7A"/>
    <w:pPr>
      <w:widowControl w:val="0"/>
      <w:autoSpaceDE/>
      <w:autoSpaceDN/>
      <w:adjustRightInd/>
      <w:spacing w:after="0" w:line="24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</w:rPr>
  </w:style>
  <w:style w:type="paragraph" w:styleId="a6">
    <w:name w:val="Normal (Web)"/>
    <w:basedOn w:val="a"/>
    <w:uiPriority w:val="99"/>
    <w:semiHidden/>
    <w:unhideWhenUsed/>
    <w:rsid w:val="00F06014"/>
    <w:pPr>
      <w:autoSpaceDE/>
      <w:autoSpaceDN/>
      <w:adjustRightInd/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B4C"/>
    <w:pPr>
      <w:autoSpaceDE w:val="0"/>
      <w:autoSpaceDN w:val="0"/>
      <w:adjustRightInd w:val="0"/>
      <w:spacing w:after="240" w:line="200" w:lineRule="atLeast"/>
    </w:pPr>
    <w:rPr>
      <w:rFonts w:ascii="Times New Roman" w:eastAsia="SimSu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rsid w:val="008B5B4C"/>
    <w:pPr>
      <w:widowControl w:val="0"/>
    </w:pPr>
    <w:rPr>
      <w:rFonts w:ascii="Cambria" w:eastAsia="Cambria" w:hAnsi="Cambria" w:cs="Cambria"/>
      <w:color w:val="000000"/>
      <w:u w:color="000000"/>
    </w:rPr>
  </w:style>
  <w:style w:type="paragraph" w:customStyle="1" w:styleId="HeaderFooter">
    <w:name w:val="Header &amp; Footer"/>
    <w:rsid w:val="008B5B4C"/>
    <w:pPr>
      <w:tabs>
        <w:tab w:val="right" w:pos="9020"/>
      </w:tabs>
    </w:pPr>
    <w:rPr>
      <w:rFonts w:ascii="Helvetica" w:eastAsia="Arial Unicode MS" w:hAnsi="Helvetica" w:cs="Arial Unicode MS"/>
      <w:color w:val="000000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8B5B4C"/>
    <w:pPr>
      <w:spacing w:after="0" w:line="240" w:lineRule="auto"/>
    </w:pPr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B5B4C"/>
    <w:rPr>
      <w:rFonts w:ascii="Heiti SC Light" w:eastAsia="Heiti SC Light" w:hAnsi="Times New Roman" w:cs="Times New Roman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623B7A"/>
    <w:pPr>
      <w:widowControl w:val="0"/>
      <w:autoSpaceDE/>
      <w:autoSpaceDN/>
      <w:adjustRightInd/>
      <w:spacing w:after="0" w:line="24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</w:rPr>
  </w:style>
  <w:style w:type="paragraph" w:styleId="a6">
    <w:name w:val="Normal (Web)"/>
    <w:basedOn w:val="a"/>
    <w:uiPriority w:val="99"/>
    <w:semiHidden/>
    <w:unhideWhenUsed/>
    <w:rsid w:val="00F06014"/>
    <w:pPr>
      <w:autoSpaceDE/>
      <w:autoSpaceDN/>
      <w:adjustRightInd/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259</Words>
  <Characters>1481</Characters>
  <Application>Microsoft Macintosh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Xuelian Liao</dc:creator>
  <cp:keywords/>
  <dc:description/>
  <cp:lastModifiedBy>Xuelian Liao</cp:lastModifiedBy>
  <cp:revision>31</cp:revision>
  <dcterms:created xsi:type="dcterms:W3CDTF">2016-08-22T15:14:00Z</dcterms:created>
  <dcterms:modified xsi:type="dcterms:W3CDTF">2017-02-05T03:53:00Z</dcterms:modified>
</cp:coreProperties>
</file>