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EC" w:rsidRDefault="008D1AB8">
      <w:r>
        <w:rPr>
          <w:noProof/>
        </w:rPr>
        <w:drawing>
          <wp:inline distT="0" distB="0" distL="0" distR="0">
            <wp:extent cx="5934075" cy="4352925"/>
            <wp:effectExtent l="0" t="0" r="9525" b="9525"/>
            <wp:docPr id="1" name="Picture 1" descr="C:\Users\Anna.Butrim\Desktop\Downloads\FigS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utrim\Desktop\Downloads\FigS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B8" w:rsidRDefault="008D1AB8">
      <w:r w:rsidRPr="008D1AB8">
        <w:t xml:space="preserve">Supplemental Figure 7: Pathway enrichment analysis of </w:t>
      </w:r>
      <w:proofErr w:type="spellStart"/>
      <w:r w:rsidRPr="008D1AB8">
        <w:t>upregulated</w:t>
      </w:r>
      <w:proofErr w:type="spellEnd"/>
      <w:r w:rsidRPr="008D1AB8">
        <w:t xml:space="preserve"> and </w:t>
      </w:r>
      <w:proofErr w:type="spellStart"/>
      <w:r w:rsidRPr="008D1AB8">
        <w:t>downregulated</w:t>
      </w:r>
      <w:proofErr w:type="spellEnd"/>
      <w:r w:rsidRPr="008D1AB8">
        <w:t xml:space="preserve"> genes in CPCs induced by ISX-9 in comparison with undifferentiated </w:t>
      </w:r>
      <w:proofErr w:type="spellStart"/>
      <w:r w:rsidRPr="008D1AB8">
        <w:t>hiPSCs</w:t>
      </w:r>
      <w:proofErr w:type="spellEnd"/>
      <w:r w:rsidRPr="008D1AB8">
        <w:t xml:space="preserve"> without ISX-9 treatment.</w:t>
      </w:r>
      <w:bookmarkStart w:id="0" w:name="_GoBack"/>
      <w:bookmarkEnd w:id="0"/>
    </w:p>
    <w:sectPr w:rsidR="008D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8"/>
    <w:rsid w:val="007064EC"/>
    <w:rsid w:val="008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16D5E-C37D-4F42-B6D2-60C3A9F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Butrim, Anna</dc:creator>
  <cp:keywords/>
  <dc:description/>
  <cp:lastModifiedBy>Butrim, Anna</cp:lastModifiedBy>
  <cp:revision>1</cp:revision>
  <dcterms:created xsi:type="dcterms:W3CDTF">2018-02-21T13:15:00Z</dcterms:created>
  <dcterms:modified xsi:type="dcterms:W3CDTF">2018-02-21T13:16:00Z</dcterms:modified>
</cp:coreProperties>
</file>