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19CE8" w14:textId="77777777" w:rsidR="00FA657C" w:rsidRPr="00A511ED" w:rsidRDefault="00FA657C" w:rsidP="00FA657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Hlk503358346"/>
      <w:r w:rsidRPr="00FB520F">
        <w:rPr>
          <w:rFonts w:ascii="Times New Roman" w:hAnsi="Times New Roman" w:cs="Times New Roman"/>
          <w:b/>
          <w:sz w:val="24"/>
          <w:szCs w:val="24"/>
        </w:rPr>
        <w:t xml:space="preserve">Supplementary Table 1. </w:t>
      </w:r>
      <w:r w:rsidRPr="00FB520F">
        <w:rPr>
          <w:rFonts w:ascii="Times New Roman" w:hAnsi="Times New Roman"/>
          <w:b/>
          <w:sz w:val="24"/>
        </w:rPr>
        <w:t>Multivariate analysis of factors that influenced unfavorable neurological outcomes</w:t>
      </w:r>
    </w:p>
    <w:p w14:paraId="3F8D5296" w14:textId="77777777" w:rsidR="00FA657C" w:rsidRPr="00A511ED" w:rsidRDefault="00FA657C" w:rsidP="00FA657C">
      <w:pPr>
        <w:jc w:val="left"/>
        <w:rPr>
          <w:rFonts w:ascii="Times New Roman" w:hAnsi="Times New Roman"/>
          <w:b/>
          <w:sz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1"/>
        <w:gridCol w:w="1432"/>
        <w:gridCol w:w="1433"/>
        <w:gridCol w:w="1433"/>
      </w:tblGrid>
      <w:tr w:rsidR="00FA657C" w:rsidRPr="00A511ED" w14:paraId="2ACDE022" w14:textId="77777777" w:rsidTr="004B46EE">
        <w:trPr>
          <w:trHeight w:val="400"/>
        </w:trPr>
        <w:tc>
          <w:tcPr>
            <w:tcW w:w="4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62A5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B25FDC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144D1E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DF5BB5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FA657C" w:rsidRPr="00A511ED" w14:paraId="04046840" w14:textId="77777777" w:rsidTr="004B46EE">
        <w:trPr>
          <w:trHeight w:val="3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371C46BA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Age &gt;65 years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2D2274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10.80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38F913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4.86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23.90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1BB82F89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&lt;0.01</w:t>
            </w:r>
          </w:p>
        </w:tc>
      </w:tr>
      <w:tr w:rsidR="00FA657C" w:rsidRPr="00A511ED" w14:paraId="0F3D59DE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38200BAF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Sex (female)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06D0766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1C1B131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36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1.78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EB7762C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</w:tr>
      <w:tr w:rsidR="00FA657C" w:rsidRPr="00A511ED" w14:paraId="40528C0C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3FAD521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H&amp;K grade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77324DC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FDE07C8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63DD6AAE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&lt;0.01</w:t>
            </w:r>
          </w:p>
        </w:tc>
      </w:tr>
      <w:tr w:rsidR="00FA657C" w:rsidRPr="00A511ED" w14:paraId="2DA78BD6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right w:val="nil"/>
            </w:tcBorders>
          </w:tcPr>
          <w:p w14:paraId="39D38559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Treatment approach (clip)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</w:tcPr>
          <w:p w14:paraId="02AF6AC6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1E9FCD54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7394C71D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</w:tr>
      <w:tr w:rsidR="00FA657C" w:rsidRPr="00A511ED" w14:paraId="4DD5F7D2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C649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1" w:name="_Hlk504896312"/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Hyperoxia subgroups (1–4)</w:t>
            </w:r>
            <w:bookmarkEnd w:id="1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BB225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E259B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–2.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C5A84A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</w:tr>
    </w:tbl>
    <w:p w14:paraId="2491246F" w14:textId="77777777" w:rsidR="00FA657C" w:rsidRPr="00A511ED" w:rsidRDefault="00FA657C" w:rsidP="00FA657C">
      <w:pPr>
        <w:rPr>
          <w:rFonts w:ascii="Times New Roman" w:hAnsi="Times New Roman" w:cs="Times New Roman"/>
          <w:sz w:val="24"/>
          <w:szCs w:val="24"/>
        </w:rPr>
      </w:pPr>
      <w:bookmarkStart w:id="2" w:name="_Hlk508868369"/>
      <w:r w:rsidRPr="00A511ED">
        <w:rPr>
          <w:rFonts w:ascii="Times New Roman" w:hAnsi="Times New Roman" w:cs="Times New Roman"/>
          <w:sz w:val="24"/>
          <w:szCs w:val="24"/>
        </w:rPr>
        <w:t xml:space="preserve">OR, odds ratio; CI, confidence interval; H&amp;K, Hunt and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Kosnik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>.</w:t>
      </w:r>
    </w:p>
    <w:p w14:paraId="6F2F7470" w14:textId="77777777" w:rsidR="00FA657C" w:rsidRPr="00A511ED" w:rsidRDefault="00FA657C" w:rsidP="00FA657C">
      <w:pPr>
        <w:rPr>
          <w:rFonts w:ascii="Times New Roman" w:hAnsi="Times New Roman" w:cs="Times New Roman"/>
          <w:sz w:val="24"/>
          <w:szCs w:val="24"/>
        </w:rPr>
      </w:pPr>
      <w:bookmarkStart w:id="3" w:name="_Hlk504916397"/>
      <w:bookmarkEnd w:id="2"/>
      <w:r w:rsidRPr="00A511ED">
        <w:rPr>
          <w:rFonts w:ascii="Times New Roman" w:hAnsi="Times New Roman" w:cs="Times New Roman"/>
          <w:sz w:val="24"/>
          <w:szCs w:val="24"/>
        </w:rPr>
        <w:t xml:space="preserve">Hyperoxia subgroups (1–4): 1,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normoxia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 xml:space="preserve">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60–120 mmHg); 2, mild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121–200 mmHg); 3, moderate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201–300 mmHg); 4, severe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 xml:space="preserve"> &gt; 300 mmHg</w:t>
      </w:r>
      <w:bookmarkEnd w:id="3"/>
      <w:r w:rsidRPr="00A511ED">
        <w:rPr>
          <w:rFonts w:ascii="Times New Roman" w:hAnsi="Times New Roman" w:cs="Times New Roman"/>
          <w:sz w:val="24"/>
          <w:szCs w:val="24"/>
        </w:rPr>
        <w:t>)</w:t>
      </w:r>
      <w:r w:rsidRPr="00A511ED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p w14:paraId="64862481" w14:textId="77777777" w:rsidR="00FA657C" w:rsidRPr="00A511ED" w:rsidRDefault="00FA657C" w:rsidP="00FA657C">
      <w:pPr>
        <w:rPr>
          <w:rFonts w:ascii="Times New Roman" w:hAnsi="Times New Roman"/>
          <w:b/>
          <w:sz w:val="24"/>
        </w:rPr>
      </w:pPr>
      <w:r w:rsidRPr="00FB520F">
        <w:rPr>
          <w:rFonts w:ascii="Times New Roman" w:hAnsi="Times New Roman" w:cs="Times New Roman"/>
          <w:b/>
          <w:sz w:val="24"/>
          <w:szCs w:val="24"/>
        </w:rPr>
        <w:lastRenderedPageBreak/>
        <w:t>Supplementary Table 2.</w:t>
      </w:r>
      <w:r w:rsidRPr="00FB520F">
        <w:rPr>
          <w:rFonts w:ascii="Times New Roman" w:hAnsi="Times New Roman"/>
          <w:b/>
          <w:sz w:val="24"/>
        </w:rPr>
        <w:t xml:space="preserve"> Multivariate analysis of factors that influenced unfavorable neurological outcomes in patients with H&amp;K grades I to III</w:t>
      </w:r>
    </w:p>
    <w:p w14:paraId="093352BE" w14:textId="77777777" w:rsidR="00FA657C" w:rsidRPr="00A511ED" w:rsidRDefault="00FA657C" w:rsidP="00FA657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21"/>
        <w:gridCol w:w="1432"/>
        <w:gridCol w:w="1433"/>
        <w:gridCol w:w="1433"/>
      </w:tblGrid>
      <w:tr w:rsidR="00FA657C" w:rsidRPr="00A511ED" w14:paraId="16A0D3A0" w14:textId="77777777" w:rsidTr="004B46EE">
        <w:trPr>
          <w:trHeight w:val="400"/>
        </w:trPr>
        <w:tc>
          <w:tcPr>
            <w:tcW w:w="412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0F9E964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1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7B54CD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OR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71348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95% CI</w:t>
            </w:r>
          </w:p>
        </w:tc>
        <w:tc>
          <w:tcPr>
            <w:tcW w:w="14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F8389D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i/>
                <w:color w:val="000000"/>
                <w:kern w:val="0"/>
                <w:sz w:val="24"/>
                <w:szCs w:val="24"/>
              </w:rPr>
              <w:t>p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-value</w:t>
            </w:r>
          </w:p>
        </w:tc>
      </w:tr>
      <w:tr w:rsidR="00FA657C" w:rsidRPr="00A511ED" w14:paraId="56C6E9FA" w14:textId="77777777" w:rsidTr="004B46EE">
        <w:trPr>
          <w:trHeight w:val="35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32E36CE1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Age &gt;65 years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59D4BFB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9.10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51CBB05D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56.40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0E39B44F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&lt;0.01</w:t>
            </w:r>
          </w:p>
        </w:tc>
      </w:tr>
      <w:tr w:rsidR="00FA657C" w:rsidRPr="00A511ED" w14:paraId="43A6DDE7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280B0D43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Sex (female)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4B089D54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4887F20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2381BFC6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07</w:t>
            </w:r>
          </w:p>
        </w:tc>
      </w:tr>
      <w:tr w:rsidR="00FA657C" w:rsidRPr="00A511ED" w14:paraId="4ACC39F3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</w:tcPr>
          <w:p w14:paraId="739BD1FD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H&amp;K grade 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</w:tcPr>
          <w:p w14:paraId="3BD3C66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3.30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466F420C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14:paraId="35459E0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&lt;0.01</w:t>
            </w:r>
          </w:p>
        </w:tc>
      </w:tr>
      <w:tr w:rsidR="00FA657C" w:rsidRPr="00A511ED" w14:paraId="5EEE58BF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right w:val="nil"/>
            </w:tcBorders>
          </w:tcPr>
          <w:p w14:paraId="17D7FD1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Treatment modality (clip)</w:t>
            </w:r>
          </w:p>
        </w:tc>
        <w:tc>
          <w:tcPr>
            <w:tcW w:w="1432" w:type="dxa"/>
            <w:tcBorders>
              <w:top w:val="nil"/>
              <w:left w:val="nil"/>
              <w:right w:val="nil"/>
            </w:tcBorders>
          </w:tcPr>
          <w:p w14:paraId="54151EB7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494837A2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0.1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33" w:type="dxa"/>
            <w:tcBorders>
              <w:top w:val="nil"/>
              <w:left w:val="nil"/>
              <w:right w:val="nil"/>
            </w:tcBorders>
          </w:tcPr>
          <w:p w14:paraId="728B23EE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</w:tr>
      <w:tr w:rsidR="00FA657C" w:rsidRPr="00A511ED" w14:paraId="1054F14E" w14:textId="77777777" w:rsidTr="004B46EE">
        <w:trPr>
          <w:trHeight w:val="4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CF77D1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Hyperoxia subgroups (1–4)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4845C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6ABF1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–3.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BF1351" w14:textId="77777777" w:rsidR="00FA657C" w:rsidRPr="00A511ED" w:rsidRDefault="00FA657C" w:rsidP="004B46E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 w:rsidRPr="00A511ED"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0.0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14:paraId="25B9FFF3" w14:textId="77777777" w:rsidR="00FA657C" w:rsidRPr="00A511ED" w:rsidRDefault="00FA657C" w:rsidP="00FA657C">
      <w:pPr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OR, odds ratio; CI, confidence interval; H&amp;K, Hunt and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Kosnik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>.</w:t>
      </w:r>
    </w:p>
    <w:p w14:paraId="56908362" w14:textId="6B9CD31C" w:rsidR="0033149F" w:rsidRPr="00A511ED" w:rsidRDefault="00FA657C" w:rsidP="00FA657C">
      <w:pPr>
        <w:rPr>
          <w:rFonts w:ascii="Times New Roman" w:hAnsi="Times New Roman" w:cs="Times New Roman"/>
          <w:b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Hyperoxia subgroups (1–4): 1,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normoxia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 xml:space="preserve">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60–120 mmHg); 2, mild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121–200 mmHg); 3, moderate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>, 201–300 mmHg); 4, severe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 xml:space="preserve"> &gt; 300 mmHg)</w:t>
      </w:r>
      <w:bookmarkStart w:id="4" w:name="_GoBack"/>
      <w:bookmarkEnd w:id="4"/>
      <w:r w:rsidR="0035063B" w:rsidRPr="00FA657C">
        <w:rPr>
          <w:rFonts w:ascii="Times New Roman" w:hAnsi="Times New Roman" w:cs="Times New Roman"/>
          <w:sz w:val="24"/>
          <w:szCs w:val="24"/>
        </w:rPr>
        <w:br w:type="page"/>
      </w:r>
      <w:bookmarkStart w:id="5" w:name="_Hlk508869711"/>
      <w:bookmarkStart w:id="6" w:name="_Hlk503358367"/>
    </w:p>
    <w:p w14:paraId="749DC451" w14:textId="25D6BA78" w:rsidR="00C209E1" w:rsidRPr="00A511ED" w:rsidRDefault="00C209E1" w:rsidP="00C209E1">
      <w:pPr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Hlk508529422"/>
      <w:r w:rsidRPr="00A511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</w:t>
      </w:r>
      <w:r w:rsidRPr="00A511ED">
        <w:rPr>
          <w:rFonts w:ascii="Times New Roman" w:hAnsi="Times New Roman"/>
          <w:b/>
          <w:sz w:val="24"/>
        </w:rPr>
        <w:t xml:space="preserve">Table </w:t>
      </w:r>
      <w:r w:rsidRPr="00A511ED">
        <w:rPr>
          <w:rFonts w:ascii="Times New Roman" w:hAnsi="Times New Roman" w:cs="Times New Roman"/>
          <w:b/>
          <w:sz w:val="24"/>
          <w:szCs w:val="24"/>
        </w:rPr>
        <w:t>3</w:t>
      </w:r>
      <w:r w:rsidRPr="00A511ED">
        <w:rPr>
          <w:rFonts w:ascii="Times New Roman" w:hAnsi="Times New Roman"/>
          <w:b/>
          <w:sz w:val="24"/>
        </w:rPr>
        <w:t xml:space="preserve">. </w:t>
      </w:r>
      <w:bookmarkStart w:id="8" w:name="_Hlk505149173"/>
      <w:r w:rsidRPr="00A511ED">
        <w:rPr>
          <w:rFonts w:ascii="Times New Roman" w:hAnsi="Times New Roman"/>
          <w:b/>
          <w:sz w:val="24"/>
        </w:rPr>
        <w:t>Baseline characteristics of the patients with H&amp;K grades I to III across hyperoxia subgroups</w:t>
      </w:r>
      <w:bookmarkEnd w:id="8"/>
    </w:p>
    <w:p w14:paraId="63813D54" w14:textId="77777777" w:rsidR="00C209E1" w:rsidRPr="00A511ED" w:rsidRDefault="00C209E1" w:rsidP="00C209E1">
      <w:pPr>
        <w:jc w:val="left"/>
        <w:rPr>
          <w:rFonts w:ascii="Times New Roman" w:hAnsi="Times New Roman"/>
          <w:b/>
          <w:sz w:val="24"/>
        </w:rPr>
      </w:pPr>
    </w:p>
    <w:tbl>
      <w:tblPr>
        <w:tblStyle w:val="a3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1701"/>
        <w:gridCol w:w="1701"/>
        <w:gridCol w:w="709"/>
      </w:tblGrid>
      <w:tr w:rsidR="00C209E1" w:rsidRPr="00A511ED" w14:paraId="105874EB" w14:textId="77777777" w:rsidTr="00E1374A">
        <w:trPr>
          <w:trHeight w:val="768"/>
        </w:trPr>
        <w:tc>
          <w:tcPr>
            <w:tcW w:w="3402" w:type="dxa"/>
            <w:tcBorders>
              <w:top w:val="single" w:sz="4" w:space="0" w:color="auto"/>
            </w:tcBorders>
            <w:noWrap/>
          </w:tcPr>
          <w:p w14:paraId="701A9A8D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Variables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47A807A9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Normoxia</w:t>
            </w:r>
            <w:proofErr w:type="spellEnd"/>
          </w:p>
          <w:p w14:paraId="143AC2BA" w14:textId="30F87A2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90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4D155D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Mild hyperoxia</w:t>
            </w:r>
          </w:p>
          <w:p w14:paraId="013968AE" w14:textId="0A5BC9B0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9008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1271912A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Moderate hyperoxia </w:t>
            </w:r>
          </w:p>
          <w:p w14:paraId="29DAA358" w14:textId="5F7EF4F8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(N = </w:t>
            </w:r>
            <w:r w:rsidR="00E900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</w:tcPr>
          <w:p w14:paraId="43B936F4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Severe hyperoxia</w:t>
            </w:r>
          </w:p>
          <w:p w14:paraId="337E17E1" w14:textId="2B5439D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(N = 1</w:t>
            </w:r>
            <w:r w:rsidR="00E900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</w:tcPr>
          <w:p w14:paraId="0766DDD2" w14:textId="77777777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i/>
                <w:sz w:val="22"/>
              </w:rPr>
              <w:t>p</w:t>
            </w:r>
            <w:r w:rsidRPr="00A511ED">
              <w:rPr>
                <w:rFonts w:ascii="Times New Roman" w:hAnsi="Times New Roman"/>
                <w:sz w:val="22"/>
              </w:rPr>
              <w:t>-value</w:t>
            </w:r>
          </w:p>
        </w:tc>
      </w:tr>
      <w:tr w:rsidR="00C209E1" w:rsidRPr="00A511ED" w14:paraId="59599754" w14:textId="77777777" w:rsidTr="00E1374A">
        <w:trPr>
          <w:trHeight w:val="360"/>
        </w:trPr>
        <w:tc>
          <w:tcPr>
            <w:tcW w:w="3402" w:type="dxa"/>
            <w:tcBorders>
              <w:top w:val="single" w:sz="4" w:space="0" w:color="auto"/>
            </w:tcBorders>
            <w:noWrap/>
            <w:hideMark/>
          </w:tcPr>
          <w:p w14:paraId="2C8A149E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4845C28C" w14:textId="20BB7DDF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15.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4543D6" w14:textId="1918F415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77482D73" w14:textId="4CD05B0A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hideMark/>
          </w:tcPr>
          <w:p w14:paraId="27048446" w14:textId="3842AE84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78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hideMark/>
          </w:tcPr>
          <w:p w14:paraId="73532FB1" w14:textId="36616A29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5678E9">
              <w:rPr>
                <w:rFonts w:ascii="Times New Roman" w:hAnsi="Times New Roman"/>
                <w:sz w:val="22"/>
              </w:rPr>
              <w:t>82</w:t>
            </w:r>
          </w:p>
        </w:tc>
      </w:tr>
      <w:tr w:rsidR="00543187" w:rsidRPr="00A511ED" w14:paraId="338E5D66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5D0F5F6F" w14:textId="77777777" w:rsidR="00543187" w:rsidRPr="00A511ED" w:rsidRDefault="00543187" w:rsidP="00543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701" w:type="dxa"/>
            <w:noWrap/>
            <w:hideMark/>
          </w:tcPr>
          <w:p w14:paraId="31CD1113" w14:textId="3747A67F" w:rsidR="00543187" w:rsidRPr="00271E25" w:rsidRDefault="00543187" w:rsidP="005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3 (27.3) </w:t>
            </w:r>
          </w:p>
        </w:tc>
        <w:tc>
          <w:tcPr>
            <w:tcW w:w="1701" w:type="dxa"/>
          </w:tcPr>
          <w:p w14:paraId="2314C106" w14:textId="105FEAB2" w:rsidR="00543187" w:rsidRPr="00271E25" w:rsidRDefault="00543187" w:rsidP="005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25 (34.7) </w:t>
            </w:r>
          </w:p>
        </w:tc>
        <w:tc>
          <w:tcPr>
            <w:tcW w:w="1701" w:type="dxa"/>
            <w:noWrap/>
            <w:hideMark/>
          </w:tcPr>
          <w:p w14:paraId="6E3DC2B7" w14:textId="148AEFE7" w:rsidR="00543187" w:rsidRPr="00271E25" w:rsidRDefault="00543187" w:rsidP="005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11 (25.6) </w:t>
            </w:r>
          </w:p>
        </w:tc>
        <w:tc>
          <w:tcPr>
            <w:tcW w:w="1701" w:type="dxa"/>
            <w:noWrap/>
            <w:hideMark/>
          </w:tcPr>
          <w:p w14:paraId="5263E7E1" w14:textId="43373060" w:rsidR="00543187" w:rsidRPr="00271E25" w:rsidRDefault="00543187" w:rsidP="0054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4 (22.2) </w:t>
            </w:r>
          </w:p>
        </w:tc>
        <w:tc>
          <w:tcPr>
            <w:tcW w:w="709" w:type="dxa"/>
            <w:noWrap/>
            <w:hideMark/>
          </w:tcPr>
          <w:p w14:paraId="5DC39740" w14:textId="58839803" w:rsidR="00543187" w:rsidRPr="00A511ED" w:rsidRDefault="00543187" w:rsidP="00543187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0.6</w:t>
            </w:r>
            <w:r w:rsidR="00271E25">
              <w:rPr>
                <w:rFonts w:ascii="Times New Roman" w:hAnsi="Times New Roman"/>
                <w:sz w:val="22"/>
              </w:rPr>
              <w:t>3</w:t>
            </w:r>
          </w:p>
        </w:tc>
      </w:tr>
      <w:tr w:rsidR="00C209E1" w:rsidRPr="00A511ED" w14:paraId="73BC8D87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77A1E226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H&amp;K grades</w:t>
            </w:r>
          </w:p>
        </w:tc>
        <w:tc>
          <w:tcPr>
            <w:tcW w:w="1701" w:type="dxa"/>
            <w:noWrap/>
            <w:hideMark/>
          </w:tcPr>
          <w:p w14:paraId="186DD2AE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80EE3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29A004B7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7AE1A9AF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3E378A2C" w14:textId="5652EEA2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0.2</w:t>
            </w:r>
            <w:r w:rsidR="00271E25">
              <w:rPr>
                <w:rFonts w:ascii="Times New Roman" w:hAnsi="Times New Roman"/>
                <w:sz w:val="22"/>
              </w:rPr>
              <w:t>6</w:t>
            </w:r>
          </w:p>
        </w:tc>
      </w:tr>
      <w:tr w:rsidR="00271E25" w:rsidRPr="00A511ED" w14:paraId="2E2E32FD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238E6231" w14:textId="77777777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noWrap/>
            <w:hideMark/>
          </w:tcPr>
          <w:p w14:paraId="2859A5E1" w14:textId="251F9640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2 (18.2) </w:t>
            </w:r>
          </w:p>
        </w:tc>
        <w:tc>
          <w:tcPr>
            <w:tcW w:w="1701" w:type="dxa"/>
          </w:tcPr>
          <w:p w14:paraId="123D656F" w14:textId="43050CC6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12 (16.7) </w:t>
            </w:r>
          </w:p>
        </w:tc>
        <w:tc>
          <w:tcPr>
            <w:tcW w:w="1701" w:type="dxa"/>
            <w:noWrap/>
            <w:hideMark/>
          </w:tcPr>
          <w:p w14:paraId="58690BBE" w14:textId="18A297EB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7 (16.3) </w:t>
            </w:r>
          </w:p>
        </w:tc>
        <w:tc>
          <w:tcPr>
            <w:tcW w:w="1701" w:type="dxa"/>
            <w:noWrap/>
            <w:hideMark/>
          </w:tcPr>
          <w:p w14:paraId="50F46F9C" w14:textId="1E7AF271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2 (11.1) </w:t>
            </w:r>
          </w:p>
        </w:tc>
        <w:tc>
          <w:tcPr>
            <w:tcW w:w="709" w:type="dxa"/>
            <w:noWrap/>
            <w:hideMark/>
          </w:tcPr>
          <w:p w14:paraId="4C6A899D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1E25" w:rsidRPr="00A511ED" w14:paraId="01209E54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3D66DD6A" w14:textId="77777777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  <w:noWrap/>
            <w:hideMark/>
          </w:tcPr>
          <w:p w14:paraId="2E490C9E" w14:textId="47D3DE9B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9 (81.8) </w:t>
            </w:r>
          </w:p>
        </w:tc>
        <w:tc>
          <w:tcPr>
            <w:tcW w:w="1701" w:type="dxa"/>
          </w:tcPr>
          <w:p w14:paraId="4375CC76" w14:textId="6DEA6BB9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39 (54.2) </w:t>
            </w:r>
          </w:p>
        </w:tc>
        <w:tc>
          <w:tcPr>
            <w:tcW w:w="1701" w:type="dxa"/>
            <w:noWrap/>
            <w:hideMark/>
          </w:tcPr>
          <w:p w14:paraId="19319426" w14:textId="36037622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20 (46.5) </w:t>
            </w:r>
          </w:p>
        </w:tc>
        <w:tc>
          <w:tcPr>
            <w:tcW w:w="1701" w:type="dxa"/>
            <w:noWrap/>
            <w:hideMark/>
          </w:tcPr>
          <w:p w14:paraId="1E0D4202" w14:textId="6DB3AC4B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8 (44.4) </w:t>
            </w:r>
          </w:p>
        </w:tc>
        <w:tc>
          <w:tcPr>
            <w:tcW w:w="709" w:type="dxa"/>
            <w:noWrap/>
            <w:hideMark/>
          </w:tcPr>
          <w:p w14:paraId="7DAA1626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1E25" w:rsidRPr="00A511ED" w14:paraId="07F7B339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5B66ACFE" w14:textId="77777777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  <w:noWrap/>
            <w:hideMark/>
          </w:tcPr>
          <w:p w14:paraId="0D077A1F" w14:textId="436540FD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</w:tcPr>
          <w:p w14:paraId="72E4C123" w14:textId="183625F1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21 (29.2) </w:t>
            </w:r>
          </w:p>
        </w:tc>
        <w:tc>
          <w:tcPr>
            <w:tcW w:w="1701" w:type="dxa"/>
            <w:noWrap/>
            <w:hideMark/>
          </w:tcPr>
          <w:p w14:paraId="4CD25FAA" w14:textId="55780C1D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16 (37.2) </w:t>
            </w:r>
          </w:p>
        </w:tc>
        <w:tc>
          <w:tcPr>
            <w:tcW w:w="1701" w:type="dxa"/>
            <w:noWrap/>
            <w:hideMark/>
          </w:tcPr>
          <w:p w14:paraId="3DACD1A7" w14:textId="20E5B1E2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8 (44.4) </w:t>
            </w:r>
          </w:p>
        </w:tc>
        <w:tc>
          <w:tcPr>
            <w:tcW w:w="709" w:type="dxa"/>
            <w:noWrap/>
            <w:hideMark/>
          </w:tcPr>
          <w:p w14:paraId="29F3C5CB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209E1" w:rsidRPr="00A511ED" w14:paraId="56DCA7E5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44A34735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Treatment approach</w:t>
            </w:r>
          </w:p>
        </w:tc>
        <w:tc>
          <w:tcPr>
            <w:tcW w:w="1701" w:type="dxa"/>
            <w:noWrap/>
            <w:hideMark/>
          </w:tcPr>
          <w:p w14:paraId="46EF8A41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7BCD2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E33C2FE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32CC6A1C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670F73DC" w14:textId="77777777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0.04</w:t>
            </w:r>
          </w:p>
        </w:tc>
      </w:tr>
      <w:tr w:rsidR="00271E25" w:rsidRPr="00A511ED" w14:paraId="640B54DE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6A21E863" w14:textId="77777777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</w:p>
        </w:tc>
        <w:tc>
          <w:tcPr>
            <w:tcW w:w="1701" w:type="dxa"/>
            <w:noWrap/>
            <w:hideMark/>
          </w:tcPr>
          <w:p w14:paraId="31DD02E5" w14:textId="36E573C1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7 (63.6) </w:t>
            </w:r>
          </w:p>
        </w:tc>
        <w:tc>
          <w:tcPr>
            <w:tcW w:w="1701" w:type="dxa"/>
          </w:tcPr>
          <w:p w14:paraId="06C4D85F" w14:textId="3C22E5BA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49 (68.1) </w:t>
            </w:r>
          </w:p>
        </w:tc>
        <w:tc>
          <w:tcPr>
            <w:tcW w:w="1701" w:type="dxa"/>
            <w:noWrap/>
            <w:hideMark/>
          </w:tcPr>
          <w:p w14:paraId="48AD6B6F" w14:textId="583C622E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32 (74.4) </w:t>
            </w:r>
          </w:p>
        </w:tc>
        <w:tc>
          <w:tcPr>
            <w:tcW w:w="1701" w:type="dxa"/>
            <w:noWrap/>
            <w:hideMark/>
          </w:tcPr>
          <w:p w14:paraId="3FFF60A2" w14:textId="4C07D0D0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14 (77.8) </w:t>
            </w:r>
          </w:p>
        </w:tc>
        <w:tc>
          <w:tcPr>
            <w:tcW w:w="709" w:type="dxa"/>
            <w:noWrap/>
            <w:hideMark/>
          </w:tcPr>
          <w:p w14:paraId="432B027D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1E25" w:rsidRPr="00A511ED" w14:paraId="6D366717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21C3B239" w14:textId="77777777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</w:p>
        </w:tc>
        <w:tc>
          <w:tcPr>
            <w:tcW w:w="1701" w:type="dxa"/>
            <w:noWrap/>
            <w:hideMark/>
          </w:tcPr>
          <w:p w14:paraId="6B990BEC" w14:textId="1B967E1E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3 (27.3) </w:t>
            </w:r>
          </w:p>
        </w:tc>
        <w:tc>
          <w:tcPr>
            <w:tcW w:w="1701" w:type="dxa"/>
          </w:tcPr>
          <w:p w14:paraId="696B470E" w14:textId="6876E3F0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23 (31.9) </w:t>
            </w:r>
          </w:p>
        </w:tc>
        <w:tc>
          <w:tcPr>
            <w:tcW w:w="1701" w:type="dxa"/>
            <w:noWrap/>
            <w:hideMark/>
          </w:tcPr>
          <w:p w14:paraId="5391DAB2" w14:textId="641DB66F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11 (25.6) </w:t>
            </w:r>
          </w:p>
        </w:tc>
        <w:tc>
          <w:tcPr>
            <w:tcW w:w="1701" w:type="dxa"/>
            <w:noWrap/>
            <w:hideMark/>
          </w:tcPr>
          <w:p w14:paraId="1D7FCD1C" w14:textId="194A2205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4 (22.2) </w:t>
            </w:r>
          </w:p>
        </w:tc>
        <w:tc>
          <w:tcPr>
            <w:tcW w:w="709" w:type="dxa"/>
            <w:noWrap/>
            <w:hideMark/>
          </w:tcPr>
          <w:p w14:paraId="4AEC7AF8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71E25" w:rsidRPr="00A511ED" w14:paraId="1513635B" w14:textId="77777777" w:rsidTr="00E1374A">
        <w:trPr>
          <w:trHeight w:val="454"/>
        </w:trPr>
        <w:tc>
          <w:tcPr>
            <w:tcW w:w="3402" w:type="dxa"/>
          </w:tcPr>
          <w:p w14:paraId="11D968E3" w14:textId="5CF7CC16" w:rsidR="00271E25" w:rsidRPr="00A511ED" w:rsidRDefault="00271E25" w:rsidP="00271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4">
              <w:rPr>
                <w:rFonts w:ascii="Times New Roman" w:hAnsi="Times New Roman" w:cs="Times New Roman" w:hint="eastAsia"/>
                <w:sz w:val="24"/>
                <w:szCs w:val="24"/>
              </w:rPr>
              <w:t>N</w:t>
            </w:r>
            <w:r w:rsidRPr="00373114">
              <w:rPr>
                <w:rFonts w:ascii="Times New Roman" w:hAnsi="Times New Roman" w:cs="Times New Roman"/>
                <w:sz w:val="24"/>
                <w:szCs w:val="24"/>
              </w:rPr>
              <w:t>ot coil or clip</w:t>
            </w:r>
          </w:p>
        </w:tc>
        <w:tc>
          <w:tcPr>
            <w:tcW w:w="1701" w:type="dxa"/>
            <w:noWrap/>
          </w:tcPr>
          <w:p w14:paraId="5C997958" w14:textId="48AF761A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1 (9.1) </w:t>
            </w:r>
          </w:p>
        </w:tc>
        <w:tc>
          <w:tcPr>
            <w:tcW w:w="1701" w:type="dxa"/>
          </w:tcPr>
          <w:p w14:paraId="06D11D9B" w14:textId="0E52944C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  <w:noWrap/>
          </w:tcPr>
          <w:p w14:paraId="1F6987B8" w14:textId="110FDAB7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  <w:noWrap/>
          </w:tcPr>
          <w:p w14:paraId="2E887177" w14:textId="2C10BDB2" w:rsidR="00271E25" w:rsidRPr="00271E25" w:rsidRDefault="00271E25" w:rsidP="00271E2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1E25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709" w:type="dxa"/>
            <w:noWrap/>
          </w:tcPr>
          <w:p w14:paraId="4375B0FB" w14:textId="77777777" w:rsidR="00271E25" w:rsidRPr="00A511ED" w:rsidRDefault="00271E25" w:rsidP="00271E2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209E1" w:rsidRPr="00A511ED" w14:paraId="3FD5ED4F" w14:textId="77777777" w:rsidTr="00E1374A">
        <w:trPr>
          <w:trHeight w:val="454"/>
        </w:trPr>
        <w:tc>
          <w:tcPr>
            <w:tcW w:w="3402" w:type="dxa"/>
          </w:tcPr>
          <w:p w14:paraId="5B1DC5E1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Number of arterial blood gas analyses during the first 24 hours in the ICU</w:t>
            </w:r>
          </w:p>
        </w:tc>
        <w:tc>
          <w:tcPr>
            <w:tcW w:w="1701" w:type="dxa"/>
            <w:noWrap/>
          </w:tcPr>
          <w:p w14:paraId="203D3191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[5.0–6.0]</w:t>
            </w:r>
          </w:p>
        </w:tc>
        <w:tc>
          <w:tcPr>
            <w:tcW w:w="1701" w:type="dxa"/>
          </w:tcPr>
          <w:p w14:paraId="66A33F92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[4.0–6.0]</w:t>
            </w:r>
          </w:p>
        </w:tc>
        <w:tc>
          <w:tcPr>
            <w:tcW w:w="1701" w:type="dxa"/>
            <w:noWrap/>
          </w:tcPr>
          <w:p w14:paraId="1FCAB136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[5.0–6.0]</w:t>
            </w:r>
          </w:p>
        </w:tc>
        <w:tc>
          <w:tcPr>
            <w:tcW w:w="1701" w:type="dxa"/>
            <w:noWrap/>
          </w:tcPr>
          <w:p w14:paraId="3DFD310B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[5.0–6.0]</w:t>
            </w:r>
          </w:p>
        </w:tc>
        <w:tc>
          <w:tcPr>
            <w:tcW w:w="709" w:type="dxa"/>
            <w:noWrap/>
          </w:tcPr>
          <w:p w14:paraId="354F5753" w14:textId="4FC096AC" w:rsidR="00C209E1" w:rsidRPr="00A511ED" w:rsidRDefault="00C209E1" w:rsidP="00C94B35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CC1FA2">
              <w:rPr>
                <w:rFonts w:ascii="Times New Roman" w:hAnsi="Times New Roman"/>
                <w:sz w:val="22"/>
              </w:rPr>
              <w:t>61</w:t>
            </w:r>
          </w:p>
        </w:tc>
      </w:tr>
      <w:tr w:rsidR="00C209E1" w:rsidRPr="00A511ED" w14:paraId="543EA2E8" w14:textId="77777777" w:rsidTr="00E1374A">
        <w:trPr>
          <w:trHeight w:val="454"/>
        </w:trPr>
        <w:tc>
          <w:tcPr>
            <w:tcW w:w="3402" w:type="dxa"/>
            <w:hideMark/>
          </w:tcPr>
          <w:p w14:paraId="0CFDC798" w14:textId="725F482F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Median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during the first 24 h in ICU</w:t>
            </w:r>
            <w:r w:rsidRPr="00A511ED" w:rsidDel="002B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(mmHg)</w:t>
            </w:r>
          </w:p>
        </w:tc>
        <w:tc>
          <w:tcPr>
            <w:tcW w:w="1701" w:type="dxa"/>
            <w:noWrap/>
            <w:hideMark/>
          </w:tcPr>
          <w:p w14:paraId="7EDEC82A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87 [80–94]</w:t>
            </w:r>
          </w:p>
        </w:tc>
        <w:tc>
          <w:tcPr>
            <w:tcW w:w="1701" w:type="dxa"/>
          </w:tcPr>
          <w:p w14:paraId="43B1EB11" w14:textId="40DD9A45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[11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1B93D61A" w14:textId="5CA98BEB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–184]</w:t>
            </w:r>
          </w:p>
        </w:tc>
        <w:tc>
          <w:tcPr>
            <w:tcW w:w="1701" w:type="dxa"/>
            <w:noWrap/>
            <w:hideMark/>
          </w:tcPr>
          <w:p w14:paraId="11895EA4" w14:textId="59CD3789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CC1FA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–18</w:t>
            </w:r>
            <w:r w:rsidR="00F630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9" w:type="dxa"/>
            <w:noWrap/>
            <w:hideMark/>
          </w:tcPr>
          <w:p w14:paraId="5E008016" w14:textId="77777777" w:rsidR="00C209E1" w:rsidRPr="00A511ED" w:rsidRDefault="00C209E1" w:rsidP="00546FC2">
            <w:pPr>
              <w:jc w:val="center"/>
              <w:rPr>
                <w:rFonts w:ascii="Times New Roman" w:hAnsi="Times New Roman"/>
              </w:rPr>
            </w:pPr>
            <w:r w:rsidRPr="00A511ED">
              <w:rPr>
                <w:rFonts w:ascii="Times New Roman" w:hAnsi="Times New Roman"/>
              </w:rPr>
              <w:t>&lt;0.01</w:t>
            </w:r>
          </w:p>
        </w:tc>
      </w:tr>
      <w:tr w:rsidR="00C209E1" w:rsidRPr="00A511ED" w14:paraId="24E15921" w14:textId="77777777" w:rsidTr="00E1374A">
        <w:trPr>
          <w:trHeight w:val="720"/>
        </w:trPr>
        <w:tc>
          <w:tcPr>
            <w:tcW w:w="3402" w:type="dxa"/>
            <w:hideMark/>
          </w:tcPr>
          <w:p w14:paraId="01FC9319" w14:textId="439DAEB8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Maximum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level during the first 24 h in ICU (mmHg)</w:t>
            </w:r>
          </w:p>
        </w:tc>
        <w:tc>
          <w:tcPr>
            <w:tcW w:w="1701" w:type="dxa"/>
            <w:noWrap/>
            <w:hideMark/>
          </w:tcPr>
          <w:p w14:paraId="51A3E060" w14:textId="7008FB8A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14:paraId="16E3A8DC" w14:textId="4E8A2288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[14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AB6D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36D1AC35" w14:textId="0E3F289A" w:rsidR="00C209E1" w:rsidRPr="00A511ED" w:rsidRDefault="00AB6DE5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24C82E25" w14:textId="24665EC5" w:rsidR="00C209E1" w:rsidRPr="00A511ED" w:rsidRDefault="00AB6DE5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9" w:type="dxa"/>
            <w:noWrap/>
            <w:hideMark/>
          </w:tcPr>
          <w:p w14:paraId="2E9F0075" w14:textId="77777777" w:rsidR="00C209E1" w:rsidRPr="00A511ED" w:rsidRDefault="00C209E1" w:rsidP="00546FC2">
            <w:pPr>
              <w:jc w:val="center"/>
              <w:rPr>
                <w:rFonts w:ascii="Times New Roman" w:hAnsi="Times New Roman"/>
              </w:rPr>
            </w:pPr>
            <w:r w:rsidRPr="00A511ED">
              <w:rPr>
                <w:rFonts w:ascii="Times New Roman" w:hAnsi="Times New Roman"/>
              </w:rPr>
              <w:t>&lt;0.01</w:t>
            </w:r>
          </w:p>
        </w:tc>
      </w:tr>
      <w:tr w:rsidR="00C209E1" w:rsidRPr="00A511ED" w14:paraId="2E82DFB1" w14:textId="77777777" w:rsidTr="00E1374A">
        <w:trPr>
          <w:trHeight w:val="720"/>
        </w:trPr>
        <w:tc>
          <w:tcPr>
            <w:tcW w:w="3402" w:type="dxa"/>
            <w:hideMark/>
          </w:tcPr>
          <w:p w14:paraId="74250B8B" w14:textId="4A448F34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Minimum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level during the first 24 h in ICU (mmHg)</w:t>
            </w:r>
          </w:p>
        </w:tc>
        <w:tc>
          <w:tcPr>
            <w:tcW w:w="1701" w:type="dxa"/>
            <w:noWrap/>
            <w:hideMark/>
          </w:tcPr>
          <w:p w14:paraId="4C38DB6A" w14:textId="6D30D174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80 [7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–81]</w:t>
            </w:r>
          </w:p>
        </w:tc>
        <w:tc>
          <w:tcPr>
            <w:tcW w:w="1701" w:type="dxa"/>
          </w:tcPr>
          <w:p w14:paraId="3C465E87" w14:textId="1498C49A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[79–11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72A545E5" w14:textId="7FA6B314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[9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–13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49774EC3" w14:textId="7807A7BF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[9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916A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9" w:type="dxa"/>
            <w:noWrap/>
            <w:hideMark/>
          </w:tcPr>
          <w:p w14:paraId="01157053" w14:textId="77777777" w:rsidR="00C209E1" w:rsidRPr="00A511ED" w:rsidRDefault="00C209E1" w:rsidP="00546FC2">
            <w:pPr>
              <w:jc w:val="center"/>
              <w:rPr>
                <w:rFonts w:ascii="Times New Roman" w:hAnsi="Times New Roman"/>
              </w:rPr>
            </w:pPr>
            <w:r w:rsidRPr="00A511ED">
              <w:rPr>
                <w:rFonts w:ascii="Times New Roman" w:hAnsi="Times New Roman"/>
              </w:rPr>
              <w:t>&lt;0.01</w:t>
            </w:r>
          </w:p>
        </w:tc>
      </w:tr>
      <w:tr w:rsidR="00C209E1" w:rsidRPr="00A511ED" w14:paraId="4869FB5A" w14:textId="77777777" w:rsidTr="00E1374A">
        <w:trPr>
          <w:trHeight w:val="360"/>
        </w:trPr>
        <w:tc>
          <w:tcPr>
            <w:tcW w:w="3402" w:type="dxa"/>
            <w:noWrap/>
          </w:tcPr>
          <w:p w14:paraId="6DCC6456" w14:textId="05A7DBF6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Hypoxia (PaO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&lt;</w:t>
            </w:r>
            <w:r w:rsidR="000D0BD0"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60 mmHg)</w:t>
            </w:r>
          </w:p>
        </w:tc>
        <w:tc>
          <w:tcPr>
            <w:tcW w:w="1701" w:type="dxa"/>
            <w:noWrap/>
          </w:tcPr>
          <w:p w14:paraId="5532372E" w14:textId="2735899D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512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1701" w:type="dxa"/>
          </w:tcPr>
          <w:p w14:paraId="027BD295" w14:textId="62BEE076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 (</w:t>
            </w:r>
            <w:r w:rsidR="00E512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1701" w:type="dxa"/>
            <w:noWrap/>
          </w:tcPr>
          <w:p w14:paraId="634A3CB3" w14:textId="479F6E5C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="00E512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2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noWrap/>
          </w:tcPr>
          <w:p w14:paraId="32077D11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0 (0.0)</w:t>
            </w:r>
          </w:p>
        </w:tc>
        <w:tc>
          <w:tcPr>
            <w:tcW w:w="709" w:type="dxa"/>
            <w:noWrap/>
          </w:tcPr>
          <w:p w14:paraId="6455BE14" w14:textId="0A1B0ECC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AA5115">
              <w:rPr>
                <w:rFonts w:ascii="Times New Roman" w:hAnsi="Times New Roman"/>
                <w:sz w:val="22"/>
              </w:rPr>
              <w:t>58</w:t>
            </w:r>
          </w:p>
        </w:tc>
      </w:tr>
      <w:tr w:rsidR="00C209E1" w:rsidRPr="00A511ED" w14:paraId="610E77A1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24DC8FBA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Modified Rankin Scale</w:t>
            </w:r>
          </w:p>
        </w:tc>
        <w:tc>
          <w:tcPr>
            <w:tcW w:w="1701" w:type="dxa"/>
            <w:noWrap/>
            <w:hideMark/>
          </w:tcPr>
          <w:p w14:paraId="3C8298DB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ECB91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3447ADB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529DCBB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noWrap/>
            <w:hideMark/>
          </w:tcPr>
          <w:p w14:paraId="7205BC1C" w14:textId="03F853AB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C802DE">
              <w:rPr>
                <w:rFonts w:ascii="Times New Roman" w:hAnsi="Times New Roman"/>
                <w:sz w:val="22"/>
              </w:rPr>
              <w:t>80</w:t>
            </w:r>
          </w:p>
        </w:tc>
      </w:tr>
      <w:tr w:rsidR="00C802DE" w:rsidRPr="00A511ED" w14:paraId="537CB87F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03104644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noWrap/>
            <w:hideMark/>
          </w:tcPr>
          <w:p w14:paraId="22644BF6" w14:textId="43FEB8FB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5 (45.5) </w:t>
            </w:r>
          </w:p>
        </w:tc>
        <w:tc>
          <w:tcPr>
            <w:tcW w:w="1701" w:type="dxa"/>
          </w:tcPr>
          <w:p w14:paraId="7CC2EB1E" w14:textId="006BB052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19 (26.4) </w:t>
            </w:r>
          </w:p>
        </w:tc>
        <w:tc>
          <w:tcPr>
            <w:tcW w:w="1701" w:type="dxa"/>
            <w:noWrap/>
            <w:hideMark/>
          </w:tcPr>
          <w:p w14:paraId="5CC2CB11" w14:textId="4BEE95A1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10 (23.3) </w:t>
            </w:r>
          </w:p>
        </w:tc>
        <w:tc>
          <w:tcPr>
            <w:tcW w:w="1701" w:type="dxa"/>
            <w:noWrap/>
            <w:hideMark/>
          </w:tcPr>
          <w:p w14:paraId="37F53E0B" w14:textId="53336B26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2 (11.1) </w:t>
            </w:r>
          </w:p>
        </w:tc>
        <w:tc>
          <w:tcPr>
            <w:tcW w:w="709" w:type="dxa"/>
            <w:noWrap/>
            <w:hideMark/>
          </w:tcPr>
          <w:p w14:paraId="5659F0EE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802DE" w:rsidRPr="00A511ED" w14:paraId="1C5D65CA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72BEB866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14:paraId="19B52036" w14:textId="1E0B425D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3 (27.3) </w:t>
            </w:r>
          </w:p>
        </w:tc>
        <w:tc>
          <w:tcPr>
            <w:tcW w:w="1701" w:type="dxa"/>
          </w:tcPr>
          <w:p w14:paraId="54A17488" w14:textId="5F0E7D47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16 (22.2) </w:t>
            </w:r>
          </w:p>
        </w:tc>
        <w:tc>
          <w:tcPr>
            <w:tcW w:w="1701" w:type="dxa"/>
            <w:noWrap/>
            <w:hideMark/>
          </w:tcPr>
          <w:p w14:paraId="51007918" w14:textId="09ECC39C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7 (16.3) </w:t>
            </w:r>
          </w:p>
        </w:tc>
        <w:tc>
          <w:tcPr>
            <w:tcW w:w="1701" w:type="dxa"/>
            <w:noWrap/>
            <w:hideMark/>
          </w:tcPr>
          <w:p w14:paraId="1A3278F2" w14:textId="76A267DE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4 (22.2) </w:t>
            </w:r>
          </w:p>
        </w:tc>
        <w:tc>
          <w:tcPr>
            <w:tcW w:w="709" w:type="dxa"/>
            <w:noWrap/>
            <w:hideMark/>
          </w:tcPr>
          <w:p w14:paraId="1D568C9F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802DE" w:rsidRPr="00A511ED" w14:paraId="4FB005F6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4616A86F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6E48910C" w14:textId="30FDA0B5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2 (18.2) </w:t>
            </w:r>
          </w:p>
        </w:tc>
        <w:tc>
          <w:tcPr>
            <w:tcW w:w="1701" w:type="dxa"/>
          </w:tcPr>
          <w:p w14:paraId="70F17AAF" w14:textId="36BF77EF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14 (19.4) </w:t>
            </w:r>
          </w:p>
        </w:tc>
        <w:tc>
          <w:tcPr>
            <w:tcW w:w="1701" w:type="dxa"/>
            <w:noWrap/>
            <w:hideMark/>
          </w:tcPr>
          <w:p w14:paraId="7AFC7931" w14:textId="540ECA23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9 (20.9) </w:t>
            </w:r>
          </w:p>
        </w:tc>
        <w:tc>
          <w:tcPr>
            <w:tcW w:w="1701" w:type="dxa"/>
            <w:noWrap/>
            <w:hideMark/>
          </w:tcPr>
          <w:p w14:paraId="42C2431D" w14:textId="4F77B266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2 (11.1) </w:t>
            </w:r>
          </w:p>
        </w:tc>
        <w:tc>
          <w:tcPr>
            <w:tcW w:w="709" w:type="dxa"/>
            <w:noWrap/>
            <w:hideMark/>
          </w:tcPr>
          <w:p w14:paraId="3195822F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802DE" w:rsidRPr="00A511ED" w14:paraId="0888FD36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2EE193BF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05150249"/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14:paraId="1EEDD703" w14:textId="7EB38472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1 (9.1) </w:t>
            </w:r>
          </w:p>
        </w:tc>
        <w:tc>
          <w:tcPr>
            <w:tcW w:w="1701" w:type="dxa"/>
          </w:tcPr>
          <w:p w14:paraId="255E52A7" w14:textId="6DECE080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8 (11.1) </w:t>
            </w:r>
          </w:p>
        </w:tc>
        <w:tc>
          <w:tcPr>
            <w:tcW w:w="1701" w:type="dxa"/>
            <w:noWrap/>
            <w:hideMark/>
          </w:tcPr>
          <w:p w14:paraId="2E958BDD" w14:textId="0A7EBE5E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7 (16.3) </w:t>
            </w:r>
          </w:p>
        </w:tc>
        <w:tc>
          <w:tcPr>
            <w:tcW w:w="1701" w:type="dxa"/>
            <w:noWrap/>
            <w:hideMark/>
          </w:tcPr>
          <w:p w14:paraId="3A2363CB" w14:textId="3E03CB8C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4 (22.2) </w:t>
            </w:r>
          </w:p>
        </w:tc>
        <w:tc>
          <w:tcPr>
            <w:tcW w:w="709" w:type="dxa"/>
            <w:noWrap/>
            <w:hideMark/>
          </w:tcPr>
          <w:p w14:paraId="7AB839A9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bookmarkEnd w:id="9"/>
      <w:tr w:rsidR="00C802DE" w:rsidRPr="00A511ED" w14:paraId="0E1B2CCE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0A66BAFD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14:paraId="2220427F" w14:textId="6C6E5A85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</w:tcPr>
          <w:p w14:paraId="4AA3B9A9" w14:textId="49A6FE00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10 (13.9) </w:t>
            </w:r>
          </w:p>
        </w:tc>
        <w:tc>
          <w:tcPr>
            <w:tcW w:w="1701" w:type="dxa"/>
            <w:noWrap/>
            <w:hideMark/>
          </w:tcPr>
          <w:p w14:paraId="061652BA" w14:textId="78EA732B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5 (11.6) </w:t>
            </w:r>
          </w:p>
        </w:tc>
        <w:tc>
          <w:tcPr>
            <w:tcW w:w="1701" w:type="dxa"/>
            <w:noWrap/>
            <w:hideMark/>
          </w:tcPr>
          <w:p w14:paraId="2170643E" w14:textId="32A48131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4 (22.2) </w:t>
            </w:r>
          </w:p>
        </w:tc>
        <w:tc>
          <w:tcPr>
            <w:tcW w:w="709" w:type="dxa"/>
            <w:noWrap/>
            <w:hideMark/>
          </w:tcPr>
          <w:p w14:paraId="6FC25A9D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802DE" w:rsidRPr="00A511ED" w14:paraId="1B405155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43928060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14:paraId="6653BCC9" w14:textId="16742ED4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</w:tcPr>
          <w:p w14:paraId="357E6A06" w14:textId="5758CA7B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2 (2.8) </w:t>
            </w:r>
          </w:p>
        </w:tc>
        <w:tc>
          <w:tcPr>
            <w:tcW w:w="1701" w:type="dxa"/>
            <w:noWrap/>
            <w:hideMark/>
          </w:tcPr>
          <w:p w14:paraId="4DB63D73" w14:textId="71BECB95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4 (9.3) </w:t>
            </w:r>
          </w:p>
        </w:tc>
        <w:tc>
          <w:tcPr>
            <w:tcW w:w="1701" w:type="dxa"/>
            <w:noWrap/>
            <w:hideMark/>
          </w:tcPr>
          <w:p w14:paraId="63603360" w14:textId="65B4806C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1 (5.6) </w:t>
            </w:r>
          </w:p>
        </w:tc>
        <w:tc>
          <w:tcPr>
            <w:tcW w:w="709" w:type="dxa"/>
            <w:noWrap/>
            <w:hideMark/>
          </w:tcPr>
          <w:p w14:paraId="7C9FD877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C802DE" w:rsidRPr="00A511ED" w14:paraId="26DFA8AB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0D7CE659" w14:textId="77777777" w:rsidR="00C802DE" w:rsidRPr="00A511ED" w:rsidRDefault="00C802DE" w:rsidP="00C8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14:paraId="0B9DAE37" w14:textId="4E0600C8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</w:tcPr>
          <w:p w14:paraId="3B312B34" w14:textId="045CA8A7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3 (4.2) </w:t>
            </w:r>
          </w:p>
        </w:tc>
        <w:tc>
          <w:tcPr>
            <w:tcW w:w="1701" w:type="dxa"/>
            <w:noWrap/>
            <w:hideMark/>
          </w:tcPr>
          <w:p w14:paraId="68533EB5" w14:textId="3F9506D2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1 (2.3) </w:t>
            </w:r>
          </w:p>
        </w:tc>
        <w:tc>
          <w:tcPr>
            <w:tcW w:w="1701" w:type="dxa"/>
            <w:noWrap/>
            <w:hideMark/>
          </w:tcPr>
          <w:p w14:paraId="5C999745" w14:textId="62D3DC6F" w:rsidR="00C802DE" w:rsidRPr="00C802DE" w:rsidRDefault="00C802DE" w:rsidP="00C80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2DE">
              <w:rPr>
                <w:rFonts w:ascii="Times New Roman" w:hAnsi="Times New Roman" w:cs="Times New Roman"/>
                <w:sz w:val="24"/>
                <w:szCs w:val="24"/>
              </w:rPr>
              <w:t xml:space="preserve"> 1 (5.6) </w:t>
            </w:r>
          </w:p>
        </w:tc>
        <w:tc>
          <w:tcPr>
            <w:tcW w:w="709" w:type="dxa"/>
            <w:noWrap/>
            <w:hideMark/>
          </w:tcPr>
          <w:p w14:paraId="0B4D1307" w14:textId="77777777" w:rsidR="00C802DE" w:rsidRPr="00A511ED" w:rsidRDefault="00C802DE" w:rsidP="00C802D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09EC" w:rsidRPr="00A511ED" w14:paraId="5A04EBB5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6D5679A4" w14:textId="77777777" w:rsidR="00E309EC" w:rsidRPr="00A511ED" w:rsidRDefault="00E309EC" w:rsidP="00E30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</w:p>
        </w:tc>
        <w:tc>
          <w:tcPr>
            <w:tcW w:w="1701" w:type="dxa"/>
            <w:noWrap/>
            <w:hideMark/>
          </w:tcPr>
          <w:p w14:paraId="29857A65" w14:textId="4EFE80C9" w:rsidR="00E309EC" w:rsidRPr="00E309EC" w:rsidRDefault="00E309EC" w:rsidP="00E3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EC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1701" w:type="dxa"/>
          </w:tcPr>
          <w:p w14:paraId="00B54B3D" w14:textId="3FA5707D" w:rsidR="00E309EC" w:rsidRPr="00E309EC" w:rsidRDefault="00E309EC" w:rsidP="00E3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EC">
              <w:rPr>
                <w:rFonts w:ascii="Times New Roman" w:hAnsi="Times New Roman" w:cs="Times New Roman"/>
                <w:sz w:val="24"/>
                <w:szCs w:val="24"/>
              </w:rPr>
              <w:t xml:space="preserve"> 9 (12.5) </w:t>
            </w:r>
          </w:p>
        </w:tc>
        <w:tc>
          <w:tcPr>
            <w:tcW w:w="1701" w:type="dxa"/>
            <w:noWrap/>
            <w:hideMark/>
          </w:tcPr>
          <w:p w14:paraId="46140EC5" w14:textId="516523E1" w:rsidR="00E309EC" w:rsidRPr="00E309EC" w:rsidRDefault="00E309EC" w:rsidP="00E3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EC">
              <w:rPr>
                <w:rFonts w:ascii="Times New Roman" w:hAnsi="Times New Roman" w:cs="Times New Roman"/>
                <w:sz w:val="24"/>
                <w:szCs w:val="24"/>
              </w:rPr>
              <w:t xml:space="preserve"> 8 (18.6) </w:t>
            </w:r>
          </w:p>
        </w:tc>
        <w:tc>
          <w:tcPr>
            <w:tcW w:w="1701" w:type="dxa"/>
            <w:noWrap/>
            <w:hideMark/>
          </w:tcPr>
          <w:p w14:paraId="0A876A78" w14:textId="149F8E4B" w:rsidR="00E309EC" w:rsidRPr="00E309EC" w:rsidRDefault="00E309EC" w:rsidP="00E3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9EC">
              <w:rPr>
                <w:rFonts w:ascii="Times New Roman" w:hAnsi="Times New Roman" w:cs="Times New Roman"/>
                <w:sz w:val="24"/>
                <w:szCs w:val="24"/>
              </w:rPr>
              <w:t xml:space="preserve"> 3 (16.7) </w:t>
            </w:r>
          </w:p>
        </w:tc>
        <w:tc>
          <w:tcPr>
            <w:tcW w:w="709" w:type="dxa"/>
            <w:noWrap/>
            <w:hideMark/>
          </w:tcPr>
          <w:p w14:paraId="080C46CD" w14:textId="7B791EFA" w:rsidR="00E309EC" w:rsidRPr="00A511ED" w:rsidRDefault="00E309EC" w:rsidP="00E309EC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0.4</w:t>
            </w:r>
            <w:r>
              <w:rPr>
                <w:rFonts w:ascii="Times New Roman" w:hAnsi="Times New Roman"/>
                <w:sz w:val="22"/>
              </w:rPr>
              <w:t>2</w:t>
            </w:r>
          </w:p>
        </w:tc>
      </w:tr>
      <w:tr w:rsidR="00C209E1" w:rsidRPr="00A511ED" w14:paraId="1D9B221E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09D3524D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A511ED">
              <w:rPr>
                <w:rFonts w:ascii="Times New Roman" w:hAnsi="Times New Roman" w:cs="Times New Roman"/>
                <w:sz w:val="23"/>
                <w:szCs w:val="24"/>
              </w:rPr>
              <w:t>Duration of mechanical ventilation</w:t>
            </w:r>
          </w:p>
        </w:tc>
        <w:tc>
          <w:tcPr>
            <w:tcW w:w="1701" w:type="dxa"/>
            <w:noWrap/>
            <w:hideMark/>
          </w:tcPr>
          <w:p w14:paraId="0B091BC2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 [1–2]</w:t>
            </w:r>
          </w:p>
        </w:tc>
        <w:tc>
          <w:tcPr>
            <w:tcW w:w="1701" w:type="dxa"/>
          </w:tcPr>
          <w:p w14:paraId="777A9566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 [1–5]</w:t>
            </w:r>
          </w:p>
        </w:tc>
        <w:tc>
          <w:tcPr>
            <w:tcW w:w="1701" w:type="dxa"/>
            <w:noWrap/>
            <w:hideMark/>
          </w:tcPr>
          <w:p w14:paraId="34C2658A" w14:textId="4E7A94EC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 [1–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20BE1FCC" w14:textId="7470EAD5" w:rsidR="00C209E1" w:rsidRPr="00A511ED" w:rsidRDefault="00DD20C4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09E1"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9" w:type="dxa"/>
            <w:noWrap/>
            <w:hideMark/>
          </w:tcPr>
          <w:p w14:paraId="38D6A595" w14:textId="4E2B3163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D20C4">
              <w:rPr>
                <w:rFonts w:ascii="Times New Roman" w:hAnsi="Times New Roman"/>
                <w:sz w:val="22"/>
              </w:rPr>
              <w:t>33</w:t>
            </w:r>
          </w:p>
        </w:tc>
      </w:tr>
      <w:tr w:rsidR="00C209E1" w:rsidRPr="00A511ED" w14:paraId="2ACA9E86" w14:textId="77777777" w:rsidTr="00E1374A">
        <w:trPr>
          <w:trHeight w:val="360"/>
        </w:trPr>
        <w:tc>
          <w:tcPr>
            <w:tcW w:w="3402" w:type="dxa"/>
            <w:noWrap/>
            <w:hideMark/>
          </w:tcPr>
          <w:p w14:paraId="63789C55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ICU stay</w:t>
            </w:r>
          </w:p>
        </w:tc>
        <w:tc>
          <w:tcPr>
            <w:tcW w:w="1701" w:type="dxa"/>
            <w:noWrap/>
            <w:hideMark/>
          </w:tcPr>
          <w:p w14:paraId="25125501" w14:textId="0814C004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</w:tcPr>
          <w:p w14:paraId="4B53BEF6" w14:textId="7777777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15 [12–17]</w:t>
            </w:r>
          </w:p>
        </w:tc>
        <w:tc>
          <w:tcPr>
            <w:tcW w:w="1701" w:type="dxa"/>
            <w:noWrap/>
            <w:hideMark/>
          </w:tcPr>
          <w:p w14:paraId="66D1B4AA" w14:textId="12A2F589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noWrap/>
            <w:hideMark/>
          </w:tcPr>
          <w:p w14:paraId="160CBAAC" w14:textId="20499245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–17]</w:t>
            </w:r>
          </w:p>
        </w:tc>
        <w:tc>
          <w:tcPr>
            <w:tcW w:w="709" w:type="dxa"/>
            <w:noWrap/>
            <w:hideMark/>
          </w:tcPr>
          <w:p w14:paraId="016214F5" w14:textId="45721A00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D20C4">
              <w:rPr>
                <w:rFonts w:ascii="Times New Roman" w:hAnsi="Times New Roman"/>
                <w:sz w:val="22"/>
              </w:rPr>
              <w:t>53</w:t>
            </w:r>
          </w:p>
        </w:tc>
      </w:tr>
      <w:tr w:rsidR="00C209E1" w:rsidRPr="00A511ED" w14:paraId="4ADE4467" w14:textId="77777777" w:rsidTr="00E1374A">
        <w:trPr>
          <w:trHeight w:val="360"/>
        </w:trPr>
        <w:tc>
          <w:tcPr>
            <w:tcW w:w="3402" w:type="dxa"/>
            <w:tcBorders>
              <w:bottom w:val="single" w:sz="4" w:space="0" w:color="auto"/>
            </w:tcBorders>
            <w:noWrap/>
            <w:hideMark/>
          </w:tcPr>
          <w:p w14:paraId="3A3031E7" w14:textId="77777777" w:rsidR="00C209E1" w:rsidRPr="00A511ED" w:rsidRDefault="00C209E1" w:rsidP="0054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Hospital stay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5F74B3C" w14:textId="7AC87948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20 [19–2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0E3CEC" w14:textId="70002215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26 [22–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4C441ACD" w14:textId="4DEA3D34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[22–3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hideMark/>
          </w:tcPr>
          <w:p w14:paraId="6BC507FB" w14:textId="52F61507" w:rsidR="00C209E1" w:rsidRPr="00A511ED" w:rsidRDefault="00C209E1" w:rsidP="0054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30 [2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  <w:r w:rsidR="00DD2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hideMark/>
          </w:tcPr>
          <w:p w14:paraId="00D01C67" w14:textId="02F2B078" w:rsidR="00C209E1" w:rsidRPr="00A511ED" w:rsidRDefault="00C209E1" w:rsidP="00546FC2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0.0</w:t>
            </w:r>
            <w:r w:rsidR="00DD20C4">
              <w:rPr>
                <w:rFonts w:ascii="Times New Roman" w:hAnsi="Times New Roman"/>
                <w:sz w:val="22"/>
              </w:rPr>
              <w:t>4</w:t>
            </w:r>
          </w:p>
        </w:tc>
      </w:tr>
    </w:tbl>
    <w:p w14:paraId="4BF30AF8" w14:textId="77777777" w:rsidR="00C209E1" w:rsidRPr="00A511ED" w:rsidRDefault="00C209E1" w:rsidP="00C94B35">
      <w:pPr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Data are expressed as mean ± standard deviation, number (percentage), or median [interquartile range]. </w:t>
      </w:r>
    </w:p>
    <w:p w14:paraId="45F8B272" w14:textId="77777777" w:rsidR="00C209E1" w:rsidRPr="00A511ED" w:rsidRDefault="00C209E1" w:rsidP="00C94B35">
      <w:pPr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H&amp;K, Hunt and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Kosnik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>; DCI, delayed cerebral ischemia; ICU, intensive care unit.</w:t>
      </w:r>
    </w:p>
    <w:p w14:paraId="0B91D4CF" w14:textId="4F493591" w:rsidR="00C209E1" w:rsidRPr="00A511ED" w:rsidRDefault="00C209E1" w:rsidP="00C94B35">
      <w:pPr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Hyperoxia subgroups (1–4): 1,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normoxia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 xml:space="preserve">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7C95" w:rsidRPr="00A511ED">
        <w:rPr>
          <w:rFonts w:ascii="Times New Roman" w:hAnsi="Times New Roman" w:cs="Times New Roman"/>
          <w:sz w:val="24"/>
          <w:szCs w:val="24"/>
        </w:rPr>
        <w:t>,</w:t>
      </w:r>
      <w:r w:rsidRPr="00A511ED">
        <w:rPr>
          <w:rFonts w:ascii="Times New Roman" w:hAnsi="Times New Roman" w:cs="Times New Roman"/>
          <w:sz w:val="24"/>
          <w:szCs w:val="24"/>
        </w:rPr>
        <w:t xml:space="preserve"> 60–120 mmHg); 2, mild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87C95" w:rsidRPr="00A511ED">
        <w:rPr>
          <w:rFonts w:ascii="Times New Roman" w:hAnsi="Times New Roman" w:cs="Times New Roman"/>
          <w:sz w:val="24"/>
          <w:szCs w:val="24"/>
        </w:rPr>
        <w:t>,</w:t>
      </w:r>
      <w:r w:rsidRPr="00A511ED">
        <w:rPr>
          <w:rFonts w:ascii="Times New Roman" w:hAnsi="Times New Roman" w:cs="Times New Roman"/>
          <w:sz w:val="24"/>
          <w:szCs w:val="24"/>
        </w:rPr>
        <w:t xml:space="preserve"> 121–200 mmHg); 3, moderate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8567D" w:rsidRPr="00A511ED">
        <w:rPr>
          <w:rFonts w:ascii="Times New Roman" w:hAnsi="Times New Roman" w:cs="Times New Roman"/>
          <w:sz w:val="24"/>
          <w:szCs w:val="24"/>
        </w:rPr>
        <w:t>,</w:t>
      </w:r>
      <w:r w:rsidRPr="00A511ED">
        <w:rPr>
          <w:rFonts w:ascii="Times New Roman" w:hAnsi="Times New Roman" w:cs="Times New Roman"/>
          <w:sz w:val="24"/>
          <w:szCs w:val="24"/>
        </w:rPr>
        <w:t xml:space="preserve"> 201–300 mmHg); 4, severe hyperoxia (max PaO</w:t>
      </w:r>
      <w:r w:rsidRPr="00A511E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11ED">
        <w:rPr>
          <w:rFonts w:ascii="Times New Roman" w:hAnsi="Times New Roman" w:cs="Times New Roman"/>
          <w:sz w:val="24"/>
          <w:szCs w:val="24"/>
        </w:rPr>
        <w:t xml:space="preserve"> &gt;</w:t>
      </w:r>
      <w:r w:rsidR="00D8567D" w:rsidRPr="00A511ED">
        <w:rPr>
          <w:rFonts w:ascii="Times New Roman" w:hAnsi="Times New Roman" w:cs="Times New Roman"/>
          <w:sz w:val="24"/>
          <w:szCs w:val="24"/>
        </w:rPr>
        <w:t xml:space="preserve"> </w:t>
      </w:r>
      <w:r w:rsidRPr="00A511ED">
        <w:rPr>
          <w:rFonts w:ascii="Times New Roman" w:hAnsi="Times New Roman" w:cs="Times New Roman"/>
          <w:sz w:val="24"/>
          <w:szCs w:val="24"/>
        </w:rPr>
        <w:lastRenderedPageBreak/>
        <w:t>300 mmHg).</w:t>
      </w:r>
      <w:bookmarkEnd w:id="7"/>
      <w:r w:rsidRPr="00A511ED">
        <w:rPr>
          <w:rFonts w:ascii="Times New Roman" w:hAnsi="Times New Roman" w:cs="Times New Roman"/>
          <w:sz w:val="24"/>
          <w:szCs w:val="24"/>
        </w:rPr>
        <w:br w:type="page"/>
      </w:r>
    </w:p>
    <w:p w14:paraId="18C99CDD" w14:textId="64855E57" w:rsidR="00D12D8C" w:rsidRPr="00A511ED" w:rsidRDefault="00D12D8C" w:rsidP="00D12D8C">
      <w:pPr>
        <w:jc w:val="left"/>
        <w:rPr>
          <w:rFonts w:ascii="Times New Roman" w:hAnsi="Times New Roman"/>
          <w:b/>
          <w:sz w:val="24"/>
        </w:rPr>
      </w:pPr>
      <w:r w:rsidRPr="00A511ED">
        <w:rPr>
          <w:rFonts w:ascii="Times New Roman" w:hAnsi="Times New Roman"/>
          <w:b/>
          <w:sz w:val="24"/>
        </w:rPr>
        <w:lastRenderedPageBreak/>
        <w:t>Supplementary</w:t>
      </w:r>
      <w:bookmarkEnd w:id="5"/>
      <w:r w:rsidRPr="00A511ED">
        <w:rPr>
          <w:rFonts w:ascii="Times New Roman" w:hAnsi="Times New Roman"/>
          <w:b/>
          <w:sz w:val="24"/>
        </w:rPr>
        <w:t xml:space="preserve"> </w:t>
      </w:r>
      <w:bookmarkEnd w:id="6"/>
      <w:r w:rsidRPr="00A511ED">
        <w:rPr>
          <w:rFonts w:ascii="Times New Roman" w:hAnsi="Times New Roman"/>
          <w:b/>
          <w:sz w:val="24"/>
        </w:rPr>
        <w:t xml:space="preserve">Table </w:t>
      </w:r>
      <w:r w:rsidR="00796205" w:rsidRPr="00A511ED">
        <w:rPr>
          <w:rFonts w:ascii="Times New Roman" w:hAnsi="Times New Roman" w:cs="Times New Roman"/>
          <w:b/>
          <w:sz w:val="24"/>
          <w:szCs w:val="24"/>
        </w:rPr>
        <w:t>4</w:t>
      </w:r>
      <w:r w:rsidRPr="00A511ED">
        <w:rPr>
          <w:rFonts w:ascii="Times New Roman" w:hAnsi="Times New Roman"/>
          <w:b/>
          <w:sz w:val="24"/>
        </w:rPr>
        <w:t>. Association between PaO</w:t>
      </w:r>
      <w:r w:rsidRPr="00A511ED">
        <w:rPr>
          <w:rFonts w:ascii="Times New Roman" w:hAnsi="Times New Roman"/>
          <w:b/>
          <w:sz w:val="24"/>
          <w:vertAlign w:val="subscript"/>
        </w:rPr>
        <w:t>2</w:t>
      </w:r>
      <w:r w:rsidRPr="00A511ED">
        <w:rPr>
          <w:rFonts w:ascii="Times New Roman" w:hAnsi="Times New Roman"/>
          <w:b/>
          <w:sz w:val="24"/>
        </w:rPr>
        <w:t xml:space="preserve"> levels and DCI (univariate analysis)</w:t>
      </w:r>
    </w:p>
    <w:tbl>
      <w:tblPr>
        <w:tblStyle w:val="a3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844"/>
        <w:gridCol w:w="2409"/>
        <w:gridCol w:w="2351"/>
        <w:gridCol w:w="768"/>
      </w:tblGrid>
      <w:tr w:rsidR="00D12D8C" w:rsidRPr="00A511ED" w14:paraId="118FB364" w14:textId="77777777" w:rsidTr="00C94B35">
        <w:trPr>
          <w:trHeight w:val="69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93787A" w14:textId="77777777" w:rsidR="00D12D8C" w:rsidRPr="00A511ED" w:rsidRDefault="00D12D8C" w:rsidP="0018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Variable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819EA4" w14:textId="697B1622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All patients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br/>
              <w:t>(N = 1</w:t>
            </w:r>
            <w:r w:rsidR="0052400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CAFE00F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DCI</w:t>
            </w:r>
          </w:p>
          <w:p w14:paraId="023393D1" w14:textId="0249B32A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(N = 2</w:t>
            </w:r>
            <w:r w:rsidR="00FE5A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BA6FDA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No DCI</w:t>
            </w:r>
          </w:p>
          <w:p w14:paraId="7E61B724" w14:textId="5107E7A6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(N = 1</w:t>
            </w:r>
            <w:r w:rsidR="00FE5A9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BBD2B9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524008" w:rsidRPr="00A511ED" w14:paraId="5CA4088A" w14:textId="77777777" w:rsidTr="00C94B35">
        <w:trPr>
          <w:trHeight w:val="360"/>
        </w:trPr>
        <w:tc>
          <w:tcPr>
            <w:tcW w:w="3544" w:type="dxa"/>
            <w:tcBorders>
              <w:top w:val="single" w:sz="4" w:space="0" w:color="auto"/>
            </w:tcBorders>
            <w:noWrap/>
            <w:hideMark/>
          </w:tcPr>
          <w:p w14:paraId="50E1AEF0" w14:textId="77777777" w:rsidR="00524008" w:rsidRPr="00A511ED" w:rsidRDefault="00524008" w:rsidP="005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Age (years)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noWrap/>
            <w:hideMark/>
          </w:tcPr>
          <w:p w14:paraId="7D00FC15" w14:textId="069457A2" w:rsidR="00524008" w:rsidRPr="00524008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62.7 ± 16.8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noWrap/>
            <w:hideMark/>
          </w:tcPr>
          <w:p w14:paraId="29D3BC19" w14:textId="671D16CA" w:rsidR="00524008" w:rsidRPr="00A511ED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</w:tcBorders>
            <w:noWrap/>
            <w:hideMark/>
          </w:tcPr>
          <w:p w14:paraId="3AE3D855" w14:textId="743E5EA8" w:rsidR="00524008" w:rsidRPr="00A511ED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± 1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E59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</w:tcBorders>
            <w:noWrap/>
            <w:hideMark/>
          </w:tcPr>
          <w:p w14:paraId="51EF1922" w14:textId="155FA0BA" w:rsidR="00524008" w:rsidRPr="00A511ED" w:rsidRDefault="00524008" w:rsidP="00524008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9E5915">
              <w:rPr>
                <w:rFonts w:ascii="Times New Roman" w:hAnsi="Times New Roman"/>
                <w:sz w:val="22"/>
              </w:rPr>
              <w:t>78</w:t>
            </w:r>
          </w:p>
        </w:tc>
      </w:tr>
      <w:tr w:rsidR="009E5915" w:rsidRPr="00A511ED" w14:paraId="6D9A0ECF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1BE87226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1844" w:type="dxa"/>
            <w:noWrap/>
            <w:hideMark/>
          </w:tcPr>
          <w:p w14:paraId="3F6FD161" w14:textId="0C4C09B5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>63 (32.1)</w:t>
            </w:r>
          </w:p>
        </w:tc>
        <w:tc>
          <w:tcPr>
            <w:tcW w:w="2409" w:type="dxa"/>
            <w:noWrap/>
            <w:hideMark/>
          </w:tcPr>
          <w:p w14:paraId="3FC04B35" w14:textId="46BCB8D4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9 (33.3) </w:t>
            </w:r>
          </w:p>
        </w:tc>
        <w:tc>
          <w:tcPr>
            <w:tcW w:w="2351" w:type="dxa"/>
            <w:noWrap/>
            <w:hideMark/>
          </w:tcPr>
          <w:p w14:paraId="4F120958" w14:textId="41C70B1E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54 (32.0) </w:t>
            </w:r>
          </w:p>
        </w:tc>
        <w:tc>
          <w:tcPr>
            <w:tcW w:w="768" w:type="dxa"/>
            <w:noWrap/>
            <w:hideMark/>
          </w:tcPr>
          <w:p w14:paraId="01FD4DB0" w14:textId="05C3FAE9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1.00</w:t>
            </w:r>
          </w:p>
        </w:tc>
      </w:tr>
      <w:tr w:rsidR="00524008" w:rsidRPr="00A511ED" w14:paraId="5124610F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4A370C0B" w14:textId="77777777" w:rsidR="00524008" w:rsidRPr="00A511ED" w:rsidRDefault="00524008" w:rsidP="0052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H&amp;K grades</w:t>
            </w:r>
          </w:p>
        </w:tc>
        <w:tc>
          <w:tcPr>
            <w:tcW w:w="1844" w:type="dxa"/>
            <w:noWrap/>
            <w:hideMark/>
          </w:tcPr>
          <w:p w14:paraId="3CD5E1AE" w14:textId="77777777" w:rsidR="00524008" w:rsidRPr="00524008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14:paraId="743FA853" w14:textId="77777777" w:rsidR="00524008" w:rsidRPr="009E5915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noWrap/>
            <w:hideMark/>
          </w:tcPr>
          <w:p w14:paraId="4929695E" w14:textId="77777777" w:rsidR="00524008" w:rsidRPr="009E5915" w:rsidRDefault="00524008" w:rsidP="00524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  <w:hideMark/>
          </w:tcPr>
          <w:p w14:paraId="54BC26AB" w14:textId="62CCC25A" w:rsidR="00524008" w:rsidRPr="00A511ED" w:rsidRDefault="00524008" w:rsidP="00524008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0.01</w:t>
            </w:r>
          </w:p>
        </w:tc>
      </w:tr>
      <w:tr w:rsidR="009E5915" w:rsidRPr="00A511ED" w14:paraId="0DD122C2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7BAC6EB6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844" w:type="dxa"/>
            <w:noWrap/>
            <w:hideMark/>
          </w:tcPr>
          <w:p w14:paraId="21203C66" w14:textId="659E856D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23 (11.7) </w:t>
            </w:r>
          </w:p>
        </w:tc>
        <w:tc>
          <w:tcPr>
            <w:tcW w:w="2409" w:type="dxa"/>
            <w:noWrap/>
            <w:hideMark/>
          </w:tcPr>
          <w:p w14:paraId="6CB9C754" w14:textId="6FB2A202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1 (3.7) </w:t>
            </w:r>
          </w:p>
        </w:tc>
        <w:tc>
          <w:tcPr>
            <w:tcW w:w="2351" w:type="dxa"/>
            <w:noWrap/>
            <w:hideMark/>
          </w:tcPr>
          <w:p w14:paraId="2E20DD26" w14:textId="171301E1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22 (13.0) </w:t>
            </w:r>
          </w:p>
        </w:tc>
        <w:tc>
          <w:tcPr>
            <w:tcW w:w="768" w:type="dxa"/>
            <w:noWrap/>
            <w:hideMark/>
          </w:tcPr>
          <w:p w14:paraId="3DD0C98E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38209153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2B2F1B9C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844" w:type="dxa"/>
            <w:noWrap/>
            <w:hideMark/>
          </w:tcPr>
          <w:p w14:paraId="4942ECD0" w14:textId="5C18D825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76 (38.8) </w:t>
            </w:r>
          </w:p>
        </w:tc>
        <w:tc>
          <w:tcPr>
            <w:tcW w:w="2409" w:type="dxa"/>
            <w:noWrap/>
            <w:hideMark/>
          </w:tcPr>
          <w:p w14:paraId="2783C9CC" w14:textId="43883723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6 (22.2) </w:t>
            </w:r>
          </w:p>
        </w:tc>
        <w:tc>
          <w:tcPr>
            <w:tcW w:w="2351" w:type="dxa"/>
            <w:noWrap/>
            <w:hideMark/>
          </w:tcPr>
          <w:p w14:paraId="05E14F9C" w14:textId="3D495D7C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70 (41.4) </w:t>
            </w:r>
          </w:p>
        </w:tc>
        <w:tc>
          <w:tcPr>
            <w:tcW w:w="768" w:type="dxa"/>
            <w:noWrap/>
            <w:hideMark/>
          </w:tcPr>
          <w:p w14:paraId="2FB7C580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1E68AAFA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5473DE1D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844" w:type="dxa"/>
            <w:noWrap/>
            <w:hideMark/>
          </w:tcPr>
          <w:p w14:paraId="7C1CEAE1" w14:textId="7AACA59A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45 (23.0) </w:t>
            </w:r>
          </w:p>
        </w:tc>
        <w:tc>
          <w:tcPr>
            <w:tcW w:w="2409" w:type="dxa"/>
            <w:noWrap/>
            <w:hideMark/>
          </w:tcPr>
          <w:p w14:paraId="7C6BAC9A" w14:textId="4CB7BF8C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13 (48.1) </w:t>
            </w:r>
          </w:p>
        </w:tc>
        <w:tc>
          <w:tcPr>
            <w:tcW w:w="2351" w:type="dxa"/>
            <w:noWrap/>
            <w:hideMark/>
          </w:tcPr>
          <w:p w14:paraId="49C97B51" w14:textId="635F469C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32 (18.9) </w:t>
            </w:r>
          </w:p>
        </w:tc>
        <w:tc>
          <w:tcPr>
            <w:tcW w:w="768" w:type="dxa"/>
            <w:noWrap/>
            <w:hideMark/>
          </w:tcPr>
          <w:p w14:paraId="518CB781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63190757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30740DDD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844" w:type="dxa"/>
            <w:noWrap/>
            <w:hideMark/>
          </w:tcPr>
          <w:p w14:paraId="6F44B757" w14:textId="3267ECDE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36 (18.4) </w:t>
            </w:r>
          </w:p>
        </w:tc>
        <w:tc>
          <w:tcPr>
            <w:tcW w:w="2409" w:type="dxa"/>
            <w:noWrap/>
            <w:hideMark/>
          </w:tcPr>
          <w:p w14:paraId="3A3A7F90" w14:textId="6F3BF16E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6 (22.2) </w:t>
            </w:r>
          </w:p>
        </w:tc>
        <w:tc>
          <w:tcPr>
            <w:tcW w:w="2351" w:type="dxa"/>
            <w:noWrap/>
            <w:hideMark/>
          </w:tcPr>
          <w:p w14:paraId="713C93FF" w14:textId="3A2BADA5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30 (17.8) </w:t>
            </w:r>
          </w:p>
        </w:tc>
        <w:tc>
          <w:tcPr>
            <w:tcW w:w="768" w:type="dxa"/>
            <w:noWrap/>
            <w:hideMark/>
          </w:tcPr>
          <w:p w14:paraId="3C0691ED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0CF6F225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523B7111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844" w:type="dxa"/>
            <w:noWrap/>
            <w:hideMark/>
          </w:tcPr>
          <w:p w14:paraId="4D6D788F" w14:textId="3082891D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16 (8.2) </w:t>
            </w:r>
          </w:p>
        </w:tc>
        <w:tc>
          <w:tcPr>
            <w:tcW w:w="2409" w:type="dxa"/>
            <w:noWrap/>
            <w:hideMark/>
          </w:tcPr>
          <w:p w14:paraId="7BB6E88D" w14:textId="32FE2967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1 (3.7) </w:t>
            </w:r>
          </w:p>
        </w:tc>
        <w:tc>
          <w:tcPr>
            <w:tcW w:w="2351" w:type="dxa"/>
            <w:noWrap/>
            <w:hideMark/>
          </w:tcPr>
          <w:p w14:paraId="33046AED" w14:textId="5B8725DD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15 (8.9) </w:t>
            </w:r>
          </w:p>
        </w:tc>
        <w:tc>
          <w:tcPr>
            <w:tcW w:w="768" w:type="dxa"/>
            <w:noWrap/>
            <w:hideMark/>
          </w:tcPr>
          <w:p w14:paraId="4B86C9C2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12D8C" w:rsidRPr="00A511ED" w14:paraId="48FBAADB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78B420AC" w14:textId="77777777" w:rsidR="00D12D8C" w:rsidRPr="00A511ED" w:rsidRDefault="00D12D8C" w:rsidP="0018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Treatment approach</w:t>
            </w:r>
          </w:p>
        </w:tc>
        <w:tc>
          <w:tcPr>
            <w:tcW w:w="1844" w:type="dxa"/>
            <w:noWrap/>
            <w:hideMark/>
          </w:tcPr>
          <w:p w14:paraId="31565F45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14:paraId="5991AC69" w14:textId="77777777" w:rsidR="00D12D8C" w:rsidRPr="009E5915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noWrap/>
            <w:hideMark/>
          </w:tcPr>
          <w:p w14:paraId="449029E3" w14:textId="77777777" w:rsidR="00D12D8C" w:rsidRPr="009E5915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  <w:hideMark/>
          </w:tcPr>
          <w:p w14:paraId="69A3B8F6" w14:textId="6CD26CFC" w:rsidR="00D12D8C" w:rsidRPr="00A511ED" w:rsidRDefault="00D12D8C" w:rsidP="001840C8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9E5915">
              <w:rPr>
                <w:rFonts w:ascii="Times New Roman" w:hAnsi="Times New Roman"/>
                <w:sz w:val="22"/>
              </w:rPr>
              <w:t>08</w:t>
            </w:r>
          </w:p>
        </w:tc>
      </w:tr>
      <w:tr w:rsidR="009E5915" w:rsidRPr="00A511ED" w14:paraId="42C9ADE6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79D66634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Coil</w:t>
            </w:r>
          </w:p>
        </w:tc>
        <w:tc>
          <w:tcPr>
            <w:tcW w:w="1844" w:type="dxa"/>
            <w:noWrap/>
            <w:hideMark/>
          </w:tcPr>
          <w:p w14:paraId="311BC025" w14:textId="1ECEEA73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144 (73.5) </w:t>
            </w:r>
          </w:p>
        </w:tc>
        <w:tc>
          <w:tcPr>
            <w:tcW w:w="2409" w:type="dxa"/>
            <w:noWrap/>
            <w:hideMark/>
          </w:tcPr>
          <w:p w14:paraId="10A70A9C" w14:textId="035D9F7A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16 (59.3) </w:t>
            </w:r>
          </w:p>
        </w:tc>
        <w:tc>
          <w:tcPr>
            <w:tcW w:w="2351" w:type="dxa"/>
            <w:noWrap/>
            <w:hideMark/>
          </w:tcPr>
          <w:p w14:paraId="734EBADE" w14:textId="716B5719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128 (75.7) </w:t>
            </w:r>
          </w:p>
        </w:tc>
        <w:tc>
          <w:tcPr>
            <w:tcW w:w="768" w:type="dxa"/>
            <w:noWrap/>
            <w:hideMark/>
          </w:tcPr>
          <w:p w14:paraId="2E63B955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4362AFBE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4E2116FD" w14:textId="77777777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Clip</w:t>
            </w:r>
          </w:p>
        </w:tc>
        <w:tc>
          <w:tcPr>
            <w:tcW w:w="1844" w:type="dxa"/>
            <w:noWrap/>
            <w:hideMark/>
          </w:tcPr>
          <w:p w14:paraId="667BB7DB" w14:textId="72207FD5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50 (25.5) </w:t>
            </w:r>
          </w:p>
        </w:tc>
        <w:tc>
          <w:tcPr>
            <w:tcW w:w="2409" w:type="dxa"/>
            <w:noWrap/>
            <w:hideMark/>
          </w:tcPr>
          <w:p w14:paraId="3349457E" w14:textId="225710DA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10 (37.0) </w:t>
            </w:r>
          </w:p>
        </w:tc>
        <w:tc>
          <w:tcPr>
            <w:tcW w:w="2351" w:type="dxa"/>
            <w:noWrap/>
            <w:hideMark/>
          </w:tcPr>
          <w:p w14:paraId="1CFBD30F" w14:textId="66595048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40 (23.7) </w:t>
            </w:r>
          </w:p>
        </w:tc>
        <w:tc>
          <w:tcPr>
            <w:tcW w:w="768" w:type="dxa"/>
            <w:noWrap/>
            <w:hideMark/>
          </w:tcPr>
          <w:p w14:paraId="03DCA997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9E5915" w:rsidRPr="00A511ED" w14:paraId="30AB63BD" w14:textId="77777777" w:rsidTr="00C94B35">
        <w:trPr>
          <w:trHeight w:val="360"/>
        </w:trPr>
        <w:tc>
          <w:tcPr>
            <w:tcW w:w="3544" w:type="dxa"/>
            <w:noWrap/>
          </w:tcPr>
          <w:p w14:paraId="60CAD39B" w14:textId="48FDF0E3" w:rsidR="009E5915" w:rsidRPr="00A511ED" w:rsidRDefault="009E5915" w:rsidP="009E5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114">
              <w:rPr>
                <w:rFonts w:ascii="Times New Roman" w:hAnsi="Times New Roman" w:cs="Times New Roman"/>
                <w:sz w:val="24"/>
                <w:szCs w:val="24"/>
              </w:rPr>
              <w:t>Not coil or clip</w:t>
            </w:r>
          </w:p>
        </w:tc>
        <w:tc>
          <w:tcPr>
            <w:tcW w:w="1844" w:type="dxa"/>
            <w:noWrap/>
          </w:tcPr>
          <w:p w14:paraId="6024DBBD" w14:textId="7BE8BD7A" w:rsidR="009E5915" w:rsidRPr="00524008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4008">
              <w:rPr>
                <w:rFonts w:ascii="Times New Roman" w:hAnsi="Times New Roman" w:cs="Times New Roman"/>
                <w:sz w:val="24"/>
                <w:szCs w:val="24"/>
              </w:rPr>
              <w:t xml:space="preserve">  2 (1.0) </w:t>
            </w:r>
          </w:p>
        </w:tc>
        <w:tc>
          <w:tcPr>
            <w:tcW w:w="2409" w:type="dxa"/>
            <w:noWrap/>
          </w:tcPr>
          <w:p w14:paraId="010EDA39" w14:textId="0E8E44F1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1 (3.7) </w:t>
            </w:r>
          </w:p>
        </w:tc>
        <w:tc>
          <w:tcPr>
            <w:tcW w:w="2351" w:type="dxa"/>
            <w:noWrap/>
          </w:tcPr>
          <w:p w14:paraId="31D67A26" w14:textId="6AC47A21" w:rsidR="009E5915" w:rsidRPr="009E5915" w:rsidRDefault="009E5915" w:rsidP="009E591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5915">
              <w:rPr>
                <w:rFonts w:ascii="Times New Roman" w:hAnsi="Times New Roman" w:cs="Times New Roman"/>
                <w:sz w:val="24"/>
                <w:szCs w:val="24"/>
              </w:rPr>
              <w:t xml:space="preserve">  1 (0.6) </w:t>
            </w:r>
          </w:p>
        </w:tc>
        <w:tc>
          <w:tcPr>
            <w:tcW w:w="768" w:type="dxa"/>
            <w:noWrap/>
          </w:tcPr>
          <w:p w14:paraId="0C18DB8D" w14:textId="77777777" w:rsidR="009E5915" w:rsidRPr="00A511ED" w:rsidRDefault="009E5915" w:rsidP="009E591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E36470" w:rsidRPr="00A511ED" w14:paraId="71D51DC6" w14:textId="77777777" w:rsidTr="00C94B35">
        <w:trPr>
          <w:trHeight w:val="720"/>
        </w:trPr>
        <w:tc>
          <w:tcPr>
            <w:tcW w:w="3544" w:type="dxa"/>
            <w:hideMark/>
          </w:tcPr>
          <w:p w14:paraId="3BFCD41B" w14:textId="615E9E0C" w:rsidR="00E36470" w:rsidRPr="00A511ED" w:rsidRDefault="00E36470" w:rsidP="00E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Number of ABG analyses during the first 24 h in ICU</w:t>
            </w:r>
          </w:p>
        </w:tc>
        <w:tc>
          <w:tcPr>
            <w:tcW w:w="1844" w:type="dxa"/>
            <w:noWrap/>
            <w:hideMark/>
          </w:tcPr>
          <w:p w14:paraId="6D61DF9B" w14:textId="4579F614" w:rsidR="00E36470" w:rsidRPr="00E36470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>5.0 [4.0–6.0]</w:t>
            </w:r>
          </w:p>
        </w:tc>
        <w:tc>
          <w:tcPr>
            <w:tcW w:w="2409" w:type="dxa"/>
            <w:noWrap/>
            <w:hideMark/>
          </w:tcPr>
          <w:p w14:paraId="5ECC284E" w14:textId="77777777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[4.0–6.0]</w:t>
            </w:r>
          </w:p>
        </w:tc>
        <w:tc>
          <w:tcPr>
            <w:tcW w:w="2351" w:type="dxa"/>
            <w:noWrap/>
            <w:hideMark/>
          </w:tcPr>
          <w:p w14:paraId="593320DC" w14:textId="7E7806B7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5.0 [</w:t>
            </w:r>
            <w:r w:rsidR="002E22CC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–6.0]</w:t>
            </w:r>
          </w:p>
        </w:tc>
        <w:tc>
          <w:tcPr>
            <w:tcW w:w="768" w:type="dxa"/>
            <w:noWrap/>
            <w:hideMark/>
          </w:tcPr>
          <w:p w14:paraId="198080AD" w14:textId="63C8C946" w:rsidR="00E36470" w:rsidRPr="00A511ED" w:rsidRDefault="00E36470" w:rsidP="00E3647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35E09">
              <w:rPr>
                <w:rFonts w:ascii="Times New Roman" w:hAnsi="Times New Roman"/>
                <w:sz w:val="22"/>
              </w:rPr>
              <w:t>23</w:t>
            </w:r>
          </w:p>
        </w:tc>
      </w:tr>
      <w:tr w:rsidR="00E36470" w:rsidRPr="00A511ED" w14:paraId="0A441B1A" w14:textId="77777777" w:rsidTr="00C94B35">
        <w:trPr>
          <w:trHeight w:val="454"/>
        </w:trPr>
        <w:tc>
          <w:tcPr>
            <w:tcW w:w="3544" w:type="dxa"/>
            <w:hideMark/>
          </w:tcPr>
          <w:p w14:paraId="17E42639" w14:textId="50AC5C24" w:rsidR="00E36470" w:rsidRPr="00A511ED" w:rsidRDefault="00E36470" w:rsidP="00E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Median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during the first 24 h in ICU (mmHg)</w:t>
            </w:r>
          </w:p>
        </w:tc>
        <w:tc>
          <w:tcPr>
            <w:tcW w:w="1844" w:type="dxa"/>
            <w:noWrap/>
            <w:hideMark/>
          </w:tcPr>
          <w:p w14:paraId="269B24C3" w14:textId="6B23DB95" w:rsidR="00E36470" w:rsidRPr="00E36470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>140 [118–169]</w:t>
            </w:r>
          </w:p>
        </w:tc>
        <w:tc>
          <w:tcPr>
            <w:tcW w:w="2409" w:type="dxa"/>
            <w:noWrap/>
            <w:hideMark/>
          </w:tcPr>
          <w:p w14:paraId="28DE0E54" w14:textId="04FC941B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–17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69D87CE9" w14:textId="7F782735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137 [1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–16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68" w:type="dxa"/>
            <w:noWrap/>
            <w:hideMark/>
          </w:tcPr>
          <w:p w14:paraId="313CF307" w14:textId="708C631C" w:rsidR="00E36470" w:rsidRPr="00A511ED" w:rsidRDefault="00E36470" w:rsidP="00E3647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35E09">
              <w:rPr>
                <w:rFonts w:ascii="Times New Roman" w:hAnsi="Times New Roman"/>
                <w:sz w:val="22"/>
              </w:rPr>
              <w:t>19</w:t>
            </w:r>
          </w:p>
        </w:tc>
      </w:tr>
      <w:tr w:rsidR="00E36470" w:rsidRPr="00A511ED" w14:paraId="70CA4154" w14:textId="77777777" w:rsidTr="00C94B35">
        <w:trPr>
          <w:trHeight w:val="720"/>
        </w:trPr>
        <w:tc>
          <w:tcPr>
            <w:tcW w:w="3544" w:type="dxa"/>
            <w:hideMark/>
          </w:tcPr>
          <w:p w14:paraId="71D079D4" w14:textId="61C3455A" w:rsidR="00E36470" w:rsidRPr="00A511ED" w:rsidRDefault="00E36470" w:rsidP="00E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Maximum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level during the first 24 h in ICU (mmHg)</w:t>
            </w:r>
          </w:p>
        </w:tc>
        <w:tc>
          <w:tcPr>
            <w:tcW w:w="1844" w:type="dxa"/>
            <w:noWrap/>
            <w:hideMark/>
          </w:tcPr>
          <w:p w14:paraId="65DE9B7F" w14:textId="2FC4A214" w:rsidR="00E36470" w:rsidRPr="00E36470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>193 [155–250]</w:t>
            </w:r>
          </w:p>
        </w:tc>
        <w:tc>
          <w:tcPr>
            <w:tcW w:w="2409" w:type="dxa"/>
            <w:noWrap/>
            <w:hideMark/>
          </w:tcPr>
          <w:p w14:paraId="28003D1E" w14:textId="5D22C4B0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[172–261]</w:t>
            </w:r>
          </w:p>
        </w:tc>
        <w:tc>
          <w:tcPr>
            <w:tcW w:w="2351" w:type="dxa"/>
            <w:noWrap/>
            <w:hideMark/>
          </w:tcPr>
          <w:p w14:paraId="2C35638B" w14:textId="2AF93A92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[150–24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68" w:type="dxa"/>
            <w:noWrap/>
            <w:hideMark/>
          </w:tcPr>
          <w:p w14:paraId="17389574" w14:textId="69D96FBC" w:rsidR="00E36470" w:rsidRPr="00A511ED" w:rsidRDefault="00E36470" w:rsidP="00E3647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35E09">
              <w:rPr>
                <w:rFonts w:ascii="Times New Roman" w:hAnsi="Times New Roman"/>
                <w:sz w:val="22"/>
              </w:rPr>
              <w:t>09</w:t>
            </w:r>
          </w:p>
        </w:tc>
      </w:tr>
      <w:tr w:rsidR="00E36470" w:rsidRPr="00A511ED" w14:paraId="0B40EB23" w14:textId="77777777" w:rsidTr="00C94B35">
        <w:trPr>
          <w:trHeight w:val="720"/>
        </w:trPr>
        <w:tc>
          <w:tcPr>
            <w:tcW w:w="3544" w:type="dxa"/>
            <w:hideMark/>
          </w:tcPr>
          <w:p w14:paraId="1A392A94" w14:textId="453FB2DA" w:rsidR="00E36470" w:rsidRPr="00A511ED" w:rsidRDefault="00E36470" w:rsidP="00E3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Minimum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level during the first 24 h in ICU (mmHg)</w:t>
            </w:r>
          </w:p>
        </w:tc>
        <w:tc>
          <w:tcPr>
            <w:tcW w:w="1844" w:type="dxa"/>
            <w:noWrap/>
            <w:hideMark/>
          </w:tcPr>
          <w:p w14:paraId="1E233B5F" w14:textId="53E3918B" w:rsidR="00E36470" w:rsidRPr="00E36470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>103 [82–130]</w:t>
            </w:r>
          </w:p>
        </w:tc>
        <w:tc>
          <w:tcPr>
            <w:tcW w:w="2409" w:type="dxa"/>
            <w:noWrap/>
            <w:hideMark/>
          </w:tcPr>
          <w:p w14:paraId="48A9698D" w14:textId="16593B7B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[84–14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26432F59" w14:textId="2EAF0714" w:rsidR="00E36470" w:rsidRPr="00A511ED" w:rsidRDefault="00E36470" w:rsidP="00E36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[8</w:t>
            </w:r>
            <w:r w:rsidR="00D35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–130]</w:t>
            </w:r>
          </w:p>
        </w:tc>
        <w:tc>
          <w:tcPr>
            <w:tcW w:w="768" w:type="dxa"/>
            <w:noWrap/>
            <w:hideMark/>
          </w:tcPr>
          <w:p w14:paraId="7A7C3D19" w14:textId="46A4B661" w:rsidR="00E36470" w:rsidRPr="00A511ED" w:rsidRDefault="00E36470" w:rsidP="00E3647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D35E09">
              <w:rPr>
                <w:rFonts w:ascii="Times New Roman" w:hAnsi="Times New Roman"/>
                <w:sz w:val="22"/>
              </w:rPr>
              <w:t>31</w:t>
            </w:r>
          </w:p>
        </w:tc>
      </w:tr>
      <w:tr w:rsidR="001C47DB" w:rsidRPr="00A511ED" w14:paraId="694CD039" w14:textId="77777777" w:rsidTr="00C94B35">
        <w:trPr>
          <w:trHeight w:val="360"/>
        </w:trPr>
        <w:tc>
          <w:tcPr>
            <w:tcW w:w="3544" w:type="dxa"/>
            <w:noWrap/>
          </w:tcPr>
          <w:p w14:paraId="5489455A" w14:textId="5561B1E3" w:rsidR="001C47DB" w:rsidRPr="00A511ED" w:rsidRDefault="001C47DB" w:rsidP="001C4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Hypoxia (PaO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&lt;60 mmHg)</w:t>
            </w:r>
          </w:p>
        </w:tc>
        <w:tc>
          <w:tcPr>
            <w:tcW w:w="1844" w:type="dxa"/>
            <w:noWrap/>
          </w:tcPr>
          <w:p w14:paraId="31366AE8" w14:textId="03F52EA7" w:rsidR="001C47DB" w:rsidRPr="00E36470" w:rsidRDefault="001C47DB" w:rsidP="001C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>5 (2.6)</w:t>
            </w:r>
          </w:p>
        </w:tc>
        <w:tc>
          <w:tcPr>
            <w:tcW w:w="2409" w:type="dxa"/>
            <w:noWrap/>
          </w:tcPr>
          <w:p w14:paraId="0FB01EA0" w14:textId="3ACBFCDE" w:rsidR="001C47DB" w:rsidRPr="001C47DB" w:rsidRDefault="001C47DB" w:rsidP="001C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B">
              <w:rPr>
                <w:rFonts w:ascii="Times New Roman" w:hAnsi="Times New Roman" w:cs="Times New Roman"/>
                <w:sz w:val="24"/>
                <w:szCs w:val="24"/>
              </w:rPr>
              <w:t xml:space="preserve"> 1 (3.7) </w:t>
            </w:r>
          </w:p>
        </w:tc>
        <w:tc>
          <w:tcPr>
            <w:tcW w:w="2351" w:type="dxa"/>
            <w:noWrap/>
          </w:tcPr>
          <w:p w14:paraId="72939984" w14:textId="4CBD6354" w:rsidR="001C47DB" w:rsidRPr="001C47DB" w:rsidRDefault="001C47DB" w:rsidP="001C4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DB">
              <w:rPr>
                <w:rFonts w:ascii="Times New Roman" w:hAnsi="Times New Roman" w:cs="Times New Roman"/>
                <w:sz w:val="24"/>
                <w:szCs w:val="24"/>
              </w:rPr>
              <w:t xml:space="preserve">  4 (2.4) </w:t>
            </w:r>
          </w:p>
        </w:tc>
        <w:tc>
          <w:tcPr>
            <w:tcW w:w="768" w:type="dxa"/>
            <w:noWrap/>
          </w:tcPr>
          <w:p w14:paraId="23756267" w14:textId="638DEFCE" w:rsidR="001C47DB" w:rsidRPr="00A511ED" w:rsidRDefault="001C47DB" w:rsidP="001C47DB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0.5</w:t>
            </w: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D12D8C" w:rsidRPr="00A511ED" w14:paraId="77AE3275" w14:textId="77777777" w:rsidTr="00C94B35">
        <w:trPr>
          <w:trHeight w:val="360"/>
        </w:trPr>
        <w:tc>
          <w:tcPr>
            <w:tcW w:w="3544" w:type="dxa"/>
            <w:noWrap/>
          </w:tcPr>
          <w:p w14:paraId="42DD0D7F" w14:textId="77777777" w:rsidR="00D12D8C" w:rsidRPr="00A511ED" w:rsidRDefault="00D12D8C" w:rsidP="0018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Hyperoxia subgroups</w:t>
            </w:r>
          </w:p>
        </w:tc>
        <w:tc>
          <w:tcPr>
            <w:tcW w:w="1844" w:type="dxa"/>
            <w:noWrap/>
          </w:tcPr>
          <w:p w14:paraId="355BA577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</w:tcPr>
          <w:p w14:paraId="17E7A864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noWrap/>
          </w:tcPr>
          <w:p w14:paraId="2D33B5DB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</w:tcPr>
          <w:p w14:paraId="33D46EDF" w14:textId="56624B43" w:rsidR="00D12D8C" w:rsidRPr="00A511ED" w:rsidRDefault="00D12D8C" w:rsidP="001840C8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</w:t>
            </w:r>
            <w:r w:rsidR="00294AAB">
              <w:rPr>
                <w:rFonts w:ascii="Times New Roman" w:hAnsi="Times New Roman"/>
                <w:sz w:val="22"/>
              </w:rPr>
              <w:t>15</w:t>
            </w:r>
          </w:p>
        </w:tc>
      </w:tr>
      <w:tr w:rsidR="00294AAB" w:rsidRPr="00A511ED" w14:paraId="6E63D52C" w14:textId="77777777" w:rsidTr="00C94B35">
        <w:trPr>
          <w:trHeight w:val="360"/>
        </w:trPr>
        <w:tc>
          <w:tcPr>
            <w:tcW w:w="3544" w:type="dxa"/>
            <w:noWrap/>
          </w:tcPr>
          <w:p w14:paraId="70D29D59" w14:textId="77777777" w:rsidR="00294AAB" w:rsidRPr="00A511ED" w:rsidRDefault="00294AAB" w:rsidP="002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Normoxia</w:t>
            </w:r>
            <w:proofErr w:type="spellEnd"/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(max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60–120 mmHg)</w:t>
            </w:r>
          </w:p>
        </w:tc>
        <w:tc>
          <w:tcPr>
            <w:tcW w:w="1844" w:type="dxa"/>
            <w:noWrap/>
          </w:tcPr>
          <w:p w14:paraId="5AEB606F" w14:textId="484D47EA" w:rsidR="00294AAB" w:rsidRPr="00E36470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 xml:space="preserve"> 13 (6.6) </w:t>
            </w:r>
          </w:p>
        </w:tc>
        <w:tc>
          <w:tcPr>
            <w:tcW w:w="2409" w:type="dxa"/>
            <w:noWrap/>
          </w:tcPr>
          <w:p w14:paraId="12DF5AF8" w14:textId="77F221A3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0 (0.0) </w:t>
            </w:r>
          </w:p>
        </w:tc>
        <w:tc>
          <w:tcPr>
            <w:tcW w:w="2351" w:type="dxa"/>
            <w:noWrap/>
          </w:tcPr>
          <w:p w14:paraId="1DB18B00" w14:textId="1F015810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13 (7.7) </w:t>
            </w:r>
          </w:p>
        </w:tc>
        <w:tc>
          <w:tcPr>
            <w:tcW w:w="768" w:type="dxa"/>
            <w:noWrap/>
          </w:tcPr>
          <w:p w14:paraId="3F2E4D9A" w14:textId="77777777" w:rsidR="00294AAB" w:rsidRPr="00A511ED" w:rsidRDefault="00294AAB" w:rsidP="00294A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94AAB" w:rsidRPr="00A511ED" w14:paraId="3C1954F2" w14:textId="77777777" w:rsidTr="00C94B35">
        <w:trPr>
          <w:trHeight w:val="360"/>
        </w:trPr>
        <w:tc>
          <w:tcPr>
            <w:tcW w:w="3544" w:type="dxa"/>
            <w:noWrap/>
          </w:tcPr>
          <w:p w14:paraId="06F5FD16" w14:textId="77777777" w:rsidR="00294AAB" w:rsidRPr="00A511ED" w:rsidRDefault="00294AAB" w:rsidP="002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Mild (max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121–200 mmHg)</w:t>
            </w:r>
          </w:p>
        </w:tc>
        <w:tc>
          <w:tcPr>
            <w:tcW w:w="1844" w:type="dxa"/>
            <w:noWrap/>
          </w:tcPr>
          <w:p w14:paraId="25FAF176" w14:textId="654EE1A5" w:rsidR="00294AAB" w:rsidRPr="00E36470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 xml:space="preserve"> 95 (48.5) </w:t>
            </w:r>
          </w:p>
        </w:tc>
        <w:tc>
          <w:tcPr>
            <w:tcW w:w="2409" w:type="dxa"/>
            <w:noWrap/>
          </w:tcPr>
          <w:p w14:paraId="270E05C0" w14:textId="73CE67DA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10 (37.0) </w:t>
            </w:r>
          </w:p>
        </w:tc>
        <w:tc>
          <w:tcPr>
            <w:tcW w:w="2351" w:type="dxa"/>
            <w:noWrap/>
          </w:tcPr>
          <w:p w14:paraId="5FFF4DF8" w14:textId="661BA7AB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85 (50.3) </w:t>
            </w:r>
          </w:p>
        </w:tc>
        <w:tc>
          <w:tcPr>
            <w:tcW w:w="768" w:type="dxa"/>
            <w:noWrap/>
          </w:tcPr>
          <w:p w14:paraId="605F1E46" w14:textId="77777777" w:rsidR="00294AAB" w:rsidRPr="00A511ED" w:rsidRDefault="00294AAB" w:rsidP="00294A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94AAB" w:rsidRPr="00A511ED" w14:paraId="4A8844CB" w14:textId="77777777" w:rsidTr="00C94B35">
        <w:trPr>
          <w:trHeight w:val="360"/>
        </w:trPr>
        <w:tc>
          <w:tcPr>
            <w:tcW w:w="3544" w:type="dxa"/>
            <w:noWrap/>
          </w:tcPr>
          <w:p w14:paraId="32DCA8DF" w14:textId="77777777" w:rsidR="00294AAB" w:rsidRPr="00A511ED" w:rsidRDefault="00294AAB" w:rsidP="002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Moderate (max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201–300 mmHg)</w:t>
            </w:r>
          </w:p>
        </w:tc>
        <w:tc>
          <w:tcPr>
            <w:tcW w:w="1844" w:type="dxa"/>
            <w:noWrap/>
          </w:tcPr>
          <w:p w14:paraId="56474E80" w14:textId="367A431B" w:rsidR="00294AAB" w:rsidRPr="00E36470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 xml:space="preserve"> 62 (31.6) </w:t>
            </w:r>
          </w:p>
        </w:tc>
        <w:tc>
          <w:tcPr>
            <w:tcW w:w="2409" w:type="dxa"/>
            <w:noWrap/>
          </w:tcPr>
          <w:p w14:paraId="089B5607" w14:textId="62C8A1FC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13 (48.1) </w:t>
            </w:r>
          </w:p>
        </w:tc>
        <w:tc>
          <w:tcPr>
            <w:tcW w:w="2351" w:type="dxa"/>
            <w:noWrap/>
          </w:tcPr>
          <w:p w14:paraId="4A3FEFA2" w14:textId="52ADBA65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49 (29.0) </w:t>
            </w:r>
          </w:p>
        </w:tc>
        <w:tc>
          <w:tcPr>
            <w:tcW w:w="768" w:type="dxa"/>
            <w:noWrap/>
          </w:tcPr>
          <w:p w14:paraId="11D8F052" w14:textId="77777777" w:rsidR="00294AAB" w:rsidRPr="00A511ED" w:rsidRDefault="00294AAB" w:rsidP="00294A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94AAB" w:rsidRPr="00A511ED" w14:paraId="43AE6463" w14:textId="77777777" w:rsidTr="00C94B35">
        <w:trPr>
          <w:trHeight w:val="360"/>
        </w:trPr>
        <w:tc>
          <w:tcPr>
            <w:tcW w:w="3544" w:type="dxa"/>
            <w:noWrap/>
          </w:tcPr>
          <w:p w14:paraId="68C3F2C4" w14:textId="77777777" w:rsidR="00294AAB" w:rsidRPr="00A511ED" w:rsidRDefault="00294AAB" w:rsidP="00294A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Severe (max PaO</w:t>
            </w:r>
            <w:r w:rsidRPr="00A511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&gt;300 mmHg)</w:t>
            </w:r>
          </w:p>
        </w:tc>
        <w:tc>
          <w:tcPr>
            <w:tcW w:w="1844" w:type="dxa"/>
            <w:noWrap/>
          </w:tcPr>
          <w:p w14:paraId="40452CEF" w14:textId="796BD616" w:rsidR="00294AAB" w:rsidRPr="00E36470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470">
              <w:rPr>
                <w:rFonts w:ascii="Times New Roman" w:hAnsi="Times New Roman" w:cs="Times New Roman"/>
                <w:sz w:val="24"/>
                <w:szCs w:val="24"/>
              </w:rPr>
              <w:t xml:space="preserve"> 26 (13.3) </w:t>
            </w:r>
          </w:p>
        </w:tc>
        <w:tc>
          <w:tcPr>
            <w:tcW w:w="2409" w:type="dxa"/>
            <w:noWrap/>
          </w:tcPr>
          <w:p w14:paraId="38D99D99" w14:textId="11104AB1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4 (14.8) </w:t>
            </w:r>
          </w:p>
        </w:tc>
        <w:tc>
          <w:tcPr>
            <w:tcW w:w="2351" w:type="dxa"/>
            <w:noWrap/>
          </w:tcPr>
          <w:p w14:paraId="0F7FC915" w14:textId="6BD6C3C6" w:rsidR="00294AAB" w:rsidRPr="00294AAB" w:rsidRDefault="00294AAB" w:rsidP="00294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AB">
              <w:rPr>
                <w:rFonts w:ascii="Times New Roman" w:hAnsi="Times New Roman" w:cs="Times New Roman"/>
                <w:sz w:val="24"/>
                <w:szCs w:val="24"/>
              </w:rPr>
              <w:t xml:space="preserve"> 22 (13.0) </w:t>
            </w:r>
          </w:p>
        </w:tc>
        <w:tc>
          <w:tcPr>
            <w:tcW w:w="768" w:type="dxa"/>
            <w:noWrap/>
          </w:tcPr>
          <w:p w14:paraId="3451DD95" w14:textId="77777777" w:rsidR="00294AAB" w:rsidRPr="00A511ED" w:rsidRDefault="00294AAB" w:rsidP="00294AA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12D8C" w:rsidRPr="00A511ED" w14:paraId="3B46E008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144DF9D7" w14:textId="77777777" w:rsidR="00D12D8C" w:rsidRPr="00A511ED" w:rsidRDefault="00D12D8C" w:rsidP="0018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Modified Rankin Scale</w:t>
            </w:r>
          </w:p>
        </w:tc>
        <w:tc>
          <w:tcPr>
            <w:tcW w:w="1844" w:type="dxa"/>
            <w:noWrap/>
            <w:hideMark/>
          </w:tcPr>
          <w:p w14:paraId="0E7678B6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noWrap/>
            <w:hideMark/>
          </w:tcPr>
          <w:p w14:paraId="72019C28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noWrap/>
            <w:hideMark/>
          </w:tcPr>
          <w:p w14:paraId="42D093A8" w14:textId="77777777" w:rsidR="00D12D8C" w:rsidRPr="00A511ED" w:rsidRDefault="00D12D8C" w:rsidP="00184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noWrap/>
            <w:hideMark/>
          </w:tcPr>
          <w:p w14:paraId="56BD67E0" w14:textId="2EB7E2FC" w:rsidR="00D12D8C" w:rsidRPr="00A511ED" w:rsidRDefault="00D12D8C" w:rsidP="001840C8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0.0</w:t>
            </w:r>
            <w:r w:rsidR="00BD6B7A">
              <w:rPr>
                <w:rFonts w:ascii="Times New Roman" w:hAnsi="Times New Roman"/>
                <w:sz w:val="22"/>
              </w:rPr>
              <w:t>4</w:t>
            </w:r>
          </w:p>
        </w:tc>
      </w:tr>
      <w:tr w:rsidR="00BD6B7A" w:rsidRPr="00A511ED" w14:paraId="1FB5341D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290D5CB6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4" w:type="dxa"/>
            <w:noWrap/>
            <w:hideMark/>
          </w:tcPr>
          <w:p w14:paraId="00AA88BD" w14:textId="7FF721DB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41 (20.9) </w:t>
            </w:r>
          </w:p>
        </w:tc>
        <w:tc>
          <w:tcPr>
            <w:tcW w:w="2409" w:type="dxa"/>
            <w:noWrap/>
            <w:hideMark/>
          </w:tcPr>
          <w:p w14:paraId="294C6D3D" w14:textId="7EDEC9D0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 (7.4) </w:t>
            </w:r>
          </w:p>
        </w:tc>
        <w:tc>
          <w:tcPr>
            <w:tcW w:w="2351" w:type="dxa"/>
            <w:noWrap/>
            <w:hideMark/>
          </w:tcPr>
          <w:p w14:paraId="740787F0" w14:textId="09B7985F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39 (23.1) </w:t>
            </w:r>
          </w:p>
        </w:tc>
        <w:tc>
          <w:tcPr>
            <w:tcW w:w="768" w:type="dxa"/>
            <w:noWrap/>
            <w:hideMark/>
          </w:tcPr>
          <w:p w14:paraId="5FF6F22B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035A71ED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059D03DF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noWrap/>
            <w:hideMark/>
          </w:tcPr>
          <w:p w14:paraId="73AA327D" w14:textId="5503EC19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30 (15.3) </w:t>
            </w:r>
          </w:p>
        </w:tc>
        <w:tc>
          <w:tcPr>
            <w:tcW w:w="2409" w:type="dxa"/>
            <w:noWrap/>
            <w:hideMark/>
          </w:tcPr>
          <w:p w14:paraId="635FD341" w14:textId="43F12766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1 (3.7) </w:t>
            </w:r>
          </w:p>
        </w:tc>
        <w:tc>
          <w:tcPr>
            <w:tcW w:w="2351" w:type="dxa"/>
            <w:noWrap/>
            <w:hideMark/>
          </w:tcPr>
          <w:p w14:paraId="6E38498A" w14:textId="320C47F3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29 (17.2) </w:t>
            </w:r>
          </w:p>
        </w:tc>
        <w:tc>
          <w:tcPr>
            <w:tcW w:w="768" w:type="dxa"/>
            <w:noWrap/>
            <w:hideMark/>
          </w:tcPr>
          <w:p w14:paraId="006A26AD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54601461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3FD1319E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noWrap/>
            <w:hideMark/>
          </w:tcPr>
          <w:p w14:paraId="5769594A" w14:textId="21A7416F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35 (17.9) </w:t>
            </w:r>
          </w:p>
        </w:tc>
        <w:tc>
          <w:tcPr>
            <w:tcW w:w="2409" w:type="dxa"/>
            <w:noWrap/>
            <w:hideMark/>
          </w:tcPr>
          <w:p w14:paraId="7F935321" w14:textId="1E6902BD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6 (22.2) </w:t>
            </w:r>
          </w:p>
        </w:tc>
        <w:tc>
          <w:tcPr>
            <w:tcW w:w="2351" w:type="dxa"/>
            <w:noWrap/>
            <w:hideMark/>
          </w:tcPr>
          <w:p w14:paraId="51E924BB" w14:textId="79D47651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29 (17.2) </w:t>
            </w:r>
          </w:p>
        </w:tc>
        <w:tc>
          <w:tcPr>
            <w:tcW w:w="768" w:type="dxa"/>
            <w:noWrap/>
            <w:hideMark/>
          </w:tcPr>
          <w:p w14:paraId="7832EAA1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42DFDE08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04FAAAAE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noWrap/>
            <w:hideMark/>
          </w:tcPr>
          <w:p w14:paraId="1F7275BB" w14:textId="3613D065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31 (15.8) </w:t>
            </w:r>
          </w:p>
        </w:tc>
        <w:tc>
          <w:tcPr>
            <w:tcW w:w="2409" w:type="dxa"/>
            <w:noWrap/>
            <w:hideMark/>
          </w:tcPr>
          <w:p w14:paraId="051B5A55" w14:textId="39FFFF7A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9 (33.3) </w:t>
            </w:r>
          </w:p>
        </w:tc>
        <w:tc>
          <w:tcPr>
            <w:tcW w:w="2351" w:type="dxa"/>
            <w:noWrap/>
            <w:hideMark/>
          </w:tcPr>
          <w:p w14:paraId="056528BA" w14:textId="5D6BB62E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22 (13.0) </w:t>
            </w:r>
          </w:p>
        </w:tc>
        <w:tc>
          <w:tcPr>
            <w:tcW w:w="768" w:type="dxa"/>
            <w:noWrap/>
            <w:hideMark/>
          </w:tcPr>
          <w:p w14:paraId="14D823BE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2363DE5D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2155A09D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noWrap/>
            <w:hideMark/>
          </w:tcPr>
          <w:p w14:paraId="6CFF7A5A" w14:textId="6117377C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31 (15.8) </w:t>
            </w:r>
          </w:p>
        </w:tc>
        <w:tc>
          <w:tcPr>
            <w:tcW w:w="2409" w:type="dxa"/>
            <w:noWrap/>
            <w:hideMark/>
          </w:tcPr>
          <w:p w14:paraId="2005CE4D" w14:textId="092CB67E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4 (14.8) </w:t>
            </w:r>
          </w:p>
        </w:tc>
        <w:tc>
          <w:tcPr>
            <w:tcW w:w="2351" w:type="dxa"/>
            <w:noWrap/>
            <w:hideMark/>
          </w:tcPr>
          <w:p w14:paraId="19C82057" w14:textId="262F0F89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27 (16.0) </w:t>
            </w:r>
          </w:p>
        </w:tc>
        <w:tc>
          <w:tcPr>
            <w:tcW w:w="768" w:type="dxa"/>
            <w:noWrap/>
            <w:hideMark/>
          </w:tcPr>
          <w:p w14:paraId="2D8D5E35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03AD6CFB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495657B9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noWrap/>
            <w:hideMark/>
          </w:tcPr>
          <w:p w14:paraId="1070280E" w14:textId="0797DD15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16 (8.2) </w:t>
            </w:r>
          </w:p>
        </w:tc>
        <w:tc>
          <w:tcPr>
            <w:tcW w:w="2409" w:type="dxa"/>
            <w:noWrap/>
            <w:hideMark/>
          </w:tcPr>
          <w:p w14:paraId="39BD5E61" w14:textId="52C4AC75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3 (11.1) </w:t>
            </w:r>
          </w:p>
        </w:tc>
        <w:tc>
          <w:tcPr>
            <w:tcW w:w="2351" w:type="dxa"/>
            <w:noWrap/>
            <w:hideMark/>
          </w:tcPr>
          <w:p w14:paraId="30DA790B" w14:textId="39D1F9DD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13 (7.7) </w:t>
            </w:r>
          </w:p>
        </w:tc>
        <w:tc>
          <w:tcPr>
            <w:tcW w:w="768" w:type="dxa"/>
            <w:noWrap/>
            <w:hideMark/>
          </w:tcPr>
          <w:p w14:paraId="4862719D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BD6B7A" w:rsidRPr="00A511ED" w14:paraId="416FC144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2F3A7D9A" w14:textId="77777777" w:rsidR="00BD6B7A" w:rsidRPr="00A511ED" w:rsidRDefault="00BD6B7A" w:rsidP="00BD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noWrap/>
            <w:hideMark/>
          </w:tcPr>
          <w:p w14:paraId="71F13B0F" w14:textId="3F20F1FE" w:rsidR="00BD6B7A" w:rsidRPr="000526C0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 xml:space="preserve"> 12 (6.1) </w:t>
            </w:r>
          </w:p>
        </w:tc>
        <w:tc>
          <w:tcPr>
            <w:tcW w:w="2409" w:type="dxa"/>
            <w:noWrap/>
            <w:hideMark/>
          </w:tcPr>
          <w:p w14:paraId="4E739E8B" w14:textId="15815132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2 (7.4) </w:t>
            </w:r>
          </w:p>
        </w:tc>
        <w:tc>
          <w:tcPr>
            <w:tcW w:w="2351" w:type="dxa"/>
            <w:noWrap/>
            <w:hideMark/>
          </w:tcPr>
          <w:p w14:paraId="44960A25" w14:textId="1D14962D" w:rsidR="00BD6B7A" w:rsidRPr="00BD6B7A" w:rsidRDefault="00BD6B7A" w:rsidP="00BD6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B7A">
              <w:rPr>
                <w:rFonts w:ascii="Times New Roman" w:hAnsi="Times New Roman" w:cs="Times New Roman"/>
                <w:sz w:val="24"/>
                <w:szCs w:val="24"/>
              </w:rPr>
              <w:t xml:space="preserve"> 10 (5.9) </w:t>
            </w:r>
          </w:p>
        </w:tc>
        <w:tc>
          <w:tcPr>
            <w:tcW w:w="768" w:type="dxa"/>
            <w:noWrap/>
            <w:hideMark/>
          </w:tcPr>
          <w:p w14:paraId="4B100A81" w14:textId="77777777" w:rsidR="00BD6B7A" w:rsidRPr="00A511ED" w:rsidRDefault="00BD6B7A" w:rsidP="00BD6B7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526C0" w:rsidRPr="00A511ED" w14:paraId="3F6E5A35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775635B3" w14:textId="77777777" w:rsidR="000526C0" w:rsidRPr="00A511ED" w:rsidRDefault="000526C0" w:rsidP="000526C0">
            <w:pPr>
              <w:rPr>
                <w:rFonts w:ascii="Times New Roman" w:hAnsi="Times New Roman" w:cs="Times New Roman"/>
                <w:sz w:val="23"/>
                <w:szCs w:val="24"/>
              </w:rPr>
            </w:pPr>
            <w:r w:rsidRPr="00A511ED">
              <w:rPr>
                <w:rFonts w:ascii="Times New Roman" w:hAnsi="Times New Roman" w:cs="Times New Roman"/>
                <w:sz w:val="23"/>
                <w:szCs w:val="24"/>
              </w:rPr>
              <w:t>Duration of mechanical ventilation</w:t>
            </w:r>
          </w:p>
        </w:tc>
        <w:tc>
          <w:tcPr>
            <w:tcW w:w="1844" w:type="dxa"/>
            <w:noWrap/>
            <w:hideMark/>
          </w:tcPr>
          <w:p w14:paraId="415718BA" w14:textId="1AFBCE97" w:rsidR="000526C0" w:rsidRPr="000526C0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>2 [1–9]</w:t>
            </w:r>
          </w:p>
        </w:tc>
        <w:tc>
          <w:tcPr>
            <w:tcW w:w="2409" w:type="dxa"/>
            <w:noWrap/>
            <w:hideMark/>
          </w:tcPr>
          <w:p w14:paraId="455C656C" w14:textId="77777777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 [1–13]</w:t>
            </w:r>
          </w:p>
        </w:tc>
        <w:tc>
          <w:tcPr>
            <w:tcW w:w="2351" w:type="dxa"/>
            <w:noWrap/>
            <w:hideMark/>
          </w:tcPr>
          <w:p w14:paraId="04ABAF83" w14:textId="77777777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 [1–9]</w:t>
            </w:r>
          </w:p>
        </w:tc>
        <w:tc>
          <w:tcPr>
            <w:tcW w:w="768" w:type="dxa"/>
            <w:noWrap/>
            <w:hideMark/>
          </w:tcPr>
          <w:p w14:paraId="4978EECF" w14:textId="42357FE8" w:rsidR="000526C0" w:rsidRPr="00A511ED" w:rsidRDefault="000526C0" w:rsidP="000526C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0.5</w:t>
            </w:r>
            <w:r w:rsidR="005C38AD">
              <w:rPr>
                <w:rFonts w:ascii="Times New Roman" w:hAnsi="Times New Roman"/>
                <w:sz w:val="22"/>
              </w:rPr>
              <w:t>4</w:t>
            </w:r>
          </w:p>
        </w:tc>
      </w:tr>
      <w:tr w:rsidR="000526C0" w:rsidRPr="00A511ED" w14:paraId="43C1AAC5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07878963" w14:textId="77777777" w:rsidR="000526C0" w:rsidRPr="00A511ED" w:rsidRDefault="000526C0" w:rsidP="000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ICU stay</w:t>
            </w:r>
          </w:p>
        </w:tc>
        <w:tc>
          <w:tcPr>
            <w:tcW w:w="1844" w:type="dxa"/>
            <w:noWrap/>
            <w:hideMark/>
          </w:tcPr>
          <w:p w14:paraId="75AE3E2E" w14:textId="7F3484E8" w:rsidR="000526C0" w:rsidRPr="000526C0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>15 [13–19]</w:t>
            </w:r>
          </w:p>
        </w:tc>
        <w:tc>
          <w:tcPr>
            <w:tcW w:w="2409" w:type="dxa"/>
            <w:noWrap/>
            <w:hideMark/>
          </w:tcPr>
          <w:p w14:paraId="389452CA" w14:textId="2BFB172E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20 [1</w:t>
            </w:r>
            <w:r w:rsidR="005C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–2</w:t>
            </w:r>
            <w:r w:rsidR="005C3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2D38CE66" w14:textId="6E0CE5A3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8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 xml:space="preserve"> [12–18]</w:t>
            </w:r>
          </w:p>
        </w:tc>
        <w:tc>
          <w:tcPr>
            <w:tcW w:w="768" w:type="dxa"/>
            <w:noWrap/>
            <w:hideMark/>
          </w:tcPr>
          <w:p w14:paraId="7752EFAD" w14:textId="77777777" w:rsidR="000526C0" w:rsidRPr="00A511ED" w:rsidRDefault="000526C0" w:rsidP="000526C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&lt;0.01</w:t>
            </w:r>
          </w:p>
        </w:tc>
      </w:tr>
      <w:tr w:rsidR="000526C0" w:rsidRPr="00A511ED" w14:paraId="1C8410F7" w14:textId="77777777" w:rsidTr="00C94B35">
        <w:trPr>
          <w:trHeight w:val="360"/>
        </w:trPr>
        <w:tc>
          <w:tcPr>
            <w:tcW w:w="3544" w:type="dxa"/>
            <w:noWrap/>
            <w:hideMark/>
          </w:tcPr>
          <w:p w14:paraId="77C12932" w14:textId="77777777" w:rsidR="000526C0" w:rsidRPr="00A511ED" w:rsidRDefault="000526C0" w:rsidP="0005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Hospital stay</w:t>
            </w:r>
          </w:p>
        </w:tc>
        <w:tc>
          <w:tcPr>
            <w:tcW w:w="1844" w:type="dxa"/>
            <w:noWrap/>
            <w:hideMark/>
          </w:tcPr>
          <w:p w14:paraId="48565701" w14:textId="3618A996" w:rsidR="000526C0" w:rsidRPr="000526C0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>28 [22–44]</w:t>
            </w:r>
          </w:p>
        </w:tc>
        <w:tc>
          <w:tcPr>
            <w:tcW w:w="2409" w:type="dxa"/>
            <w:noWrap/>
            <w:hideMark/>
          </w:tcPr>
          <w:p w14:paraId="3354944F" w14:textId="630755D1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38 [30–</w:t>
            </w:r>
            <w:r w:rsidR="005C38A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351" w:type="dxa"/>
            <w:noWrap/>
            <w:hideMark/>
          </w:tcPr>
          <w:p w14:paraId="4ECA7776" w14:textId="2305943B" w:rsidR="000526C0" w:rsidRPr="00A511ED" w:rsidRDefault="000526C0" w:rsidP="0005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26 [22–4</w:t>
            </w:r>
            <w:r w:rsidR="005C38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11E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768" w:type="dxa"/>
            <w:noWrap/>
            <w:hideMark/>
          </w:tcPr>
          <w:p w14:paraId="4855BEC3" w14:textId="77777777" w:rsidR="000526C0" w:rsidRPr="00A511ED" w:rsidRDefault="000526C0" w:rsidP="000526C0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&lt;0.01</w:t>
            </w:r>
          </w:p>
        </w:tc>
      </w:tr>
      <w:tr w:rsidR="00C16165" w:rsidRPr="00A511ED" w14:paraId="3DD38154" w14:textId="77777777" w:rsidTr="00C94B35">
        <w:trPr>
          <w:trHeight w:val="360"/>
        </w:trPr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14:paraId="118B8A35" w14:textId="77777777" w:rsidR="00C16165" w:rsidRPr="00A511ED" w:rsidRDefault="00C16165" w:rsidP="00C1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Hospital mortality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noWrap/>
            <w:hideMark/>
          </w:tcPr>
          <w:p w14:paraId="3141C8C1" w14:textId="77F6812A" w:rsidR="00C16165" w:rsidRPr="000526C0" w:rsidRDefault="00C16165" w:rsidP="00C1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6C0">
              <w:rPr>
                <w:rFonts w:ascii="Times New Roman" w:hAnsi="Times New Roman" w:cs="Times New Roman"/>
                <w:sz w:val="24"/>
                <w:szCs w:val="24"/>
              </w:rPr>
              <w:t>12 (6.1)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noWrap/>
            <w:hideMark/>
          </w:tcPr>
          <w:p w14:paraId="43BF621D" w14:textId="126286ED" w:rsidR="00C16165" w:rsidRPr="00C16165" w:rsidRDefault="00C16165" w:rsidP="00C1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65">
              <w:rPr>
                <w:rFonts w:ascii="Times New Roman" w:hAnsi="Times New Roman" w:cs="Times New Roman"/>
                <w:sz w:val="24"/>
                <w:szCs w:val="24"/>
              </w:rPr>
              <w:t xml:space="preserve"> 2 (7.4) </w:t>
            </w:r>
          </w:p>
        </w:tc>
        <w:tc>
          <w:tcPr>
            <w:tcW w:w="2351" w:type="dxa"/>
            <w:tcBorders>
              <w:bottom w:val="single" w:sz="4" w:space="0" w:color="auto"/>
            </w:tcBorders>
            <w:noWrap/>
            <w:hideMark/>
          </w:tcPr>
          <w:p w14:paraId="2023CFC0" w14:textId="7217B408" w:rsidR="00C16165" w:rsidRPr="00C16165" w:rsidRDefault="00C16165" w:rsidP="00C1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165">
              <w:rPr>
                <w:rFonts w:ascii="Times New Roman" w:hAnsi="Times New Roman" w:cs="Times New Roman"/>
                <w:sz w:val="24"/>
                <w:szCs w:val="24"/>
              </w:rPr>
              <w:t xml:space="preserve"> 10 (5.9) 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noWrap/>
            <w:hideMark/>
          </w:tcPr>
          <w:p w14:paraId="18E5AABB" w14:textId="13225A3C" w:rsidR="00C16165" w:rsidRPr="00A511ED" w:rsidRDefault="00C16165" w:rsidP="00C16165">
            <w:pPr>
              <w:jc w:val="center"/>
              <w:rPr>
                <w:rFonts w:ascii="Times New Roman" w:hAnsi="Times New Roman"/>
                <w:sz w:val="22"/>
              </w:rPr>
            </w:pPr>
            <w:r w:rsidRPr="00A511ED">
              <w:rPr>
                <w:rFonts w:ascii="Times New Roman" w:hAnsi="Times New Roman"/>
                <w:sz w:val="22"/>
              </w:rPr>
              <w:t>0.6</w:t>
            </w:r>
            <w:r>
              <w:rPr>
                <w:rFonts w:ascii="Times New Roman" w:hAnsi="Times New Roman"/>
                <w:sz w:val="22"/>
              </w:rPr>
              <w:t>7</w:t>
            </w:r>
          </w:p>
        </w:tc>
      </w:tr>
    </w:tbl>
    <w:p w14:paraId="76155299" w14:textId="77777777" w:rsidR="00D12D8C" w:rsidRPr="00A511ED" w:rsidRDefault="00D12D8C" w:rsidP="00D12D8C">
      <w:pPr>
        <w:jc w:val="left"/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Data are expressed as mean ± standard deviation, number (percentage), or median [interquartile range]. </w:t>
      </w:r>
    </w:p>
    <w:p w14:paraId="159C04ED" w14:textId="4AD70CA8" w:rsidR="00BF2A0E" w:rsidRPr="00FC161A" w:rsidRDefault="00D12D8C" w:rsidP="00C94B35">
      <w:pPr>
        <w:rPr>
          <w:rFonts w:ascii="Times New Roman" w:hAnsi="Times New Roman" w:cs="Times New Roman"/>
          <w:sz w:val="24"/>
          <w:szCs w:val="24"/>
        </w:rPr>
      </w:pPr>
      <w:r w:rsidRPr="00A511ED">
        <w:rPr>
          <w:rFonts w:ascii="Times New Roman" w:hAnsi="Times New Roman" w:cs="Times New Roman"/>
          <w:sz w:val="24"/>
          <w:szCs w:val="24"/>
        </w:rPr>
        <w:t xml:space="preserve">H&amp;K, Hunt and </w:t>
      </w:r>
      <w:proofErr w:type="spellStart"/>
      <w:r w:rsidRPr="00A511ED">
        <w:rPr>
          <w:rFonts w:ascii="Times New Roman" w:hAnsi="Times New Roman" w:cs="Times New Roman"/>
          <w:sz w:val="24"/>
          <w:szCs w:val="24"/>
        </w:rPr>
        <w:t>Kosnik</w:t>
      </w:r>
      <w:proofErr w:type="spellEnd"/>
      <w:r w:rsidRPr="00A511ED">
        <w:rPr>
          <w:rFonts w:ascii="Times New Roman" w:hAnsi="Times New Roman" w:cs="Times New Roman"/>
          <w:sz w:val="24"/>
          <w:szCs w:val="24"/>
        </w:rPr>
        <w:t xml:space="preserve">; </w:t>
      </w:r>
      <w:r w:rsidR="00796205" w:rsidRPr="00A511ED">
        <w:rPr>
          <w:rFonts w:ascii="Times New Roman" w:hAnsi="Times New Roman" w:cs="Times New Roman"/>
          <w:sz w:val="24"/>
          <w:szCs w:val="24"/>
        </w:rPr>
        <w:t xml:space="preserve">ABG, arterial blood gas; </w:t>
      </w:r>
      <w:r w:rsidRPr="00A511ED">
        <w:rPr>
          <w:rFonts w:ascii="Times New Roman" w:hAnsi="Times New Roman" w:cs="Times New Roman"/>
          <w:sz w:val="24"/>
          <w:szCs w:val="24"/>
        </w:rPr>
        <w:t>DCI, delayed cerebral ischemia; ICU, inte</w:t>
      </w:r>
      <w:r w:rsidRPr="003877DD">
        <w:rPr>
          <w:rFonts w:ascii="Times New Roman" w:hAnsi="Times New Roman" w:cs="Times New Roman"/>
          <w:sz w:val="24"/>
          <w:szCs w:val="24"/>
        </w:rPr>
        <w:t>nsive care unit.</w:t>
      </w:r>
      <w:r w:rsidR="00732C40" w:rsidRPr="00FC161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F2A0E" w:rsidRPr="00FC161A" w:rsidSect="00C75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C8542" w14:textId="77777777" w:rsidR="005642E6" w:rsidRDefault="005642E6" w:rsidP="007713E1">
      <w:r>
        <w:separator/>
      </w:r>
    </w:p>
  </w:endnote>
  <w:endnote w:type="continuationSeparator" w:id="0">
    <w:p w14:paraId="53611B7B" w14:textId="77777777" w:rsidR="005642E6" w:rsidRDefault="005642E6" w:rsidP="007713E1">
      <w:r>
        <w:continuationSeparator/>
      </w:r>
    </w:p>
  </w:endnote>
  <w:endnote w:type="continuationNotice" w:id="1">
    <w:p w14:paraId="681EB88E" w14:textId="77777777" w:rsidR="005642E6" w:rsidRDefault="005642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AD409" w14:textId="77777777" w:rsidR="005642E6" w:rsidRDefault="005642E6" w:rsidP="007713E1">
      <w:r>
        <w:separator/>
      </w:r>
    </w:p>
  </w:footnote>
  <w:footnote w:type="continuationSeparator" w:id="0">
    <w:p w14:paraId="7D313E10" w14:textId="77777777" w:rsidR="005642E6" w:rsidRDefault="005642E6" w:rsidP="007713E1">
      <w:r>
        <w:continuationSeparator/>
      </w:r>
    </w:p>
  </w:footnote>
  <w:footnote w:type="continuationNotice" w:id="1">
    <w:p w14:paraId="23331071" w14:textId="77777777" w:rsidR="005642E6" w:rsidRDefault="005642E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38"/>
    <w:rsid w:val="00026BC7"/>
    <w:rsid w:val="000301D5"/>
    <w:rsid w:val="00044885"/>
    <w:rsid w:val="000526C0"/>
    <w:rsid w:val="00063FE3"/>
    <w:rsid w:val="000824F3"/>
    <w:rsid w:val="000A6B1B"/>
    <w:rsid w:val="000C354D"/>
    <w:rsid w:val="000C7225"/>
    <w:rsid w:val="000D0BD0"/>
    <w:rsid w:val="00105FC0"/>
    <w:rsid w:val="00115E61"/>
    <w:rsid w:val="00133D3F"/>
    <w:rsid w:val="00133FB2"/>
    <w:rsid w:val="00140159"/>
    <w:rsid w:val="00150EC5"/>
    <w:rsid w:val="001540FB"/>
    <w:rsid w:val="0015675C"/>
    <w:rsid w:val="00156F3D"/>
    <w:rsid w:val="00161A8D"/>
    <w:rsid w:val="00162261"/>
    <w:rsid w:val="001675EA"/>
    <w:rsid w:val="0017152A"/>
    <w:rsid w:val="00172304"/>
    <w:rsid w:val="001840C8"/>
    <w:rsid w:val="00184815"/>
    <w:rsid w:val="00184A4A"/>
    <w:rsid w:val="001C2855"/>
    <w:rsid w:val="001C2B9F"/>
    <w:rsid w:val="001C47DB"/>
    <w:rsid w:val="001C7106"/>
    <w:rsid w:val="001D315A"/>
    <w:rsid w:val="001D37C8"/>
    <w:rsid w:val="001D4D02"/>
    <w:rsid w:val="001E0EF2"/>
    <w:rsid w:val="001E6D29"/>
    <w:rsid w:val="00201637"/>
    <w:rsid w:val="00205EC3"/>
    <w:rsid w:val="002116FA"/>
    <w:rsid w:val="002129DA"/>
    <w:rsid w:val="00212B49"/>
    <w:rsid w:val="00215B5D"/>
    <w:rsid w:val="00216AE2"/>
    <w:rsid w:val="00230BB4"/>
    <w:rsid w:val="00231F64"/>
    <w:rsid w:val="002336FD"/>
    <w:rsid w:val="00252AFE"/>
    <w:rsid w:val="002562CD"/>
    <w:rsid w:val="00257F26"/>
    <w:rsid w:val="00265D16"/>
    <w:rsid w:val="002673D0"/>
    <w:rsid w:val="00271E25"/>
    <w:rsid w:val="00274D0F"/>
    <w:rsid w:val="00281F2B"/>
    <w:rsid w:val="0028346A"/>
    <w:rsid w:val="00294AAB"/>
    <w:rsid w:val="002A3324"/>
    <w:rsid w:val="002B5059"/>
    <w:rsid w:val="002C0F34"/>
    <w:rsid w:val="002C270E"/>
    <w:rsid w:val="002D09F6"/>
    <w:rsid w:val="002D3063"/>
    <w:rsid w:val="002D3AA6"/>
    <w:rsid w:val="002D7955"/>
    <w:rsid w:val="002E22CC"/>
    <w:rsid w:val="002E73D8"/>
    <w:rsid w:val="003006D8"/>
    <w:rsid w:val="00302D09"/>
    <w:rsid w:val="003040E8"/>
    <w:rsid w:val="00305ADD"/>
    <w:rsid w:val="003161ED"/>
    <w:rsid w:val="0033149C"/>
    <w:rsid w:val="0033149F"/>
    <w:rsid w:val="003323FC"/>
    <w:rsid w:val="003401D9"/>
    <w:rsid w:val="0034652A"/>
    <w:rsid w:val="0035063B"/>
    <w:rsid w:val="00372B4D"/>
    <w:rsid w:val="00373114"/>
    <w:rsid w:val="00374E60"/>
    <w:rsid w:val="00375AD7"/>
    <w:rsid w:val="0038597B"/>
    <w:rsid w:val="003877DD"/>
    <w:rsid w:val="00394E2F"/>
    <w:rsid w:val="003A10EB"/>
    <w:rsid w:val="003A3CF1"/>
    <w:rsid w:val="003A6322"/>
    <w:rsid w:val="003C22FB"/>
    <w:rsid w:val="003D231E"/>
    <w:rsid w:val="003D3DAE"/>
    <w:rsid w:val="003E08F9"/>
    <w:rsid w:val="003E3714"/>
    <w:rsid w:val="003E5EFD"/>
    <w:rsid w:val="003E787F"/>
    <w:rsid w:val="00404E38"/>
    <w:rsid w:val="004067B4"/>
    <w:rsid w:val="00416F5D"/>
    <w:rsid w:val="00417905"/>
    <w:rsid w:val="004212E2"/>
    <w:rsid w:val="00442EF1"/>
    <w:rsid w:val="00447E29"/>
    <w:rsid w:val="00452EE7"/>
    <w:rsid w:val="00465472"/>
    <w:rsid w:val="00475492"/>
    <w:rsid w:val="0048374D"/>
    <w:rsid w:val="00493C06"/>
    <w:rsid w:val="004973B0"/>
    <w:rsid w:val="00497E8C"/>
    <w:rsid w:val="004B61A9"/>
    <w:rsid w:val="004D214E"/>
    <w:rsid w:val="004F5103"/>
    <w:rsid w:val="00513446"/>
    <w:rsid w:val="00513F0A"/>
    <w:rsid w:val="00514F74"/>
    <w:rsid w:val="00516F13"/>
    <w:rsid w:val="00524008"/>
    <w:rsid w:val="00530833"/>
    <w:rsid w:val="00530E73"/>
    <w:rsid w:val="005429CB"/>
    <w:rsid w:val="00543187"/>
    <w:rsid w:val="00546FC2"/>
    <w:rsid w:val="0054785D"/>
    <w:rsid w:val="00553927"/>
    <w:rsid w:val="0055412A"/>
    <w:rsid w:val="00562AE1"/>
    <w:rsid w:val="005642E6"/>
    <w:rsid w:val="005678E9"/>
    <w:rsid w:val="005846CB"/>
    <w:rsid w:val="005876D7"/>
    <w:rsid w:val="00592EA5"/>
    <w:rsid w:val="00593350"/>
    <w:rsid w:val="005973E5"/>
    <w:rsid w:val="005A5503"/>
    <w:rsid w:val="005A731F"/>
    <w:rsid w:val="005B18DC"/>
    <w:rsid w:val="005B3451"/>
    <w:rsid w:val="005C38AD"/>
    <w:rsid w:val="005C465E"/>
    <w:rsid w:val="005C657F"/>
    <w:rsid w:val="005E2811"/>
    <w:rsid w:val="005E2A6F"/>
    <w:rsid w:val="005F3A62"/>
    <w:rsid w:val="005F5F8F"/>
    <w:rsid w:val="00600330"/>
    <w:rsid w:val="00604254"/>
    <w:rsid w:val="00612891"/>
    <w:rsid w:val="00612A37"/>
    <w:rsid w:val="00617DF1"/>
    <w:rsid w:val="00625737"/>
    <w:rsid w:val="006352E9"/>
    <w:rsid w:val="0067563F"/>
    <w:rsid w:val="00687C95"/>
    <w:rsid w:val="0069065B"/>
    <w:rsid w:val="006B348B"/>
    <w:rsid w:val="006D2481"/>
    <w:rsid w:val="006D6445"/>
    <w:rsid w:val="006D6A0C"/>
    <w:rsid w:val="006F0AB1"/>
    <w:rsid w:val="006F7FDD"/>
    <w:rsid w:val="007222A0"/>
    <w:rsid w:val="0073073B"/>
    <w:rsid w:val="00732C40"/>
    <w:rsid w:val="00741585"/>
    <w:rsid w:val="00747389"/>
    <w:rsid w:val="00753DD1"/>
    <w:rsid w:val="00754D52"/>
    <w:rsid w:val="00755FA0"/>
    <w:rsid w:val="007713E1"/>
    <w:rsid w:val="00771E06"/>
    <w:rsid w:val="0077217B"/>
    <w:rsid w:val="0077385D"/>
    <w:rsid w:val="007870C7"/>
    <w:rsid w:val="00791726"/>
    <w:rsid w:val="00792004"/>
    <w:rsid w:val="00796205"/>
    <w:rsid w:val="007A3ED7"/>
    <w:rsid w:val="007C1567"/>
    <w:rsid w:val="007E0553"/>
    <w:rsid w:val="007E0745"/>
    <w:rsid w:val="007E3BD6"/>
    <w:rsid w:val="007F2F67"/>
    <w:rsid w:val="00802C01"/>
    <w:rsid w:val="00812D60"/>
    <w:rsid w:val="00813557"/>
    <w:rsid w:val="00813F9F"/>
    <w:rsid w:val="008216C3"/>
    <w:rsid w:val="00845A49"/>
    <w:rsid w:val="008508CF"/>
    <w:rsid w:val="0086627D"/>
    <w:rsid w:val="00875308"/>
    <w:rsid w:val="0087609A"/>
    <w:rsid w:val="00876A2E"/>
    <w:rsid w:val="00882E82"/>
    <w:rsid w:val="00884C4A"/>
    <w:rsid w:val="00886A76"/>
    <w:rsid w:val="0089363D"/>
    <w:rsid w:val="00896EA0"/>
    <w:rsid w:val="008A005A"/>
    <w:rsid w:val="008A2710"/>
    <w:rsid w:val="008D35EC"/>
    <w:rsid w:val="008F7D24"/>
    <w:rsid w:val="00906499"/>
    <w:rsid w:val="00906C28"/>
    <w:rsid w:val="00916A6A"/>
    <w:rsid w:val="00925DE5"/>
    <w:rsid w:val="009404DC"/>
    <w:rsid w:val="00945E6A"/>
    <w:rsid w:val="0094620C"/>
    <w:rsid w:val="00954AAB"/>
    <w:rsid w:val="00972940"/>
    <w:rsid w:val="00984CB9"/>
    <w:rsid w:val="00987D71"/>
    <w:rsid w:val="00992C95"/>
    <w:rsid w:val="009B27A3"/>
    <w:rsid w:val="009B55D6"/>
    <w:rsid w:val="009B65FB"/>
    <w:rsid w:val="009D1591"/>
    <w:rsid w:val="009E240C"/>
    <w:rsid w:val="009E5915"/>
    <w:rsid w:val="009F0922"/>
    <w:rsid w:val="009F0C48"/>
    <w:rsid w:val="00A001AA"/>
    <w:rsid w:val="00A17FE9"/>
    <w:rsid w:val="00A306E8"/>
    <w:rsid w:val="00A511ED"/>
    <w:rsid w:val="00A6400D"/>
    <w:rsid w:val="00A701DF"/>
    <w:rsid w:val="00A726FD"/>
    <w:rsid w:val="00A77400"/>
    <w:rsid w:val="00A93E0C"/>
    <w:rsid w:val="00A94BDA"/>
    <w:rsid w:val="00A97FE2"/>
    <w:rsid w:val="00AA5115"/>
    <w:rsid w:val="00AB1A66"/>
    <w:rsid w:val="00AB6DE5"/>
    <w:rsid w:val="00B00AA4"/>
    <w:rsid w:val="00B04866"/>
    <w:rsid w:val="00B105BA"/>
    <w:rsid w:val="00B125B3"/>
    <w:rsid w:val="00B22E89"/>
    <w:rsid w:val="00B3017F"/>
    <w:rsid w:val="00B449FC"/>
    <w:rsid w:val="00B45BB3"/>
    <w:rsid w:val="00B55BA1"/>
    <w:rsid w:val="00B63F76"/>
    <w:rsid w:val="00B773A0"/>
    <w:rsid w:val="00B82EFE"/>
    <w:rsid w:val="00B83E69"/>
    <w:rsid w:val="00B91AF4"/>
    <w:rsid w:val="00BC7D04"/>
    <w:rsid w:val="00BD09FE"/>
    <w:rsid w:val="00BD698E"/>
    <w:rsid w:val="00BD6B7A"/>
    <w:rsid w:val="00BE4CFD"/>
    <w:rsid w:val="00BE6B98"/>
    <w:rsid w:val="00BF1F03"/>
    <w:rsid w:val="00BF2A0E"/>
    <w:rsid w:val="00BF4728"/>
    <w:rsid w:val="00C00238"/>
    <w:rsid w:val="00C1576B"/>
    <w:rsid w:val="00C16165"/>
    <w:rsid w:val="00C209E1"/>
    <w:rsid w:val="00C25D74"/>
    <w:rsid w:val="00C36054"/>
    <w:rsid w:val="00C4398C"/>
    <w:rsid w:val="00C45FCC"/>
    <w:rsid w:val="00C5145D"/>
    <w:rsid w:val="00C53373"/>
    <w:rsid w:val="00C576F6"/>
    <w:rsid w:val="00C63363"/>
    <w:rsid w:val="00C72C6E"/>
    <w:rsid w:val="00C758C0"/>
    <w:rsid w:val="00C76EFD"/>
    <w:rsid w:val="00C802DE"/>
    <w:rsid w:val="00C863CB"/>
    <w:rsid w:val="00C90B98"/>
    <w:rsid w:val="00C9352C"/>
    <w:rsid w:val="00C94104"/>
    <w:rsid w:val="00C94B35"/>
    <w:rsid w:val="00C97DB8"/>
    <w:rsid w:val="00CA0989"/>
    <w:rsid w:val="00CA3453"/>
    <w:rsid w:val="00CB07C4"/>
    <w:rsid w:val="00CC1FA2"/>
    <w:rsid w:val="00CC4CC2"/>
    <w:rsid w:val="00CE3562"/>
    <w:rsid w:val="00CF11D4"/>
    <w:rsid w:val="00D00247"/>
    <w:rsid w:val="00D04564"/>
    <w:rsid w:val="00D04E05"/>
    <w:rsid w:val="00D059B7"/>
    <w:rsid w:val="00D05A18"/>
    <w:rsid w:val="00D063BE"/>
    <w:rsid w:val="00D100BD"/>
    <w:rsid w:val="00D10E78"/>
    <w:rsid w:val="00D12D8C"/>
    <w:rsid w:val="00D22BCB"/>
    <w:rsid w:val="00D22DBE"/>
    <w:rsid w:val="00D23BBF"/>
    <w:rsid w:val="00D25F80"/>
    <w:rsid w:val="00D30D04"/>
    <w:rsid w:val="00D33CFC"/>
    <w:rsid w:val="00D35E09"/>
    <w:rsid w:val="00D4287B"/>
    <w:rsid w:val="00D54E54"/>
    <w:rsid w:val="00D63927"/>
    <w:rsid w:val="00D71A93"/>
    <w:rsid w:val="00D80D8D"/>
    <w:rsid w:val="00D83B64"/>
    <w:rsid w:val="00D8567D"/>
    <w:rsid w:val="00DB7EB3"/>
    <w:rsid w:val="00DC6CF7"/>
    <w:rsid w:val="00DD20C4"/>
    <w:rsid w:val="00DF5CBB"/>
    <w:rsid w:val="00E012A6"/>
    <w:rsid w:val="00E07EF7"/>
    <w:rsid w:val="00E1374A"/>
    <w:rsid w:val="00E13DFD"/>
    <w:rsid w:val="00E14446"/>
    <w:rsid w:val="00E309EC"/>
    <w:rsid w:val="00E35BF4"/>
    <w:rsid w:val="00E36470"/>
    <w:rsid w:val="00E45325"/>
    <w:rsid w:val="00E512E2"/>
    <w:rsid w:val="00E533A7"/>
    <w:rsid w:val="00E536E7"/>
    <w:rsid w:val="00E72380"/>
    <w:rsid w:val="00E90084"/>
    <w:rsid w:val="00EA0041"/>
    <w:rsid w:val="00EA61CD"/>
    <w:rsid w:val="00EF2844"/>
    <w:rsid w:val="00F14FCD"/>
    <w:rsid w:val="00F22F7A"/>
    <w:rsid w:val="00F30073"/>
    <w:rsid w:val="00F30775"/>
    <w:rsid w:val="00F31AA0"/>
    <w:rsid w:val="00F4550B"/>
    <w:rsid w:val="00F6302F"/>
    <w:rsid w:val="00F64543"/>
    <w:rsid w:val="00F67387"/>
    <w:rsid w:val="00F82136"/>
    <w:rsid w:val="00F90406"/>
    <w:rsid w:val="00F94AEC"/>
    <w:rsid w:val="00F97EE5"/>
    <w:rsid w:val="00FA52AA"/>
    <w:rsid w:val="00FA657C"/>
    <w:rsid w:val="00FB0E5D"/>
    <w:rsid w:val="00FB1B99"/>
    <w:rsid w:val="00FB24EC"/>
    <w:rsid w:val="00FB520F"/>
    <w:rsid w:val="00FC161A"/>
    <w:rsid w:val="00FD1E7D"/>
    <w:rsid w:val="00FD1F90"/>
    <w:rsid w:val="00FE5A9E"/>
    <w:rsid w:val="00FF010C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3A04"/>
  <w15:docId w15:val="{22465061-50C4-446E-BDFA-D9C8949D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4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13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13E1"/>
  </w:style>
  <w:style w:type="paragraph" w:styleId="a6">
    <w:name w:val="footer"/>
    <w:basedOn w:val="a"/>
    <w:link w:val="a7"/>
    <w:uiPriority w:val="99"/>
    <w:unhideWhenUsed/>
    <w:rsid w:val="007713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13E1"/>
  </w:style>
  <w:style w:type="character" w:styleId="a8">
    <w:name w:val="annotation reference"/>
    <w:basedOn w:val="a0"/>
    <w:uiPriority w:val="99"/>
    <w:semiHidden/>
    <w:unhideWhenUsed/>
    <w:rsid w:val="002B505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B5059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2B505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505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B505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2B5059"/>
  </w:style>
  <w:style w:type="paragraph" w:styleId="ae">
    <w:name w:val="Balloon Text"/>
    <w:basedOn w:val="a"/>
    <w:link w:val="af"/>
    <w:uiPriority w:val="99"/>
    <w:semiHidden/>
    <w:unhideWhenUsed/>
    <w:rsid w:val="002B5059"/>
    <w:rPr>
      <w:rFonts w:ascii="Tahoma" w:hAnsi="Tahoma" w:cs="Tahoma"/>
      <w:sz w:val="16"/>
      <w:szCs w:val="16"/>
    </w:rPr>
  </w:style>
  <w:style w:type="character" w:customStyle="1" w:styleId="af">
    <w:name w:val="吹き出し (文字)"/>
    <w:basedOn w:val="a0"/>
    <w:link w:val="ae"/>
    <w:uiPriority w:val="99"/>
    <w:semiHidden/>
    <w:rsid w:val="002B5059"/>
    <w:rPr>
      <w:rFonts w:ascii="Tahoma" w:hAnsi="Tahoma" w:cs="Tahoma"/>
      <w:sz w:val="16"/>
      <w:szCs w:val="16"/>
    </w:rPr>
  </w:style>
  <w:style w:type="table" w:customStyle="1" w:styleId="1">
    <w:name w:val="表 (格子)1"/>
    <w:basedOn w:val="a1"/>
    <w:next w:val="a3"/>
    <w:uiPriority w:val="39"/>
    <w:rsid w:val="0087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4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shota yokoyama</dc:creator>
  <cp:keywords/>
  <dc:description/>
  <cp:lastModifiedBy>yokoyama shota</cp:lastModifiedBy>
  <cp:revision>4</cp:revision>
  <cp:lastPrinted>2018-05-07T05:48:00Z</cp:lastPrinted>
  <dcterms:created xsi:type="dcterms:W3CDTF">2018-06-22T21:12:00Z</dcterms:created>
  <dcterms:modified xsi:type="dcterms:W3CDTF">2018-06-22T21:36:00Z</dcterms:modified>
</cp:coreProperties>
</file>