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7FA0F" w14:textId="77777777" w:rsidR="000838A9" w:rsidRPr="000838A9" w:rsidRDefault="00F214A1" w:rsidP="000838A9">
      <w:pPr>
        <w:spacing w:line="480" w:lineRule="auto"/>
        <w:jc w:val="both"/>
        <w:rPr>
          <w:rFonts w:eastAsia="Symbol"/>
          <w:b/>
          <w:u w:val="single"/>
          <w:lang w:val="en-US"/>
        </w:rPr>
      </w:pPr>
      <w:r w:rsidRPr="00F214A1">
        <w:rPr>
          <w:rFonts w:eastAsia="Symbol"/>
          <w:b/>
          <w:u w:val="single"/>
          <w:lang w:val="en-US"/>
        </w:rPr>
        <w:t xml:space="preserve">Supplemental Digital Content </w:t>
      </w:r>
      <w:r w:rsidR="000838A9" w:rsidRPr="000838A9">
        <w:rPr>
          <w:rFonts w:eastAsia="Symbol"/>
          <w:b/>
          <w:u w:val="single"/>
          <w:lang w:val="en-US"/>
        </w:rPr>
        <w:t>1.</w:t>
      </w:r>
    </w:p>
    <w:p w14:paraId="2870E67F" w14:textId="77777777" w:rsidR="000838A9" w:rsidRDefault="000838A9" w:rsidP="000838A9">
      <w:pPr>
        <w:spacing w:line="480" w:lineRule="auto"/>
        <w:jc w:val="both"/>
        <w:rPr>
          <w:rFonts w:eastAsia="Symbol"/>
          <w:b/>
          <w:lang w:val="en-US"/>
        </w:rPr>
      </w:pPr>
    </w:p>
    <w:p w14:paraId="0E474FD6" w14:textId="77777777" w:rsidR="000838A9" w:rsidRDefault="000838A9" w:rsidP="000838A9">
      <w:pPr>
        <w:spacing w:line="480" w:lineRule="auto"/>
        <w:jc w:val="both"/>
        <w:rPr>
          <w:rFonts w:eastAsia="Symbol"/>
          <w:b/>
          <w:lang w:val="en-US"/>
        </w:rPr>
      </w:pPr>
      <w:r>
        <w:rPr>
          <w:rFonts w:eastAsia="Symbol"/>
          <w:b/>
          <w:lang w:val="en-US"/>
        </w:rPr>
        <w:t>Supplemental Methods:</w:t>
      </w:r>
    </w:p>
    <w:p w14:paraId="60CE72F9" w14:textId="77777777" w:rsidR="000838A9" w:rsidRPr="008D7DA7" w:rsidRDefault="000838A9" w:rsidP="000838A9">
      <w:pPr>
        <w:spacing w:line="480" w:lineRule="auto"/>
        <w:jc w:val="both"/>
        <w:rPr>
          <w:rFonts w:eastAsia="Symbol"/>
          <w:b/>
          <w:lang w:val="en-US"/>
        </w:rPr>
      </w:pPr>
      <w:r w:rsidRPr="008D7DA7">
        <w:rPr>
          <w:rFonts w:eastAsia="Symbol"/>
          <w:b/>
          <w:lang w:val="en-US"/>
        </w:rPr>
        <w:t xml:space="preserve">SAF, PAF and sRAGE measurement </w:t>
      </w:r>
    </w:p>
    <w:p w14:paraId="6B1D9711" w14:textId="77777777" w:rsidR="000838A9" w:rsidRDefault="000838A9" w:rsidP="000838A9">
      <w:pPr>
        <w:spacing w:line="480" w:lineRule="auto"/>
        <w:jc w:val="both"/>
        <w:rPr>
          <w:rFonts w:eastAsia="Symbol"/>
          <w:lang w:val="en-US"/>
        </w:rPr>
      </w:pPr>
    </w:p>
    <w:p w14:paraId="6939547E" w14:textId="16E2C889" w:rsidR="000838A9" w:rsidRDefault="000838A9" w:rsidP="000838A9">
      <w:pPr>
        <w:spacing w:line="480" w:lineRule="auto"/>
        <w:jc w:val="both"/>
        <w:rPr>
          <w:rFonts w:eastAsia="Symbol"/>
          <w:lang w:val="en-US"/>
        </w:rPr>
      </w:pPr>
      <w:r>
        <w:rPr>
          <w:rFonts w:eastAsia="Symbol"/>
          <w:lang w:val="en-US"/>
        </w:rPr>
        <w:t>SAF was measured with the AGE Reader mu (DiagnOptics Technologies BV, the Netherlands), and results were expressed as arbitrary units (AU). The arbitrary unit is based on the ratio between the emission light intensity in the 420-600 nm range and the excitation light intensity between 300 and 420 nm. SAF can act as a surrogate of skin AGEs, since it showed a good correlation with tissue levels of AGEs, both fluorescent (pentosidine) and non-fluorescent [carboxy-methyl-lysine (CML) and carboxy-ethyl-lysine (CEL)] in skin biopsies.</w:t>
      </w:r>
      <w:r>
        <w:fldChar w:fldCharType="begin"/>
      </w:r>
      <w:r>
        <w:instrText xml:space="preserve"> ADDIN ZOTERO_ITEM CSL_CITATION {"citationID":"a2jkapmkav6","properties":{"formattedCitation":"\\super 17\\nosupersub{}","plainCitation":"17","noteIndex":0},"citationItems":[{"id":92,"uris":["http://zotero.org/users/1240609/items/PNU37N39"],"uri":["http://zotero.org/users/1240609/items/PNU37N39"],"itemData":{"id":92,"type":"article-journal","title":"Simple non-invasive assessment of advanced glycation endproduct accumulation","container-title":"Diabetologia","page":"1324-1330","volume":"47","issue":"7","source":"PubMed","abstract":"AIMS/HYPOTHESIS: The accumulation of AGE is thought to play a role in the pathogenesis of chronic complications of diabetes mellitus and renal failure. All current measurements of AGE accumulation require invasive sampling. We exploited the fact that several AGE exhibit autofluorescence to develop a non-invasive tool for measuring skin AGE accumulation, the Autofluorescence Reader (AFR). We validated its use by comparing the values obtained using the AFR with the AGE content measured in extracts from skin biopsies of diabetic and control subjects.\nMETHODS: Using the AFR with an excitation light source of 300-420 nm, fluorescence of the skin was measured at the arm and lower leg in 46 patients with diabetes (Type 1 and 2) and in 46 age- and sex-matched control subjects, the majority of whom were Caucasian. Autofluorescence was defined as the average fluorescence per nm over the entire emission spectrum (420-600 nm) as ratio of the average fluorescence per nm over the 300-420-nm range. Skin biopsies were obtained from the same site of the arm, and analysed for collagen-linked fluorescence (CLF) and specific AGE: pentosidine, N(epsilon)-(carboxymethyl)lysine (CML) and N(epsilon)-(carboxyethyl)lysine (CEL).\nRESULTS: Autofluorescence correlated with CLF, pentosidine, CML, and CEL ( r=0.47-0.62, p&lt;/=0.002). In 32 of 46 diabetic patients (70%), autofluorescence values were above the 95% CI of the mean value in control subjects, and correlated with age, diabetes duration, mean HbA(1)c of the previous year and creatinine levels.\nCONCLUSIONS/INTERPRETATION: The AFR offers a simple alternative to invasive measurement of AGE accumulation and, to date, has been validated in non-pigmented skin. The AFR may prove to be a useful clinical tool for rapid risk assessment of AGE-related long-term complications in diabetes mellitus and in other conditions associated with AGE accumulation.","DOI":"10.1007/s00125-004-1451-2","ISSN":"0012-186X","note":"PMID: 15243705","journalAbbreviation":"Diabetologia","language":"eng","author":[{"family":"Meerwaldt","given":"R."},{"family":"Graaff","given":"R."},{"family":"Oomen","given":"P. H. N."},{"family":"Links","given":"T. P."},{"family":"Jager","given":"J. J."},{"family":"Alderson","given":"N. L."},{"family":"Thorpe","given":"S. R."},{"family":"Baynes","given":"J. W."},{"family":"Gans","given":"R. O. B."},{"family":"Smit","given":"A. J."}],"issued":{"date-parts":[["2004",7]]}}}],"schema":"https://github.com/citation-style-language/schema/raw/master/csl-citation.json"} </w:instrText>
      </w:r>
      <w:r>
        <w:fldChar w:fldCharType="separate"/>
      </w:r>
      <w:r>
        <w:rPr>
          <w:szCs w:val="24"/>
          <w:vertAlign w:val="superscript"/>
        </w:rPr>
        <w:t>1</w:t>
      </w:r>
      <w:r w:rsidR="00645C10">
        <w:rPr>
          <w:szCs w:val="24"/>
          <w:vertAlign w:val="superscript"/>
        </w:rPr>
        <w:t>6</w:t>
      </w:r>
      <w:r>
        <w:rPr>
          <w:szCs w:val="24"/>
          <w:vertAlign w:val="superscript"/>
        </w:rPr>
        <w:fldChar w:fldCharType="end"/>
      </w:r>
      <w:r>
        <w:rPr>
          <w:rFonts w:eastAsia="Symbol"/>
          <w:lang w:val="en-US"/>
        </w:rPr>
        <w:t xml:space="preserve"> SAF was obtained as a single measurement on the ventral site of the lower arms, at a skin site without visible scars, bruises, hematomas, catheters or other abnormalities. </w:t>
      </w:r>
    </w:p>
    <w:p w14:paraId="576B6693" w14:textId="77777777" w:rsidR="000838A9" w:rsidRDefault="000838A9" w:rsidP="000838A9">
      <w:pPr>
        <w:spacing w:line="480" w:lineRule="auto"/>
        <w:jc w:val="both"/>
        <w:rPr>
          <w:rFonts w:eastAsia="Symbol"/>
          <w:lang w:val="en-US"/>
        </w:rPr>
      </w:pPr>
    </w:p>
    <w:p w14:paraId="4E4AF875" w14:textId="4B5CB812" w:rsidR="000838A9" w:rsidRDefault="000838A9" w:rsidP="000838A9">
      <w:pPr>
        <w:spacing w:line="480" w:lineRule="auto"/>
        <w:jc w:val="both"/>
        <w:rPr>
          <w:rFonts w:eastAsia="Symbol"/>
          <w:lang w:val="en-US"/>
        </w:rPr>
      </w:pPr>
      <w:r>
        <w:rPr>
          <w:rFonts w:eastAsia="Symbol"/>
          <w:lang w:val="en-US"/>
        </w:rPr>
        <w:t xml:space="preserve">PAF was measured by quantitative fluorescence spectroscopy analysis of plasma according to Munch </w:t>
      </w:r>
      <w:r>
        <w:rPr>
          <w:rFonts w:eastAsia="Symbol"/>
          <w:i/>
          <w:lang w:val="en-US"/>
        </w:rPr>
        <w:t>et al.</w:t>
      </w:r>
      <w:r>
        <w:fldChar w:fldCharType="begin"/>
      </w:r>
      <w:r>
        <w:instrText xml:space="preserve"> ADDIN ZOTERO_ITEM CSL_CITATION {"citationID":"a2cc7v86pct","properties":{"formattedCitation":"\\super 18\\nosupersub{}","plainCitation":"18","noteIndex":0},"citationItems":[{"id":73,"uris":["http://zotero.org/users/1240609/items/42NHFKR4"],"uri":["http://zotero.org/users/1240609/items/42NHFKR4"],"itemData":{"id":73,"type":"article-journal","title":"Determination of advanced glycation end products in serum by fluorescence spectroscopy and competitive ELISA","container-title":"European Journal of Clinical Chemistry and Clinical Biochemistry: Journal of the Forum of European Clinical Chemistry Societies","page":"669-677","volume":"35","issue":"9","source":"PubMed","abstract":"Recent studies suggest that advanced glycation endproducts play an important role in cardiovascular complications of ageing, diabetes and end-stage renal failure. Since highly elevated levels of advanced glycation endproducts are present in serum of patients on maintenance haemodialysis, an accurate and rapid assay for their determination would be useful. This would be particularly valuable for monitoring the removal of advanced glycation endproducts by novel dialysis membranes, as well as the effect of new drugs for the inhibition of their formation. Measurement of advanced glycation endproducts in serum was performed by two competitive ELISAs, using a monoclonal antibody directed against imidazolone, an advanced glycation endproduct formed by the reaction of arginine with 3-deoxyglucosone, and a polyclonal antibody directed against keyhole limpet haemocyanin-advanced glycation endproduct, as well as by quantitative fluorescence spectroscopy. Each of the assays showed significant differences between the controls and the maintenance haemodialysis patients. Advanced glycation endproduct levels determined by each of the ELISAs correlated with total and protein-bound fluorescence, but not with each other, suggesting a variable distribution of advanced glycation endproducts on serum proteins among the maintenance haemodialysis patients.","ISSN":"0939-4974","note":"PMID: 9352229","journalAbbreviation":"Eur J Clin Chem Clin Biochem","language":"eng","author":[{"family":"M¸nch","given":"G."},{"family":"Keis","given":"R."},{"family":"Wessels","given":"A."},{"family":"Riederer","given":"P."},{"family":"Bahner","given":"U."},{"family":"Heidland","given":"A."},{"family":"Niwa","given":"T."},{"family":"Lemke","given":"H. D."},{"family":"Schinzel","given":"R."}],"issued":{"date-parts":[["1997",9]]}}}],"schema":"https://github.com/citation-style-language/schema/raw/master/csl-citation.json"} </w:instrText>
      </w:r>
      <w:r>
        <w:fldChar w:fldCharType="separate"/>
      </w:r>
      <w:r>
        <w:rPr>
          <w:szCs w:val="24"/>
          <w:vertAlign w:val="superscript"/>
        </w:rPr>
        <w:t>1</w:t>
      </w:r>
      <w:r w:rsidR="00645C10">
        <w:rPr>
          <w:szCs w:val="24"/>
          <w:vertAlign w:val="superscript"/>
        </w:rPr>
        <w:t>7</w:t>
      </w:r>
      <w:r>
        <w:rPr>
          <w:szCs w:val="24"/>
          <w:vertAlign w:val="superscript"/>
        </w:rPr>
        <w:fldChar w:fldCharType="end"/>
      </w:r>
      <w:r>
        <w:rPr>
          <w:rFonts w:eastAsia="Symbol"/>
          <w:lang w:val="en-US"/>
        </w:rPr>
        <w:t xml:space="preserve"> Plasma fluorescence (360/40:460/40 nm; </w:t>
      </w:r>
      <w:proofErr w:type="spellStart"/>
      <w:r>
        <w:rPr>
          <w:rFonts w:eastAsia="Symbol"/>
          <w:lang w:val="en-US"/>
        </w:rPr>
        <w:t>excitation</w:t>
      </w:r>
      <w:proofErr w:type="gramStart"/>
      <w:r>
        <w:rPr>
          <w:rFonts w:eastAsia="Symbol"/>
          <w:lang w:val="en-US"/>
        </w:rPr>
        <w:t>:emission</w:t>
      </w:r>
      <w:proofErr w:type="spellEnd"/>
      <w:proofErr w:type="gramEnd"/>
      <w:r>
        <w:rPr>
          <w:rFonts w:eastAsia="Symbol"/>
          <w:lang w:val="en-US"/>
        </w:rPr>
        <w:t xml:space="preserve">) was measured in a multi-mode </w:t>
      </w:r>
      <w:proofErr w:type="spellStart"/>
      <w:r>
        <w:rPr>
          <w:rFonts w:eastAsia="Symbol"/>
          <w:lang w:val="en-US"/>
        </w:rPr>
        <w:t>microplate</w:t>
      </w:r>
      <w:proofErr w:type="spellEnd"/>
      <w:r>
        <w:rPr>
          <w:rFonts w:eastAsia="Symbol"/>
          <w:lang w:val="en-US"/>
        </w:rPr>
        <w:t xml:space="preserve"> reader (Synergy 2, </w:t>
      </w:r>
      <w:proofErr w:type="spellStart"/>
      <w:r>
        <w:rPr>
          <w:rFonts w:eastAsia="Symbol"/>
          <w:lang w:val="en-US"/>
        </w:rPr>
        <w:t>Biotek</w:t>
      </w:r>
      <w:proofErr w:type="spellEnd"/>
      <w:r>
        <w:rPr>
          <w:rFonts w:eastAsia="Symbol"/>
          <w:lang w:val="en-US"/>
        </w:rPr>
        <w:t xml:space="preserve">, </w:t>
      </w:r>
      <w:proofErr w:type="spellStart"/>
      <w:r>
        <w:rPr>
          <w:rFonts w:eastAsia="Symbol"/>
          <w:lang w:val="en-US"/>
        </w:rPr>
        <w:t>Potton</w:t>
      </w:r>
      <w:proofErr w:type="spellEnd"/>
      <w:r>
        <w:rPr>
          <w:rFonts w:eastAsia="Symbol"/>
          <w:lang w:val="en-US"/>
        </w:rPr>
        <w:t>, United Kingdom). Fluorescence measurements were expressed as relative fluorescence intensity in arbitrary units (AU). By this method, we can measure some different AGE modifications at a time (crossline, fluorolink, pyrropyridine, vesperlysine, etc) for which there are no immunological-based methods available nowadays.</w:t>
      </w:r>
      <w:r>
        <w:fldChar w:fldCharType="begin"/>
      </w:r>
      <w:r>
        <w:instrText xml:space="preserve"> ADDIN ZOTERO_ITEM CSL_CITATION {"citationID":"a11rn5hcepd","properties":{"formattedCitation":"\\super 19\\nosupersub{}","plainCitation":"19","noteIndex":0},"citationItems":[{"id":39,"uris":["http://zotero.org/users/1240609/items/XEW5T53S"],"uri":["http://zotero.org/users/1240609/items/XEW5T53S"],"itemData":{"id":39,"type":"article-journal","title":"Fluorescent advanced glycation end products and their soluble receptor: the birth of new plasmatic biomarkers for risk stratification of acute coronary syndrome","container-title":"PloS One","page":"e74302","volume":"8","issue":"9","source":"PubMed","abstract":"OBJECTIVE: Advanced glycation end products (AGEs) have pathophysiological implications in cardiovascular diseases. The aim of our study was to evaluate the prognostic value of fluorescent AGEs and its soluble receptor (sRAGE) in the context of acute coronary syndrome (ACS), both in-hospital phase and follow-up period.\nMETHODS: A prospective clinical study was performed in patients with debut's ACS. The endpoints were the development of cardiac events (cardiac deaths, re-infarction and new-onset heart failure) during in-hospital phase and follow-up period (366 days, inter-quartile range: 273-519 days). 215 consecutive ACS patients admitted to the coronary care unit (62.7±13.0 years, 24.2% female) were included. 47.4% had a diagnosis of ST segment elevation myocardial infarction. AGEs and sRAGE were analysed by fluorescence spectroscopy and competitive ELISA, respectively. Risk scores (GRACE, TIMI, PURSUIT) were calculated retrospectively using prospective data. The complexity of coronary artery disease was evaluated by SYNTAX score.\nRESULTS: The mean fluorescent AGEs and sRAGE levels were 57.7±45.1 AU and 1045.4±850.0 pg/mL, respectively. 19 patients presented cardiac events during in-hospital phase and 29 during the follow-up. In-hospital cardiac events were significantly associated with higher sRAGE levels (p = 0.001), but not long-term cardiac events (p = 0.365). Regarding fluorescent AGE the opposite happened. After multivariate analysis correcting by gender, left ventricular ejection fraction, glucose levels, haemoglobin, GRACE and SYNTAX scores, sRAGE was significantly associated with in-hospital prognosis, whereas fluorescent AGEs was significantly associated with long-term prognosis.\nCONCLUSIONS: We conclude that elevated values of sRAGE are associated with worse in-hospital prognosis, whereas high fluorescent AGE levels are associated with more follow-up events.","DOI":"10.1371/journal.pone.0074302","ISSN":"1932-6203","note":"PMID: 24058542\nPMCID: PMC3772878","shortTitle":"Fluorescent advanced glycation end products and their soluble receptor","journalAbbreviation":"PLoS ONE","language":"eng","author":[{"family":"Raposeiras-RoubÌn","given":"Sergio"},{"family":"RodiÒo-Janeiro","given":"Bruno K."},{"family":"Paradela-Dobarro","given":"Beatriz"},{"family":"Grigorian-Shamagian","given":"Lilian"},{"family":"GarcÌa-AcuÒa","given":"JosÈ M."},{"family":"Aguiar-Souto","given":"Pablo"},{"family":"Jacquet-Hervet","given":"Michel"},{"family":"Reino-Maceiras","given":"MarÌa V."},{"family":"Gonz·lez-Juanatey","given":"JosÈ R."},{"family":"¡lvarez","given":"Ezequiel"}],"issued":{"date-parts":[["2013"]]}}}],"schema":"https://github.com/citation-style-language/schema/raw/master/csl-citation.json"} </w:instrText>
      </w:r>
      <w:r>
        <w:fldChar w:fldCharType="separate"/>
      </w:r>
      <w:r>
        <w:rPr>
          <w:szCs w:val="24"/>
          <w:vertAlign w:val="superscript"/>
        </w:rPr>
        <w:t>1</w:t>
      </w:r>
      <w:r w:rsidR="00645C10">
        <w:rPr>
          <w:szCs w:val="24"/>
          <w:vertAlign w:val="superscript"/>
        </w:rPr>
        <w:t>8</w:t>
      </w:r>
      <w:bookmarkStart w:id="0" w:name="_GoBack"/>
      <w:bookmarkEnd w:id="0"/>
      <w:r>
        <w:rPr>
          <w:szCs w:val="24"/>
          <w:vertAlign w:val="superscript"/>
        </w:rPr>
        <w:fldChar w:fldCharType="end"/>
      </w:r>
    </w:p>
    <w:p w14:paraId="2D2A7F4A" w14:textId="77777777" w:rsidR="000838A9" w:rsidRDefault="000838A9" w:rsidP="000838A9">
      <w:pPr>
        <w:spacing w:line="480" w:lineRule="auto"/>
        <w:jc w:val="both"/>
        <w:rPr>
          <w:rFonts w:eastAsia="Symbol"/>
          <w:lang w:val="en-US"/>
        </w:rPr>
      </w:pPr>
    </w:p>
    <w:p w14:paraId="52620B1B" w14:textId="77777777" w:rsidR="000838A9" w:rsidRDefault="000838A9" w:rsidP="000838A9">
      <w:pPr>
        <w:spacing w:line="480" w:lineRule="auto"/>
        <w:jc w:val="both"/>
        <w:rPr>
          <w:rFonts w:eastAsia="Symbol"/>
          <w:b/>
          <w:lang w:val="en-US"/>
        </w:rPr>
      </w:pPr>
      <w:r>
        <w:rPr>
          <w:rFonts w:eastAsia="Symbol"/>
          <w:lang w:val="en-US"/>
        </w:rPr>
        <w:t>Soluble RAGE levels in plasma were determined using a commercially available enzyme-linked immunosorbent assay kit (Quantikine; R&amp;D systems, Minneapolis, MN, USA) according to the manufacturers protocol, and results were expressed as pg/mL.</w:t>
      </w:r>
    </w:p>
    <w:p w14:paraId="1650E0C1" w14:textId="77777777" w:rsidR="004A07E1" w:rsidRDefault="004A07E1"/>
    <w:sectPr w:rsidR="004A07E1" w:rsidSect="00CA284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A9"/>
    <w:rsid w:val="000838A9"/>
    <w:rsid w:val="004A07E1"/>
    <w:rsid w:val="00645C10"/>
    <w:rsid w:val="00CA2840"/>
    <w:rsid w:val="00F214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31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A9"/>
    <w:pPr>
      <w:suppressAutoHyphens/>
    </w:pPr>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A9"/>
    <w:pPr>
      <w:suppressAutoHyphens/>
    </w:pPr>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R. Ruiz</dc:creator>
  <cp:lastModifiedBy>Realuyo-Gunay, Mary Aubrey</cp:lastModifiedBy>
  <cp:revision>2</cp:revision>
  <dcterms:created xsi:type="dcterms:W3CDTF">2019-06-28T01:53:00Z</dcterms:created>
  <dcterms:modified xsi:type="dcterms:W3CDTF">2019-06-28T01:53:00Z</dcterms:modified>
</cp:coreProperties>
</file>