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AEB5" w14:textId="37C73165" w:rsidR="006C7A7B" w:rsidRPr="00C011F8" w:rsidRDefault="6BA75AF0" w:rsidP="6BA75AF0">
      <w:pPr>
        <w:pStyle w:val="NoSpacing"/>
        <w:spacing w:line="480" w:lineRule="auto"/>
        <w:jc w:val="center"/>
        <w:rPr>
          <w:rFonts w:ascii="Arial" w:eastAsia="Arial" w:hAnsi="Arial" w:cs="Arial"/>
          <w:sz w:val="28"/>
          <w:szCs w:val="28"/>
          <w:u w:val="single"/>
          <w:lang w:val="en-US"/>
        </w:rPr>
      </w:pPr>
      <w:r w:rsidRPr="00C011F8">
        <w:rPr>
          <w:rFonts w:ascii="Arial" w:eastAsia="Arial" w:hAnsi="Arial" w:cs="Arial"/>
          <w:sz w:val="28"/>
          <w:szCs w:val="28"/>
          <w:u w:val="single"/>
          <w:lang w:val="en-US"/>
        </w:rPr>
        <w:t>Supplementary appendix</w:t>
      </w:r>
      <w:r w:rsidRPr="00C011F8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1A46AC18" w14:textId="1AC6CB4B" w:rsidR="009851E5" w:rsidRDefault="009851E5" w:rsidP="117B6F39">
      <w:pPr>
        <w:pStyle w:val="NoSpacing"/>
        <w:spacing w:line="48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21265448" w14:textId="15F26A0D" w:rsidR="57021844" w:rsidRDefault="58B8B335" w:rsidP="58B8B335">
      <w:pPr>
        <w:pStyle w:val="NoSpacing"/>
        <w:spacing w:line="48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58B8B335">
        <w:rPr>
          <w:rFonts w:ascii="Arial" w:eastAsia="Arial" w:hAnsi="Arial" w:cs="Arial"/>
          <w:b/>
          <w:bCs/>
          <w:sz w:val="24"/>
          <w:szCs w:val="24"/>
          <w:lang w:val="en-US"/>
        </w:rPr>
        <w:t>Methods</w:t>
      </w:r>
    </w:p>
    <w:p w14:paraId="3D835735" w14:textId="2A5A2518" w:rsidR="117B6F39" w:rsidRDefault="117B6F39" w:rsidP="58B8B335">
      <w:pPr>
        <w:pStyle w:val="NoSpacing"/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B42082F" w14:textId="3067361A" w:rsidR="58B8B335" w:rsidRPr="00233A66" w:rsidRDefault="58B8B335" w:rsidP="58B8B335">
      <w:pPr>
        <w:pStyle w:val="NoSpacing"/>
        <w:spacing w:line="48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  <w:lang w:val="en-US"/>
        </w:rPr>
      </w:pPr>
      <w:r w:rsidRPr="00233A66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  <w:lang w:val="en-US"/>
        </w:rPr>
        <w:t>Clinical definitions</w:t>
      </w:r>
    </w:p>
    <w:p w14:paraId="2C0E187F" w14:textId="63E29601" w:rsidR="58B8B335" w:rsidRPr="00233A66" w:rsidRDefault="58B8B335" w:rsidP="58B8B335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0233A66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US"/>
        </w:rPr>
        <w:t>Comorbidities were defined as the following: hypertension was documented or the patient on anti-hypertensive medication; congestive heart failure equaled a score of 2–4 from the New York Heart Classification Association (NYHA) or a left ventricular ejection fraction of ≤ 45%; chronic respiratory insufficiency was characterized by restrictive, obstructive or vascular lung disease resulting in severe pulmonary hypertension, chronic mechanical ventilation or home oxygen therapy; patients with chronic renal insufficiency presented with a creatinine level ≥ 177 µ</w:t>
      </w:r>
      <w:proofErr w:type="spellStart"/>
      <w:r w:rsidRPr="00233A66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US"/>
        </w:rPr>
        <w:t>mol</w:t>
      </w:r>
      <w:proofErr w:type="spellEnd"/>
      <w:r w:rsidRPr="00233A66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US"/>
        </w:rPr>
        <w:t xml:space="preserve">/L or have reported chronic renal insufficiency; patients with diabetes mellitus were using anti-diabetic medication and/or insulin therapy; hematological malignancies comprised of any kind of lymphoma, leukemia or multiple myeloma and non-metastatic solid tumors were any form of neoplasm without metastases; and an immune deficiency was defined as the use of </w:t>
      </w:r>
      <w:proofErr w:type="spellStart"/>
      <w:r w:rsidRPr="00233A66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US"/>
        </w:rPr>
        <w:t>immunosuppressants</w:t>
      </w:r>
      <w:proofErr w:type="spellEnd"/>
      <w:r w:rsidRPr="00233A66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US"/>
        </w:rPr>
        <w:t xml:space="preserve"> at admission, chemo- or radiation therapy the year before admission or documented humoral or cellular deficiencies.</w:t>
      </w:r>
    </w:p>
    <w:p w14:paraId="75694C55" w14:textId="788B70E5" w:rsidR="57021844" w:rsidRDefault="58B8B335" w:rsidP="58B8B335">
      <w:pPr>
        <w:pStyle w:val="NoSpacing"/>
        <w:spacing w:line="480" w:lineRule="auto"/>
        <w:jc w:val="both"/>
        <w:rPr>
          <w:rFonts w:ascii="Arial" w:eastAsia="Arial" w:hAnsi="Arial" w:cs="Arial"/>
          <w:i/>
          <w:iCs/>
          <w:sz w:val="24"/>
          <w:szCs w:val="24"/>
          <w:lang w:val="en-US"/>
        </w:rPr>
      </w:pPr>
      <w:r w:rsidRPr="58B8B335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Analysis plan </w:t>
      </w:r>
    </w:p>
    <w:p w14:paraId="5E9E6890" w14:textId="033182C6" w:rsidR="117B6F39" w:rsidRDefault="58B8B335" w:rsidP="58B8B335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8B8B335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proofErr w:type="spellStart"/>
      <w:r w:rsidRPr="58B8B335">
        <w:rPr>
          <w:rFonts w:ascii="Arial" w:eastAsia="Arial" w:hAnsi="Arial" w:cs="Arial"/>
          <w:sz w:val="24"/>
          <w:szCs w:val="24"/>
          <w:lang w:val="en-US"/>
        </w:rPr>
        <w:t>heatmap</w:t>
      </w:r>
      <w:proofErr w:type="spellEnd"/>
      <w:r w:rsidRPr="58B8B335">
        <w:rPr>
          <w:rFonts w:ascii="Arial" w:eastAsia="Arial" w:hAnsi="Arial" w:cs="Arial"/>
          <w:sz w:val="24"/>
          <w:szCs w:val="24"/>
          <w:lang w:val="en-US"/>
        </w:rPr>
        <w:t xml:space="preserve"> was constructed providing a detailed overview for different levels of bilirubin and different levels of the modifying variable on 30-day mortality by taking the mean observed 30-day mortality for each combination.</w:t>
      </w:r>
    </w:p>
    <w:p w14:paraId="5FB189A9" w14:textId="3D9EF35F" w:rsidR="117B6F39" w:rsidRDefault="58B8B335" w:rsidP="58B8B335">
      <w:pPr>
        <w:pStyle w:val="NoSpacing"/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58B8B335">
        <w:rPr>
          <w:rFonts w:ascii="Arial" w:eastAsia="Arial" w:hAnsi="Arial" w:cs="Arial"/>
          <w:sz w:val="24"/>
          <w:szCs w:val="24"/>
          <w:lang w:val="en-US"/>
        </w:rPr>
        <w:t xml:space="preserve">The logistic regression analysis with 30-day mortality as central determinant and utilization of B-splines for modelling bilirubin as covariate was applied for assessing the impact of other variables on the relationship between early hyperbilirubinemia and </w:t>
      </w:r>
      <w:r w:rsidRPr="58B8B335"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30-day mortality. Those variables were the circulatory, pulmonary and renal SOFA score to compare the effects to the SOFA coagulation score. </w:t>
      </w:r>
    </w:p>
    <w:p w14:paraId="07BB19B8" w14:textId="30E86DCF" w:rsidR="009851E5" w:rsidRDefault="009851E5" w:rsidP="58B8B335">
      <w:pPr>
        <w:pStyle w:val="NoSpacing"/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5881725" w14:textId="1B93AB02" w:rsidR="0028260C" w:rsidRDefault="117B6F39" w:rsidP="117B6F39">
      <w:pPr>
        <w:pStyle w:val="NoSpacing"/>
        <w:spacing w:line="48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117B6F39">
        <w:rPr>
          <w:rFonts w:ascii="Arial" w:eastAsia="Arial" w:hAnsi="Arial" w:cs="Arial"/>
          <w:b/>
          <w:bCs/>
          <w:sz w:val="24"/>
          <w:szCs w:val="24"/>
          <w:lang w:val="en-US"/>
        </w:rPr>
        <w:t>Results</w:t>
      </w:r>
    </w:p>
    <w:p w14:paraId="31B92935" w14:textId="73B5AC52" w:rsidR="117B6F39" w:rsidRDefault="117B6F39" w:rsidP="117B6F39">
      <w:pPr>
        <w:pStyle w:val="NoSpacing"/>
        <w:spacing w:line="48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7996DD49" w14:textId="4DD6D3CC" w:rsidR="70193F00" w:rsidRDefault="00BD1F47" w:rsidP="70193F00">
      <w:pPr>
        <w:pStyle w:val="NoSpacing"/>
        <w:spacing w:line="480" w:lineRule="auto"/>
        <w:rPr>
          <w:rFonts w:ascii="Arial" w:eastAsia="Arial" w:hAnsi="Arial" w:cs="Arial"/>
          <w:i/>
          <w:iCs/>
          <w:sz w:val="24"/>
          <w:szCs w:val="24"/>
          <w:lang w:val="en-US"/>
        </w:rPr>
      </w:pPr>
      <w:r>
        <w:rPr>
          <w:rFonts w:ascii="Arial" w:eastAsia="Arial" w:hAnsi="Arial" w:cs="Arial"/>
          <w:i/>
          <w:iCs/>
          <w:sz w:val="24"/>
          <w:szCs w:val="24"/>
          <w:lang w:val="en-US"/>
        </w:rPr>
        <w:t>Outcome</w:t>
      </w:r>
    </w:p>
    <w:p w14:paraId="79C9C11A" w14:textId="5C9EED53" w:rsidR="58B8B335" w:rsidRDefault="58B8B335" w:rsidP="58B8B335">
      <w:pPr>
        <w:pStyle w:val="NoSpacing"/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58B8B335">
        <w:rPr>
          <w:rFonts w:ascii="Arial" w:eastAsia="Arial" w:hAnsi="Arial" w:cs="Arial"/>
          <w:sz w:val="24"/>
          <w:szCs w:val="24"/>
          <w:lang w:val="en-US"/>
        </w:rPr>
        <w:t xml:space="preserve">The following patient baseline characteristics were chosen as potential confounders and/or effect modifiers in the relationship between early hyperbilirubinemia and mortality: age, </w:t>
      </w:r>
      <w:r w:rsidRPr="00233A66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US"/>
        </w:rPr>
        <w:t>congestive heart failure, chronic respiratory insufficiency,</w:t>
      </w:r>
      <w:r w:rsidRPr="00233A6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58B8B335">
        <w:rPr>
          <w:rFonts w:ascii="Arial" w:eastAsia="Arial" w:hAnsi="Arial" w:cs="Arial"/>
          <w:sz w:val="24"/>
          <w:szCs w:val="24"/>
          <w:lang w:val="en-US"/>
        </w:rPr>
        <w:t xml:space="preserve">immune deficiency, hematological malignancies, alcohol or drug abuse, sepsis, use of vasoactive medication, AKI, ARDS, thrombocytopenia and prolonged prothrombin time (PT). </w:t>
      </w:r>
      <w:r w:rsidRPr="00233A66">
        <w:rPr>
          <w:rFonts w:ascii="Arial" w:eastAsia="Arial" w:hAnsi="Arial" w:cs="Arial"/>
          <w:color w:val="000000" w:themeColor="text1"/>
          <w:sz w:val="24"/>
          <w:szCs w:val="24"/>
          <w:highlight w:val="yellow"/>
          <w:lang w:val="en-US"/>
        </w:rPr>
        <w:t>Congestive heart failure, chronic respiratory insufficiency,</w:t>
      </w:r>
      <w:r w:rsidRPr="00233A66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58B8B335">
        <w:rPr>
          <w:rFonts w:ascii="Arial" w:eastAsia="Arial" w:hAnsi="Arial" w:cs="Arial"/>
          <w:sz w:val="24"/>
          <w:szCs w:val="24"/>
          <w:lang w:val="en-US"/>
        </w:rPr>
        <w:t>alcohol and drug abuse</w:t>
      </w:r>
      <w:r w:rsidRPr="58B8B335">
        <w:rPr>
          <w:rFonts w:ascii="Arial" w:eastAsia="Arial" w:hAnsi="Arial" w:cs="Arial"/>
          <w:color w:val="C00000"/>
          <w:sz w:val="24"/>
          <w:szCs w:val="24"/>
          <w:lang w:val="en-US"/>
        </w:rPr>
        <w:t>,</w:t>
      </w:r>
      <w:r w:rsidRPr="58B8B335">
        <w:rPr>
          <w:rFonts w:ascii="Arial" w:eastAsia="Arial" w:hAnsi="Arial" w:cs="Arial"/>
          <w:sz w:val="24"/>
          <w:szCs w:val="24"/>
          <w:lang w:val="en-US"/>
        </w:rPr>
        <w:t xml:space="preserve"> and prolonged PT were not identified as confounding or effect modifying variables (</w:t>
      </w:r>
      <w:r w:rsidRPr="58B8B335">
        <w:rPr>
          <w:rFonts w:ascii="Arial" w:eastAsia="Arial" w:hAnsi="Arial" w:cs="Arial"/>
          <w:i/>
          <w:iCs/>
          <w:sz w:val="24"/>
          <w:szCs w:val="24"/>
          <w:lang w:val="en-US"/>
        </w:rPr>
        <w:t>p ≥ 0.05</w:t>
      </w:r>
      <w:r w:rsidRPr="58B8B335">
        <w:rPr>
          <w:rFonts w:ascii="Arial" w:eastAsia="Arial" w:hAnsi="Arial" w:cs="Arial"/>
          <w:sz w:val="24"/>
          <w:szCs w:val="24"/>
          <w:lang w:val="en-US"/>
        </w:rPr>
        <w:t xml:space="preserve"> for all). Age, immune deficiency, hematological malignancy, sepsis</w:t>
      </w:r>
      <w:bookmarkStart w:id="0" w:name="_GoBack"/>
      <w:bookmarkEnd w:id="0"/>
      <w:r w:rsidRPr="58B8B335">
        <w:rPr>
          <w:rFonts w:ascii="Arial" w:eastAsia="Arial" w:hAnsi="Arial" w:cs="Arial"/>
          <w:sz w:val="24"/>
          <w:szCs w:val="24"/>
          <w:lang w:val="en-US"/>
        </w:rPr>
        <w:t>, use of vasoactive medication, AKI, ARDS and thrombocytopenia were significant confounders (</w:t>
      </w:r>
      <w:r w:rsidRPr="58B8B335">
        <w:rPr>
          <w:rFonts w:ascii="Arial" w:eastAsia="Arial" w:hAnsi="Arial" w:cs="Arial"/>
          <w:i/>
          <w:iCs/>
          <w:sz w:val="24"/>
          <w:szCs w:val="24"/>
          <w:lang w:val="en-US"/>
        </w:rPr>
        <w:t>p &lt; 0.05</w:t>
      </w:r>
      <w:r w:rsidRPr="58B8B335">
        <w:rPr>
          <w:rFonts w:ascii="Arial" w:eastAsia="Arial" w:hAnsi="Arial" w:cs="Arial"/>
          <w:sz w:val="24"/>
          <w:szCs w:val="24"/>
          <w:lang w:val="en-US"/>
        </w:rPr>
        <w:t xml:space="preserve">, for all). </w:t>
      </w:r>
    </w:p>
    <w:p w14:paraId="7ED844F9" w14:textId="78604BA6" w:rsidR="58B8B335" w:rsidRDefault="58B8B335" w:rsidP="58B8B335">
      <w:pPr>
        <w:pStyle w:val="NoSpacing"/>
        <w:spacing w:line="48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5820"/>
        <w:gridCol w:w="3180"/>
      </w:tblGrid>
      <w:tr w:rsidR="24503919" w:rsidRPr="00233A66" w14:paraId="5F01CA98" w14:textId="77777777" w:rsidTr="24503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  <w:tcBorders>
              <w:bottom w:val="single" w:sz="6" w:space="0" w:color="000000" w:themeColor="text1"/>
            </w:tcBorders>
          </w:tcPr>
          <w:p w14:paraId="5A3F640A" w14:textId="08F0D71D" w:rsidR="24503919" w:rsidRPr="00C011F8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eTable</w:t>
            </w:r>
            <w:proofErr w:type="spellEnd"/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1. </w:t>
            </w:r>
            <w:r w:rsidRPr="24503919">
              <w:rPr>
                <w:rFonts w:ascii="Arial" w:eastAsia="Arial" w:hAnsi="Arial" w:cs="Arial"/>
                <w:sz w:val="20"/>
                <w:szCs w:val="20"/>
                <w:lang w:val="en-US"/>
              </w:rPr>
              <w:t>Association between early hyperbilirubinemia and 30-day mortality.</w:t>
            </w:r>
          </w:p>
        </w:tc>
      </w:tr>
      <w:tr w:rsidR="24503919" w14:paraId="0EE00589" w14:textId="77777777" w:rsidTr="24503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4DC9E477" w14:textId="40B1A3BF" w:rsidR="24503919" w:rsidRDefault="24503919" w:rsidP="24503919">
            <w:pPr>
              <w:pStyle w:val="NoSpacing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3180" w:type="dxa"/>
            <w:tcBorders>
              <w:bottom w:val="single" w:sz="6" w:space="0" w:color="000000" w:themeColor="text1"/>
            </w:tcBorders>
            <w:shd w:val="clear" w:color="auto" w:fill="F2F2F2" w:themeFill="background1" w:themeFillShade="F2"/>
          </w:tcPr>
          <w:p w14:paraId="1CD4CFDE" w14:textId="123DFC81" w:rsidR="24503919" w:rsidRDefault="24503919" w:rsidP="24503919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sz w:val="20"/>
                <w:szCs w:val="20"/>
                <w:lang w:val="en-US"/>
              </w:rPr>
              <w:t>OR (95% CI)</w:t>
            </w:r>
          </w:p>
        </w:tc>
      </w:tr>
      <w:tr w:rsidR="24503919" w14:paraId="0FA98157" w14:textId="77777777" w:rsidTr="24503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tcBorders>
              <w:top w:val="single" w:sz="6" w:space="0" w:color="auto"/>
              <w:bottom w:val="nil"/>
            </w:tcBorders>
          </w:tcPr>
          <w:p w14:paraId="5D4E0889" w14:textId="68EAF1EE" w:rsidR="24503919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Hyperbilirubinemia</w:t>
            </w:r>
          </w:p>
        </w:tc>
        <w:tc>
          <w:tcPr>
            <w:tcW w:w="3180" w:type="dxa"/>
            <w:tcBorders>
              <w:top w:val="single" w:sz="6" w:space="0" w:color="auto"/>
              <w:bottom w:val="nil"/>
            </w:tcBorders>
          </w:tcPr>
          <w:p w14:paraId="0EFF0D17" w14:textId="4618C3D1" w:rsidR="24503919" w:rsidRDefault="24503919" w:rsidP="24503919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1.85 (1.53 – 2.23)</w:t>
            </w:r>
          </w:p>
        </w:tc>
      </w:tr>
      <w:tr w:rsidR="24503919" w14:paraId="7DE69F9E" w14:textId="77777777" w:rsidTr="24503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921813" w14:textId="32E1186F" w:rsidR="24503919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Hyperbilirubinemia, adjusted for: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2374F4" w14:textId="135A87A5" w:rsidR="24503919" w:rsidRDefault="24503919" w:rsidP="24503919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1.31 (1.06 – 1.60)</w:t>
            </w:r>
          </w:p>
        </w:tc>
      </w:tr>
      <w:tr w:rsidR="24503919" w14:paraId="186FECFC" w14:textId="77777777" w:rsidTr="245039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tcBorders>
              <w:top w:val="nil"/>
            </w:tcBorders>
            <w:shd w:val="clear" w:color="auto" w:fill="F2F2F2" w:themeFill="background1" w:themeFillShade="F2"/>
          </w:tcPr>
          <w:p w14:paraId="28F6D1F0" w14:textId="528E4561" w:rsidR="24503919" w:rsidRPr="00C011F8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Age &gt; 65 years</w:t>
            </w:r>
          </w:p>
          <w:p w14:paraId="34B4908B" w14:textId="56F26277" w:rsidR="24503919" w:rsidRPr="00C011F8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Immune deficiency</w:t>
            </w:r>
          </w:p>
          <w:p w14:paraId="29E7A96E" w14:textId="73D64B34" w:rsidR="24503919" w:rsidRPr="00C011F8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Hematologic malignancy</w:t>
            </w:r>
          </w:p>
          <w:p w14:paraId="7AC63498" w14:textId="6CF429AC" w:rsidR="24503919" w:rsidRPr="00C011F8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Sepsis</w:t>
            </w:r>
          </w:p>
          <w:p w14:paraId="494EE74D" w14:textId="2D1535BD" w:rsidR="24503919" w:rsidRPr="00C011F8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Use of vasoactive medication</w:t>
            </w:r>
          </w:p>
          <w:p w14:paraId="5B9C06ED" w14:textId="4284A0A0" w:rsidR="24503919" w:rsidRPr="00C011F8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AKI</w:t>
            </w:r>
          </w:p>
          <w:p w14:paraId="43F3FBED" w14:textId="4E97AD50" w:rsidR="24503919" w:rsidRDefault="24503919" w:rsidP="24503919">
            <w:pPr>
              <w:pStyle w:val="NoSpacing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ARDS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F2F2F2" w:themeFill="background1" w:themeFillShade="F2"/>
          </w:tcPr>
          <w:p w14:paraId="42B9444B" w14:textId="70B8151C" w:rsidR="24503919" w:rsidRDefault="24503919" w:rsidP="24503919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sz w:val="20"/>
                <w:szCs w:val="20"/>
                <w:lang w:val="en-US"/>
              </w:rPr>
              <w:t>1.42 (1.23 - 1.63)</w:t>
            </w:r>
          </w:p>
          <w:p w14:paraId="50A8C583" w14:textId="36C4C815" w:rsidR="24503919" w:rsidRDefault="24503919" w:rsidP="24503919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sz w:val="20"/>
                <w:szCs w:val="20"/>
                <w:lang w:val="en-US"/>
              </w:rPr>
              <w:t>1.02 (0.82 - 1.28)</w:t>
            </w:r>
          </w:p>
          <w:p w14:paraId="4EE956FF" w14:textId="5F1A7A09" w:rsidR="24503919" w:rsidRDefault="24503919" w:rsidP="24503919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sz w:val="20"/>
                <w:szCs w:val="20"/>
                <w:lang w:val="en-US"/>
              </w:rPr>
              <w:t>2.55 (1.83 - 3.55)</w:t>
            </w:r>
          </w:p>
          <w:p w14:paraId="2908E039" w14:textId="1EBA05A9" w:rsidR="24503919" w:rsidRDefault="24503919" w:rsidP="24503919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sz w:val="20"/>
                <w:szCs w:val="20"/>
                <w:lang w:val="en-US"/>
              </w:rPr>
              <w:t>1.16 (0.98 - 1.36)</w:t>
            </w:r>
          </w:p>
          <w:p w14:paraId="5418E961" w14:textId="21F31CB6" w:rsidR="24503919" w:rsidRDefault="24503919" w:rsidP="24503919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sz w:val="20"/>
                <w:szCs w:val="20"/>
                <w:lang w:val="en-US"/>
              </w:rPr>
              <w:t>2.08 (1.78 - 2.42)</w:t>
            </w:r>
          </w:p>
          <w:p w14:paraId="349FB5D5" w14:textId="2BFC9F73" w:rsidR="24503919" w:rsidRDefault="24503919" w:rsidP="24503919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sz w:val="20"/>
                <w:szCs w:val="20"/>
                <w:lang w:val="en-US"/>
              </w:rPr>
              <w:t>2.22 (1.74 - 2.56)</w:t>
            </w:r>
          </w:p>
          <w:p w14:paraId="61125770" w14:textId="33B3A54D" w:rsidR="24503919" w:rsidRDefault="24503919" w:rsidP="24503919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24503919">
              <w:rPr>
                <w:rFonts w:ascii="Arial" w:eastAsia="Arial" w:hAnsi="Arial" w:cs="Arial"/>
                <w:sz w:val="20"/>
                <w:szCs w:val="20"/>
                <w:lang w:val="en-US"/>
              </w:rPr>
              <w:t>1.19 (0.96 - 1.47)</w:t>
            </w:r>
          </w:p>
        </w:tc>
      </w:tr>
    </w:tbl>
    <w:p w14:paraId="0FDCF1A6" w14:textId="67CE2714" w:rsidR="117B6F39" w:rsidRDefault="117B6F39" w:rsidP="117B6F39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0983576E" w14:textId="3B72FC21" w:rsidR="009851E5" w:rsidRDefault="009851E5" w:rsidP="117B6F39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6BB2807B" w14:textId="247040D1" w:rsidR="117B6F39" w:rsidRDefault="117B6F39" w:rsidP="117B6F39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117B6F3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Observed 30-day mortality did not increase with bilirubin levels in patients with a normal platelet count (</w:t>
      </w:r>
      <w:proofErr w:type="spellStart"/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eFigure</w:t>
      </w:r>
      <w:proofErr w:type="spellEnd"/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 1</w:t>
      </w:r>
      <w:r w:rsidRPr="117B6F3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).</w:t>
      </w:r>
    </w:p>
    <w:p w14:paraId="01734987" w14:textId="77777777" w:rsidR="009851E5" w:rsidRDefault="009851E5" w:rsidP="117B6F39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203F2672" w14:textId="004C056B" w:rsidR="117B6F39" w:rsidRDefault="117B6F39" w:rsidP="117B6F39">
      <w:pPr>
        <w:pStyle w:val="NoSpacing"/>
        <w:spacing w:line="48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59026728" wp14:editId="51DB2027">
            <wp:extent cx="4762502" cy="3454616"/>
            <wp:effectExtent l="0" t="0" r="0" b="0"/>
            <wp:docPr id="755800514" name="Picture 755800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8005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345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6E9D9" w14:textId="6A264ABD" w:rsidR="117B6F39" w:rsidRDefault="117B6F39" w:rsidP="117B6F39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2C3660BD" w14:textId="762A66BF" w:rsidR="117B6F39" w:rsidRDefault="4554B638" w:rsidP="4554B638">
      <w:pPr>
        <w:jc w:val="both"/>
        <w:rPr>
          <w:rFonts w:ascii="Arial" w:eastAsia="Arial" w:hAnsi="Arial" w:cs="Arial"/>
          <w:color w:val="000000" w:themeColor="text1"/>
          <w:lang w:val="en-US"/>
        </w:rPr>
      </w:pPr>
      <w:proofErr w:type="spellStart"/>
      <w:r w:rsidRPr="4554B638">
        <w:rPr>
          <w:rFonts w:ascii="Arial" w:eastAsia="Arial" w:hAnsi="Arial" w:cs="Arial"/>
          <w:color w:val="000000" w:themeColor="text1"/>
          <w:lang w:val="en-US"/>
        </w:rPr>
        <w:t>eFigure</w:t>
      </w:r>
      <w:proofErr w:type="spellEnd"/>
      <w:r w:rsidRPr="4554B638">
        <w:rPr>
          <w:rFonts w:ascii="Arial" w:eastAsia="Arial" w:hAnsi="Arial" w:cs="Arial"/>
          <w:color w:val="000000" w:themeColor="text1"/>
          <w:lang w:val="en-US"/>
        </w:rPr>
        <w:t xml:space="preserve"> 1.</w:t>
      </w:r>
      <w:r w:rsidRPr="4554B638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 Heatmap showing observed mean 30-day mortality rate for each combination of SOFA liver and SOFA coagulation score. </w:t>
      </w:r>
      <w:r w:rsidRPr="4554B638">
        <w:rPr>
          <w:rFonts w:ascii="Arial" w:eastAsia="Arial" w:hAnsi="Arial" w:cs="Arial"/>
          <w:color w:val="000000" w:themeColor="text1"/>
          <w:lang w:val="en-US"/>
        </w:rPr>
        <w:t xml:space="preserve">Grey tiles reflect combinations with patients and were excluded from analyses. </w:t>
      </w:r>
      <w:r w:rsidRPr="4554B638">
        <w:rPr>
          <w:rFonts w:ascii="Arial" w:eastAsia="Arial" w:hAnsi="Arial" w:cs="Arial"/>
          <w:color w:val="000000" w:themeColor="text1"/>
          <w:u w:val="single"/>
          <w:lang w:val="en-US"/>
        </w:rPr>
        <w:t>SOFA coagulation score (x 10</w:t>
      </w:r>
      <w:r w:rsidRPr="4554B638">
        <w:rPr>
          <w:rFonts w:ascii="Arial" w:eastAsia="Arial" w:hAnsi="Arial" w:cs="Arial"/>
          <w:color w:val="000000" w:themeColor="text1"/>
          <w:u w:val="single"/>
          <w:vertAlign w:val="superscript"/>
          <w:lang w:val="en-US"/>
        </w:rPr>
        <w:t>9</w:t>
      </w:r>
      <w:r w:rsidRPr="4554B638">
        <w:rPr>
          <w:rFonts w:ascii="Arial" w:eastAsia="Arial" w:hAnsi="Arial" w:cs="Arial"/>
          <w:color w:val="000000" w:themeColor="text1"/>
          <w:u w:val="single"/>
          <w:lang w:val="en-US"/>
        </w:rPr>
        <w:t>/L):</w:t>
      </w:r>
      <w:r w:rsidRPr="4554B638">
        <w:rPr>
          <w:rFonts w:ascii="Arial" w:eastAsia="Arial" w:hAnsi="Arial" w:cs="Arial"/>
          <w:color w:val="000000" w:themeColor="text1"/>
          <w:lang w:val="en-US"/>
        </w:rPr>
        <w:t xml:space="preserve"> 0 (≥ 150), 1 (&lt; 150), 2 (&lt; 100), 3 (&lt; 50) to 4 (&lt; 20).</w:t>
      </w:r>
      <w:r w:rsidRPr="4554B638">
        <w:rPr>
          <w:rFonts w:ascii="Arial" w:eastAsia="Arial" w:hAnsi="Arial" w:cs="Arial"/>
          <w:color w:val="000000" w:themeColor="text1"/>
          <w:u w:val="single"/>
          <w:lang w:val="en-US"/>
        </w:rPr>
        <w:t xml:space="preserve"> SOFA liver score (µ</w:t>
      </w:r>
      <w:proofErr w:type="spellStart"/>
      <w:r w:rsidRPr="4554B638">
        <w:rPr>
          <w:rFonts w:ascii="Arial" w:eastAsia="Arial" w:hAnsi="Arial" w:cs="Arial"/>
          <w:color w:val="000000" w:themeColor="text1"/>
          <w:u w:val="single"/>
          <w:lang w:val="en-US"/>
        </w:rPr>
        <w:t>mol</w:t>
      </w:r>
      <w:proofErr w:type="spellEnd"/>
      <w:r w:rsidRPr="4554B638">
        <w:rPr>
          <w:rFonts w:ascii="Arial" w:eastAsia="Arial" w:hAnsi="Arial" w:cs="Arial"/>
          <w:color w:val="000000" w:themeColor="text1"/>
          <w:u w:val="single"/>
          <w:lang w:val="en-US"/>
        </w:rPr>
        <w:t>/L):</w:t>
      </w:r>
      <w:r w:rsidRPr="4554B638">
        <w:rPr>
          <w:rFonts w:ascii="Arial" w:eastAsia="Arial" w:hAnsi="Arial" w:cs="Arial"/>
          <w:color w:val="000000" w:themeColor="text1"/>
          <w:lang w:val="en-US"/>
        </w:rPr>
        <w:t xml:space="preserve"> 0 (&lt; 20), 1 (= 20–32), 2 (= 33–101), 3 (= 102–203) to 4 (≥ 204). Abbreviations: SOFA, sequential organ failure assessment. </w:t>
      </w:r>
    </w:p>
    <w:p w14:paraId="1E8DCD82" w14:textId="0A7E79CA" w:rsidR="117B6F39" w:rsidRDefault="117B6F39" w:rsidP="117B6F39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1ECBC00D" w14:textId="3ED86AFA" w:rsidR="117B6F39" w:rsidRDefault="117B6F39" w:rsidP="009851E5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117B6F3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The divergent effect of low or normal platelet counts (SOFA coagulation score) on the relationship between hyperbilirubinemia and mortality is visualized in </w:t>
      </w:r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Figure 3B</w:t>
      </w:r>
      <w:r w:rsidRPr="117B6F3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eFigure</w:t>
      </w:r>
      <w:proofErr w:type="spellEnd"/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 2A </w:t>
      </w:r>
      <w:r w:rsidRPr="117B6F3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(identical figures). The effect of circulatory, pulmonary and renal dysfunction, stratified for the individual SOFA scores, on the association between hyperbilirubinemia and mortality are presented in </w:t>
      </w:r>
      <w:proofErr w:type="spellStart"/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eFigure</w:t>
      </w:r>
      <w:proofErr w:type="spellEnd"/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 2B–D</w:t>
      </w:r>
      <w:r w:rsidRPr="117B6F3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. While mortality increases incrementally with higher bilirubin levels and more severe circulatory, </w:t>
      </w:r>
      <w:r w:rsidRPr="117B6F39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lastRenderedPageBreak/>
        <w:t>pulmonary and renal organ dysfunction, 30-day mortality is not affected by increased bilirubin levels in patients with a normal platelet count.</w:t>
      </w:r>
    </w:p>
    <w:p w14:paraId="0F8CD5BC" w14:textId="77777777" w:rsidR="009851E5" w:rsidRDefault="009851E5" w:rsidP="009851E5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5D1748E6" w14:textId="38A54DA4" w:rsidR="117B6F39" w:rsidRDefault="117B6F39" w:rsidP="117B6F39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B</w:t>
      </w:r>
    </w:p>
    <w:p w14:paraId="24BAFF84" w14:textId="2050A2A4" w:rsidR="117B6F39" w:rsidRDefault="58B8B335" w:rsidP="117B6F39">
      <w:pPr>
        <w:pStyle w:val="NoSpacing"/>
        <w:spacing w:line="480" w:lineRule="auto"/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58B8B335">
        <w:rPr>
          <w:rFonts w:ascii="Calibri" w:eastAsia="Calibri" w:hAnsi="Calibri" w:cs="Calibri"/>
          <w:color w:val="000000" w:themeColor="text1"/>
        </w:rPr>
        <w:t xml:space="preserve"> </w:t>
      </w:r>
      <w:r w:rsidR="1498213E">
        <w:rPr>
          <w:noProof/>
          <w:lang w:val="en-GB" w:eastAsia="en-GB"/>
        </w:rPr>
        <w:drawing>
          <wp:inline distT="0" distB="0" distL="0" distR="0" wp14:anchorId="1F3DB4F2" wp14:editId="38BA3CF8">
            <wp:extent cx="2781300" cy="2333625"/>
            <wp:effectExtent l="0" t="0" r="0" b="0"/>
            <wp:docPr id="1192340471" name="Picture 119234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34047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98213E">
        <w:rPr>
          <w:noProof/>
          <w:lang w:val="en-GB" w:eastAsia="en-GB"/>
        </w:rPr>
        <w:drawing>
          <wp:inline distT="0" distB="0" distL="0" distR="0" wp14:anchorId="5264930F" wp14:editId="34978192">
            <wp:extent cx="2743200" cy="2333625"/>
            <wp:effectExtent l="0" t="0" r="0" b="0"/>
            <wp:docPr id="1603065640" name="Picture 160306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0656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E1FDB" w14:textId="45EA56C5" w:rsidR="117B6F39" w:rsidRDefault="117B6F39" w:rsidP="117B6F39">
      <w:pPr>
        <w:pStyle w:val="NoSpacing"/>
        <w:spacing w:line="48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7B6F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</w:t>
      </w:r>
    </w:p>
    <w:p w14:paraId="4E9FBB99" w14:textId="3E795C64" w:rsidR="117B6F39" w:rsidRDefault="58B8B335" w:rsidP="117B6F39">
      <w:pPr>
        <w:pStyle w:val="NoSpacing"/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8B8B33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1498213E">
        <w:rPr>
          <w:noProof/>
          <w:lang w:val="en-GB" w:eastAsia="en-GB"/>
        </w:rPr>
        <w:drawing>
          <wp:inline distT="0" distB="0" distL="0" distR="0" wp14:anchorId="366D1333" wp14:editId="0B84986F">
            <wp:extent cx="2781300" cy="2362200"/>
            <wp:effectExtent l="0" t="0" r="0" b="0"/>
            <wp:docPr id="1925434378" name="Picture 192543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43437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98213E">
        <w:rPr>
          <w:noProof/>
          <w:lang w:val="en-GB" w:eastAsia="en-GB"/>
        </w:rPr>
        <w:drawing>
          <wp:inline distT="0" distB="0" distL="0" distR="0" wp14:anchorId="21161C5C" wp14:editId="24DBFF42">
            <wp:extent cx="2781300" cy="2368900"/>
            <wp:effectExtent l="0" t="0" r="0" b="0"/>
            <wp:docPr id="1483888680" name="Picture 1483888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88868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437B" w14:textId="75FAF362" w:rsidR="117B6F39" w:rsidRDefault="117B6F39" w:rsidP="117B6F39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</w:p>
    <w:p w14:paraId="66778012" w14:textId="2D113A17" w:rsidR="117B6F39" w:rsidRDefault="117B6F39" w:rsidP="117B6F39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</w:p>
    <w:p w14:paraId="381F0478" w14:textId="3D0746B4" w:rsidR="117B6F39" w:rsidRDefault="117B6F39" w:rsidP="117B6F39">
      <w:pPr>
        <w:pStyle w:val="NoSpacing"/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proofErr w:type="spellStart"/>
      <w:r w:rsidRPr="117B6F39">
        <w:rPr>
          <w:rFonts w:ascii="Arial" w:eastAsia="Arial" w:hAnsi="Arial" w:cs="Arial"/>
          <w:color w:val="000000" w:themeColor="text1"/>
          <w:lang w:val="en-US"/>
        </w:rPr>
        <w:t>eFigure</w:t>
      </w:r>
      <w:proofErr w:type="spellEnd"/>
      <w:r w:rsidRPr="117B6F39">
        <w:rPr>
          <w:rFonts w:ascii="Arial" w:eastAsia="Arial" w:hAnsi="Arial" w:cs="Arial"/>
          <w:color w:val="000000" w:themeColor="text1"/>
          <w:lang w:val="en-US"/>
        </w:rPr>
        <w:t xml:space="preserve"> 2. </w:t>
      </w:r>
      <w:r w:rsidRPr="117B6F39">
        <w:rPr>
          <w:rFonts w:ascii="Arial" w:eastAsia="Arial" w:hAnsi="Arial" w:cs="Arial"/>
          <w:b/>
          <w:bCs/>
          <w:color w:val="000000" w:themeColor="text1"/>
          <w:lang w:val="en-US"/>
        </w:rPr>
        <w:t>Impact of individual SOFA scores on the relationship between hyperbilirubinemia and 30-day mortality</w:t>
      </w:r>
      <w:r w:rsidRPr="117B6F39">
        <w:rPr>
          <w:rFonts w:ascii="Arial" w:eastAsia="Arial" w:hAnsi="Arial" w:cs="Arial"/>
          <w:color w:val="000000" w:themeColor="text1"/>
          <w:lang w:val="en-US"/>
        </w:rPr>
        <w:t>. 30-day mortality was predicted by means of logistic regression using B-splines for modelling bilirubin levels. If available, continuous variables were chosen above dichotomous ones for superior curve-fitting. The dashed lines depict the cut-off values for the SOFA liver score ranging from 0 (&lt; 20 µ</w:t>
      </w:r>
      <w:proofErr w:type="spellStart"/>
      <w:r w:rsidRPr="117B6F39">
        <w:rPr>
          <w:rFonts w:ascii="Arial" w:eastAsia="Arial" w:hAnsi="Arial" w:cs="Arial"/>
          <w:color w:val="000000" w:themeColor="text1"/>
          <w:lang w:val="en-US"/>
        </w:rPr>
        <w:t>mol</w:t>
      </w:r>
      <w:proofErr w:type="spellEnd"/>
      <w:r w:rsidRPr="117B6F39">
        <w:rPr>
          <w:rFonts w:ascii="Arial" w:eastAsia="Arial" w:hAnsi="Arial" w:cs="Arial"/>
          <w:color w:val="000000" w:themeColor="text1"/>
          <w:lang w:val="en-US"/>
        </w:rPr>
        <w:t>/L), 1 (= 20–32 µ</w:t>
      </w:r>
      <w:proofErr w:type="spellStart"/>
      <w:r w:rsidRPr="117B6F39">
        <w:rPr>
          <w:rFonts w:ascii="Arial" w:eastAsia="Arial" w:hAnsi="Arial" w:cs="Arial"/>
          <w:color w:val="000000" w:themeColor="text1"/>
          <w:lang w:val="en-US"/>
        </w:rPr>
        <w:t>mol</w:t>
      </w:r>
      <w:proofErr w:type="spellEnd"/>
      <w:r w:rsidRPr="117B6F39">
        <w:rPr>
          <w:rFonts w:ascii="Arial" w:eastAsia="Arial" w:hAnsi="Arial" w:cs="Arial"/>
          <w:color w:val="000000" w:themeColor="text1"/>
          <w:lang w:val="en-US"/>
        </w:rPr>
        <w:t>/L), 2 (= 33–101 µ</w:t>
      </w:r>
      <w:proofErr w:type="spellStart"/>
      <w:r w:rsidRPr="117B6F39">
        <w:rPr>
          <w:rFonts w:ascii="Arial" w:eastAsia="Arial" w:hAnsi="Arial" w:cs="Arial"/>
          <w:color w:val="000000" w:themeColor="text1"/>
          <w:lang w:val="en-US"/>
        </w:rPr>
        <w:t>mol</w:t>
      </w:r>
      <w:proofErr w:type="spellEnd"/>
      <w:r w:rsidRPr="117B6F39">
        <w:rPr>
          <w:rFonts w:ascii="Arial" w:eastAsia="Arial" w:hAnsi="Arial" w:cs="Arial"/>
          <w:color w:val="000000" w:themeColor="text1"/>
          <w:lang w:val="en-US"/>
        </w:rPr>
        <w:t>/L), 3 (= 102–203 µ</w:t>
      </w:r>
      <w:proofErr w:type="spellStart"/>
      <w:r w:rsidRPr="117B6F39">
        <w:rPr>
          <w:rFonts w:ascii="Arial" w:eastAsia="Arial" w:hAnsi="Arial" w:cs="Arial"/>
          <w:color w:val="000000" w:themeColor="text1"/>
          <w:lang w:val="en-US"/>
        </w:rPr>
        <w:t>mol</w:t>
      </w:r>
      <w:proofErr w:type="spellEnd"/>
      <w:r w:rsidRPr="117B6F39">
        <w:rPr>
          <w:rFonts w:ascii="Arial" w:eastAsia="Arial" w:hAnsi="Arial" w:cs="Arial"/>
          <w:color w:val="000000" w:themeColor="text1"/>
          <w:lang w:val="en-US"/>
        </w:rPr>
        <w:t>/L) to 4 (≥ 204 µ</w:t>
      </w:r>
      <w:proofErr w:type="spellStart"/>
      <w:r w:rsidRPr="117B6F39">
        <w:rPr>
          <w:rFonts w:ascii="Arial" w:eastAsia="Arial" w:hAnsi="Arial" w:cs="Arial"/>
          <w:color w:val="000000" w:themeColor="text1"/>
          <w:lang w:val="en-US"/>
        </w:rPr>
        <w:t>mol</w:t>
      </w:r>
      <w:proofErr w:type="spellEnd"/>
      <w:r w:rsidRPr="117B6F39">
        <w:rPr>
          <w:rFonts w:ascii="Arial" w:eastAsia="Arial" w:hAnsi="Arial" w:cs="Arial"/>
          <w:color w:val="000000" w:themeColor="text1"/>
          <w:lang w:val="en-US"/>
        </w:rPr>
        <w:t xml:space="preserve">/L). </w:t>
      </w:r>
      <w:r w:rsidRPr="117B6F39">
        <w:rPr>
          <w:rFonts w:ascii="Arial" w:eastAsia="Arial" w:hAnsi="Arial" w:cs="Arial"/>
          <w:b/>
          <w:bCs/>
          <w:color w:val="000000" w:themeColor="text1"/>
          <w:lang w:val="en-US"/>
        </w:rPr>
        <w:t>A</w:t>
      </w:r>
      <w:r w:rsidRPr="117B6F39">
        <w:rPr>
          <w:rFonts w:ascii="Arial" w:eastAsia="Arial" w:hAnsi="Arial" w:cs="Arial"/>
          <w:color w:val="000000" w:themeColor="text1"/>
          <w:lang w:val="en-US"/>
        </w:rPr>
        <w:t xml:space="preserve">: SOFA coagulation score. </w:t>
      </w:r>
      <w:r w:rsidRPr="117B6F39">
        <w:rPr>
          <w:rFonts w:ascii="Arial" w:eastAsia="Arial" w:hAnsi="Arial" w:cs="Arial"/>
          <w:b/>
          <w:bCs/>
          <w:color w:val="000000" w:themeColor="text1"/>
          <w:lang w:val="en-US"/>
        </w:rPr>
        <w:t>B</w:t>
      </w:r>
      <w:r w:rsidRPr="117B6F39">
        <w:rPr>
          <w:rFonts w:ascii="Arial" w:eastAsia="Arial" w:hAnsi="Arial" w:cs="Arial"/>
          <w:color w:val="000000" w:themeColor="text1"/>
          <w:lang w:val="en-US"/>
        </w:rPr>
        <w:t xml:space="preserve">: SOFA circulation score. SOFA circulation = 2 was excluded due to small number of patients. </w:t>
      </w:r>
      <w:r w:rsidRPr="117B6F39">
        <w:rPr>
          <w:rFonts w:ascii="Arial" w:eastAsia="Arial" w:hAnsi="Arial" w:cs="Arial"/>
          <w:b/>
          <w:bCs/>
          <w:color w:val="000000" w:themeColor="text1"/>
          <w:lang w:val="en-US"/>
        </w:rPr>
        <w:t>C</w:t>
      </w:r>
      <w:r w:rsidRPr="117B6F39">
        <w:rPr>
          <w:rFonts w:ascii="Arial" w:eastAsia="Arial" w:hAnsi="Arial" w:cs="Arial"/>
          <w:color w:val="000000" w:themeColor="text1"/>
          <w:lang w:val="en-US"/>
        </w:rPr>
        <w:t xml:space="preserve">: SOFA respiration score. </w:t>
      </w:r>
      <w:r w:rsidRPr="117B6F39">
        <w:rPr>
          <w:rFonts w:ascii="Arial" w:eastAsia="Arial" w:hAnsi="Arial" w:cs="Arial"/>
          <w:b/>
          <w:bCs/>
          <w:color w:val="000000" w:themeColor="text1"/>
          <w:lang w:val="en-US"/>
        </w:rPr>
        <w:t>D</w:t>
      </w:r>
      <w:r w:rsidRPr="117B6F39">
        <w:rPr>
          <w:rFonts w:ascii="Arial" w:eastAsia="Arial" w:hAnsi="Arial" w:cs="Arial"/>
          <w:color w:val="000000" w:themeColor="text1"/>
          <w:lang w:val="en-US"/>
        </w:rPr>
        <w:t xml:space="preserve">: SOFA renal score. </w:t>
      </w:r>
    </w:p>
    <w:p w14:paraId="7E251241" w14:textId="3907E9FC" w:rsidR="117B6F39" w:rsidRDefault="117B6F39" w:rsidP="117B6F39">
      <w:pPr>
        <w:pStyle w:val="NoSpacing"/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</w:p>
    <w:sectPr w:rsidR="117B6F3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F3C54" w14:textId="77777777" w:rsidR="009478F2" w:rsidRDefault="009478F2">
      <w:pPr>
        <w:spacing w:after="0" w:line="240" w:lineRule="auto"/>
      </w:pPr>
      <w:r>
        <w:separator/>
      </w:r>
    </w:p>
  </w:endnote>
  <w:endnote w:type="continuationSeparator" w:id="0">
    <w:p w14:paraId="6E9A61D6" w14:textId="77777777" w:rsidR="009478F2" w:rsidRDefault="0094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A75AF0" w14:paraId="58FEDAA3" w14:textId="77777777" w:rsidTr="6BA75AF0">
      <w:tc>
        <w:tcPr>
          <w:tcW w:w="3005" w:type="dxa"/>
        </w:tcPr>
        <w:p w14:paraId="45107517" w14:textId="4F2A16A5" w:rsidR="6BA75AF0" w:rsidRDefault="6BA75AF0" w:rsidP="6BA75AF0">
          <w:pPr>
            <w:pStyle w:val="Header"/>
            <w:ind w:left="-115"/>
          </w:pPr>
        </w:p>
      </w:tc>
      <w:tc>
        <w:tcPr>
          <w:tcW w:w="3005" w:type="dxa"/>
        </w:tcPr>
        <w:p w14:paraId="0858FD52" w14:textId="221C448B" w:rsidR="6BA75AF0" w:rsidRDefault="6BA75AF0" w:rsidP="6BA75AF0">
          <w:pPr>
            <w:pStyle w:val="Header"/>
            <w:jc w:val="center"/>
          </w:pPr>
        </w:p>
      </w:tc>
      <w:tc>
        <w:tcPr>
          <w:tcW w:w="3005" w:type="dxa"/>
        </w:tcPr>
        <w:p w14:paraId="5365E477" w14:textId="48A563A4" w:rsidR="6BA75AF0" w:rsidRDefault="6BA75AF0" w:rsidP="6BA75AF0">
          <w:pPr>
            <w:pStyle w:val="Header"/>
            <w:ind w:right="-115"/>
            <w:jc w:val="right"/>
          </w:pPr>
        </w:p>
      </w:tc>
    </w:tr>
  </w:tbl>
  <w:p w14:paraId="215488E3" w14:textId="131E3856" w:rsidR="6BA75AF0" w:rsidRDefault="6BA75AF0" w:rsidP="6BA75A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6770F" w14:textId="77777777" w:rsidR="009478F2" w:rsidRDefault="009478F2">
      <w:pPr>
        <w:spacing w:after="0" w:line="240" w:lineRule="auto"/>
      </w:pPr>
      <w:r>
        <w:separator/>
      </w:r>
    </w:p>
  </w:footnote>
  <w:footnote w:type="continuationSeparator" w:id="0">
    <w:p w14:paraId="623D0E2D" w14:textId="77777777" w:rsidR="009478F2" w:rsidRDefault="0094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A75AF0" w14:paraId="74116A04" w14:textId="77777777" w:rsidTr="6BA75AF0">
      <w:tc>
        <w:tcPr>
          <w:tcW w:w="3005" w:type="dxa"/>
        </w:tcPr>
        <w:p w14:paraId="4954E902" w14:textId="7A84388F" w:rsidR="6BA75AF0" w:rsidRDefault="6BA75AF0" w:rsidP="6BA75AF0">
          <w:pPr>
            <w:pStyle w:val="Header"/>
            <w:ind w:left="-115"/>
          </w:pPr>
        </w:p>
      </w:tc>
      <w:tc>
        <w:tcPr>
          <w:tcW w:w="3005" w:type="dxa"/>
        </w:tcPr>
        <w:p w14:paraId="351ABCD4" w14:textId="1874DA17" w:rsidR="6BA75AF0" w:rsidRDefault="6BA75AF0" w:rsidP="6BA75AF0">
          <w:pPr>
            <w:pStyle w:val="Header"/>
            <w:jc w:val="center"/>
          </w:pPr>
        </w:p>
      </w:tc>
      <w:tc>
        <w:tcPr>
          <w:tcW w:w="3005" w:type="dxa"/>
        </w:tcPr>
        <w:p w14:paraId="489790AF" w14:textId="3AB07DEB" w:rsidR="6BA75AF0" w:rsidRDefault="6BA75AF0" w:rsidP="6BA75AF0">
          <w:pPr>
            <w:pStyle w:val="Header"/>
            <w:ind w:right="-115"/>
            <w:jc w:val="right"/>
          </w:pPr>
        </w:p>
      </w:tc>
    </w:tr>
  </w:tbl>
  <w:p w14:paraId="5826B369" w14:textId="1F031B24" w:rsidR="6BA75AF0" w:rsidRDefault="6BA75AF0" w:rsidP="6BA75A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1629F"/>
    <w:multiLevelType w:val="hybridMultilevel"/>
    <w:tmpl w:val="684228FA"/>
    <w:lvl w:ilvl="0" w:tplc="7E40C7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E86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CD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21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6C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E0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3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68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2F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278C1A"/>
    <w:rsid w:val="001B7AB7"/>
    <w:rsid w:val="00233A66"/>
    <w:rsid w:val="00274FFF"/>
    <w:rsid w:val="0028260C"/>
    <w:rsid w:val="002E1621"/>
    <w:rsid w:val="003A6014"/>
    <w:rsid w:val="006C7A7B"/>
    <w:rsid w:val="006D00B0"/>
    <w:rsid w:val="006E101F"/>
    <w:rsid w:val="00795CEC"/>
    <w:rsid w:val="0080226D"/>
    <w:rsid w:val="00880AD3"/>
    <w:rsid w:val="009478F2"/>
    <w:rsid w:val="009851E5"/>
    <w:rsid w:val="00BD1F47"/>
    <w:rsid w:val="00C011F8"/>
    <w:rsid w:val="00C56AFB"/>
    <w:rsid w:val="00CD34FA"/>
    <w:rsid w:val="00F77EB1"/>
    <w:rsid w:val="051AD22E"/>
    <w:rsid w:val="117B6F39"/>
    <w:rsid w:val="1498213E"/>
    <w:rsid w:val="1D7347BA"/>
    <w:rsid w:val="1F5D2FDD"/>
    <w:rsid w:val="24503919"/>
    <w:rsid w:val="3460F421"/>
    <w:rsid w:val="38BEC0E8"/>
    <w:rsid w:val="3A278C1A"/>
    <w:rsid w:val="3BC1F6B6"/>
    <w:rsid w:val="4554B638"/>
    <w:rsid w:val="57021844"/>
    <w:rsid w:val="58B8B335"/>
    <w:rsid w:val="6BA75AF0"/>
    <w:rsid w:val="70193F00"/>
    <w:rsid w:val="782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EC0E8"/>
  <w15:chartTrackingRefBased/>
  <w15:docId w15:val="{9F296A98-AFE5-4213-9A74-29DF2E5D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Macintosh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Juschten</dc:creator>
  <cp:keywords/>
  <dc:description/>
  <cp:lastModifiedBy>Jenny Juschten</cp:lastModifiedBy>
  <cp:revision>2</cp:revision>
  <dcterms:created xsi:type="dcterms:W3CDTF">2021-06-06T10:09:00Z</dcterms:created>
  <dcterms:modified xsi:type="dcterms:W3CDTF">2021-06-06T10:09:00Z</dcterms:modified>
</cp:coreProperties>
</file>