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E5CAB1" w14:textId="77777777" w:rsidR="009430EA" w:rsidRPr="00735E82" w:rsidRDefault="009430EA" w:rsidP="009430EA">
      <w:pPr>
        <w:shd w:val="clear" w:color="auto" w:fill="FFFFFF"/>
        <w:spacing w:line="480" w:lineRule="auto"/>
        <w:rPr>
          <w:rFonts w:ascii="Arial" w:hAnsi="Arial" w:cs="Arial"/>
          <w:b/>
          <w:bCs/>
          <w:color w:val="000000"/>
        </w:rPr>
      </w:pPr>
      <w:r w:rsidRPr="00735E82">
        <w:rPr>
          <w:rFonts w:ascii="Arial" w:hAnsi="Arial" w:cs="Arial"/>
          <w:b/>
          <w:bCs/>
          <w:color w:val="000000"/>
        </w:rPr>
        <w:t xml:space="preserve">A 29-mRNA Host Response Whole-Blood Signature Improves Prediction of 28-day Mortality </w:t>
      </w:r>
      <w:r>
        <w:rPr>
          <w:rFonts w:ascii="Arial" w:hAnsi="Arial" w:cs="Arial"/>
          <w:b/>
          <w:bCs/>
          <w:color w:val="000000"/>
        </w:rPr>
        <w:t xml:space="preserve">and 7-day ICU-care </w:t>
      </w:r>
      <w:r w:rsidRPr="00735E82">
        <w:rPr>
          <w:rFonts w:ascii="Arial" w:hAnsi="Arial" w:cs="Arial"/>
          <w:b/>
          <w:bCs/>
          <w:color w:val="000000"/>
        </w:rPr>
        <w:t>in Adults Presenting to the Emergency Department With Suspected Acute Infection and/or Sepsis</w:t>
      </w:r>
    </w:p>
    <w:p w14:paraId="689DD76B" w14:textId="77777777" w:rsidR="009430EA" w:rsidRDefault="009430EA" w:rsidP="009430EA">
      <w:pPr>
        <w:spacing w:line="480" w:lineRule="auto"/>
        <w:rPr>
          <w:rFonts w:ascii="Arial" w:hAnsi="Arial" w:cs="Arial"/>
        </w:rPr>
      </w:pPr>
    </w:p>
    <w:p w14:paraId="0A5E0C1A" w14:textId="77777777" w:rsidR="009430EA" w:rsidRPr="00735E82" w:rsidRDefault="009430EA" w:rsidP="009430EA">
      <w:pPr>
        <w:spacing w:line="480" w:lineRule="auto"/>
        <w:rPr>
          <w:rFonts w:ascii="Arial" w:hAnsi="Arial" w:cs="Arial"/>
        </w:rPr>
      </w:pPr>
      <w:r w:rsidRPr="00735E82">
        <w:rPr>
          <w:rFonts w:ascii="Arial" w:hAnsi="Arial" w:cs="Arial"/>
          <w:b/>
          <w:bCs/>
        </w:rPr>
        <w:t>Running title:</w:t>
      </w:r>
      <w:r w:rsidRPr="00735E8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H</w:t>
      </w:r>
      <w:r w:rsidRPr="00735E82">
        <w:rPr>
          <w:rFonts w:ascii="Arial" w:hAnsi="Arial" w:cs="Arial"/>
        </w:rPr>
        <w:t xml:space="preserve">ost response mRNA signature for sepsis mortality </w:t>
      </w:r>
      <w:r>
        <w:rPr>
          <w:rFonts w:ascii="Arial" w:hAnsi="Arial" w:cs="Arial"/>
        </w:rPr>
        <w:t xml:space="preserve">and ICU-care </w:t>
      </w:r>
      <w:r w:rsidRPr="00735E82">
        <w:rPr>
          <w:rFonts w:ascii="Arial" w:hAnsi="Arial" w:cs="Arial"/>
        </w:rPr>
        <w:t>risk prediction</w:t>
      </w:r>
    </w:p>
    <w:p w14:paraId="5502E7F5" w14:textId="77777777" w:rsidR="009430EA" w:rsidRPr="00735E82" w:rsidRDefault="009430EA" w:rsidP="009430EA">
      <w:pPr>
        <w:spacing w:line="480" w:lineRule="auto"/>
        <w:rPr>
          <w:rFonts w:ascii="Arial" w:hAnsi="Arial" w:cs="Arial"/>
        </w:rPr>
      </w:pPr>
    </w:p>
    <w:p w14:paraId="6B8989C7" w14:textId="77777777" w:rsidR="009430EA" w:rsidRPr="00735E82" w:rsidRDefault="009430EA" w:rsidP="009430EA">
      <w:pPr>
        <w:shd w:val="clear" w:color="auto" w:fill="FFFFFF"/>
        <w:spacing w:line="480" w:lineRule="auto"/>
        <w:rPr>
          <w:rFonts w:ascii="Arial" w:hAnsi="Arial" w:cs="Arial"/>
          <w:b/>
          <w:bCs/>
          <w:color w:val="000000"/>
          <w:lang w:val="en-US"/>
        </w:rPr>
      </w:pPr>
      <w:r w:rsidRPr="00735E82">
        <w:rPr>
          <w:rFonts w:ascii="Arial" w:hAnsi="Arial" w:cs="Arial"/>
          <w:b/>
          <w:bCs/>
          <w:color w:val="000000"/>
        </w:rPr>
        <w:t>Antigone Kostaki</w:t>
      </w:r>
      <w:r w:rsidRPr="00735E82">
        <w:rPr>
          <w:rFonts w:ascii="Arial" w:hAnsi="Arial" w:cs="Arial"/>
          <w:b/>
          <w:bCs/>
          <w:color w:val="000000"/>
          <w:vertAlign w:val="superscript"/>
        </w:rPr>
        <w:t>1</w:t>
      </w:r>
      <w:r w:rsidRPr="00735E82">
        <w:rPr>
          <w:rFonts w:ascii="Arial" w:hAnsi="Arial" w:cs="Arial"/>
          <w:b/>
          <w:bCs/>
          <w:color w:val="000000"/>
        </w:rPr>
        <w:t>,</w:t>
      </w:r>
      <w:r w:rsidRPr="00735E82">
        <w:rPr>
          <w:rFonts w:ascii="Arial" w:hAnsi="Arial" w:cs="Arial"/>
          <w:b/>
          <w:bCs/>
          <w:color w:val="000000"/>
          <w:vertAlign w:val="superscript"/>
        </w:rPr>
        <w:t xml:space="preserve"> </w:t>
      </w:r>
      <w:r w:rsidRPr="00735E82">
        <w:rPr>
          <w:rFonts w:ascii="Arial" w:hAnsi="Arial" w:cs="Arial"/>
          <w:b/>
          <w:bCs/>
          <w:color w:val="000000"/>
        </w:rPr>
        <w:t>James W. Wacker</w:t>
      </w:r>
      <w:r w:rsidRPr="00735E82">
        <w:rPr>
          <w:rFonts w:ascii="Arial" w:hAnsi="Arial" w:cs="Arial"/>
          <w:b/>
          <w:bCs/>
          <w:color w:val="000000"/>
          <w:vertAlign w:val="superscript"/>
        </w:rPr>
        <w:t>2</w:t>
      </w:r>
      <w:r w:rsidRPr="00735E82">
        <w:rPr>
          <w:rFonts w:ascii="Arial" w:hAnsi="Arial" w:cs="Arial"/>
          <w:b/>
          <w:bCs/>
          <w:color w:val="000000"/>
        </w:rPr>
        <w:t>, Asimina Safarika</w:t>
      </w:r>
      <w:r w:rsidRPr="00735E82">
        <w:rPr>
          <w:rFonts w:ascii="Arial" w:hAnsi="Arial" w:cs="Arial"/>
          <w:b/>
          <w:bCs/>
          <w:color w:val="000000"/>
          <w:vertAlign w:val="superscript"/>
        </w:rPr>
        <w:t>1</w:t>
      </w:r>
      <w:r w:rsidRPr="00735E82">
        <w:rPr>
          <w:rFonts w:ascii="Arial" w:hAnsi="Arial" w:cs="Arial"/>
          <w:b/>
          <w:bCs/>
          <w:color w:val="000000"/>
        </w:rPr>
        <w:t>, Nicky Solomonidi</w:t>
      </w:r>
      <w:r w:rsidRPr="00735E82">
        <w:rPr>
          <w:rFonts w:ascii="Arial" w:hAnsi="Arial" w:cs="Arial"/>
          <w:b/>
          <w:bCs/>
          <w:color w:val="000000"/>
          <w:vertAlign w:val="superscript"/>
        </w:rPr>
        <w:t>1</w:t>
      </w:r>
      <w:r w:rsidRPr="00735E82">
        <w:rPr>
          <w:rFonts w:ascii="Arial" w:hAnsi="Arial" w:cs="Arial"/>
          <w:b/>
          <w:bCs/>
          <w:color w:val="000000"/>
        </w:rPr>
        <w:t>, Konstantinos Katsaros</w:t>
      </w:r>
      <w:r w:rsidRPr="00735E82">
        <w:rPr>
          <w:rFonts w:ascii="Arial" w:hAnsi="Arial" w:cs="Arial"/>
          <w:b/>
          <w:bCs/>
          <w:color w:val="000000"/>
          <w:vertAlign w:val="superscript"/>
        </w:rPr>
        <w:t>3</w:t>
      </w:r>
      <w:r w:rsidRPr="00735E82">
        <w:rPr>
          <w:rFonts w:ascii="Arial" w:hAnsi="Arial" w:cs="Arial"/>
          <w:b/>
          <w:bCs/>
          <w:color w:val="000000"/>
        </w:rPr>
        <w:t xml:space="preserve">, </w:t>
      </w:r>
      <w:r w:rsidRPr="00735E82">
        <w:rPr>
          <w:rFonts w:ascii="Arial" w:hAnsi="Arial" w:cs="Arial"/>
          <w:b/>
          <w:bCs/>
          <w:color w:val="000000"/>
          <w:lang w:val="en-US"/>
        </w:rPr>
        <w:t>George Giannikopoulos</w:t>
      </w:r>
      <w:r w:rsidRPr="00735E82">
        <w:rPr>
          <w:rFonts w:ascii="Arial" w:hAnsi="Arial" w:cs="Arial"/>
          <w:b/>
          <w:bCs/>
          <w:color w:val="000000"/>
          <w:vertAlign w:val="superscript"/>
          <w:lang w:val="en-US"/>
        </w:rPr>
        <w:t>4</w:t>
      </w:r>
      <w:r w:rsidRPr="00735E82">
        <w:rPr>
          <w:rFonts w:ascii="Arial" w:hAnsi="Arial" w:cs="Arial"/>
          <w:b/>
          <w:bCs/>
          <w:color w:val="000000"/>
          <w:lang w:val="en-US"/>
        </w:rPr>
        <w:t>, Ioannis M. Koutelidakis</w:t>
      </w:r>
      <w:r w:rsidRPr="00735E82">
        <w:rPr>
          <w:rFonts w:ascii="Arial" w:hAnsi="Arial" w:cs="Arial"/>
          <w:b/>
          <w:bCs/>
          <w:color w:val="000000"/>
          <w:vertAlign w:val="superscript"/>
          <w:lang w:val="en-US"/>
        </w:rPr>
        <w:t>5</w:t>
      </w:r>
      <w:r w:rsidRPr="00735E82">
        <w:rPr>
          <w:rFonts w:ascii="Arial" w:hAnsi="Arial" w:cs="Arial"/>
          <w:b/>
          <w:bCs/>
          <w:color w:val="000000"/>
          <w:lang w:val="en-US"/>
        </w:rPr>
        <w:t xml:space="preserve">, </w:t>
      </w:r>
    </w:p>
    <w:p w14:paraId="16778717" w14:textId="77777777" w:rsidR="009430EA" w:rsidRPr="00735E82" w:rsidRDefault="009430EA" w:rsidP="009430EA">
      <w:pPr>
        <w:shd w:val="clear" w:color="auto" w:fill="FFFFFF"/>
        <w:spacing w:line="480" w:lineRule="auto"/>
        <w:rPr>
          <w:rFonts w:ascii="Arial" w:hAnsi="Arial" w:cs="Arial"/>
          <w:b/>
          <w:bCs/>
          <w:color w:val="000000"/>
          <w:lang w:val="en-US"/>
        </w:rPr>
      </w:pPr>
      <w:r w:rsidRPr="00735E82">
        <w:rPr>
          <w:rFonts w:ascii="Arial" w:hAnsi="Arial" w:cs="Arial"/>
          <w:b/>
          <w:bCs/>
          <w:color w:val="000000"/>
          <w:lang w:val="en-US"/>
        </w:rPr>
        <w:t>Catherine A. Hogan</w:t>
      </w:r>
      <w:r w:rsidRPr="00735E82">
        <w:rPr>
          <w:rFonts w:ascii="Arial" w:hAnsi="Arial" w:cs="Arial"/>
          <w:b/>
          <w:bCs/>
          <w:color w:val="000000"/>
          <w:vertAlign w:val="superscript"/>
          <w:lang w:val="en-US"/>
        </w:rPr>
        <w:t>2</w:t>
      </w:r>
      <w:r w:rsidRPr="00735E82">
        <w:rPr>
          <w:rFonts w:ascii="Arial" w:hAnsi="Arial" w:cs="Arial"/>
          <w:b/>
          <w:bCs/>
          <w:color w:val="000000"/>
          <w:lang w:val="en-US"/>
        </w:rPr>
        <w:t>, Florian Uhle</w:t>
      </w:r>
      <w:r w:rsidRPr="00735E82">
        <w:rPr>
          <w:rFonts w:ascii="Arial" w:hAnsi="Arial" w:cs="Arial"/>
          <w:b/>
          <w:bCs/>
          <w:color w:val="000000"/>
          <w:vertAlign w:val="superscript"/>
          <w:lang w:val="en-US"/>
        </w:rPr>
        <w:t>2</w:t>
      </w:r>
      <w:r w:rsidRPr="00735E82">
        <w:rPr>
          <w:rFonts w:ascii="Arial" w:hAnsi="Arial" w:cs="Arial"/>
          <w:b/>
          <w:bCs/>
          <w:color w:val="000000"/>
          <w:lang w:val="en-US"/>
        </w:rPr>
        <w:t>, Oliver Liesenfeld</w:t>
      </w:r>
      <w:r w:rsidRPr="00735E82">
        <w:rPr>
          <w:rFonts w:ascii="Arial" w:hAnsi="Arial" w:cs="Arial"/>
          <w:b/>
          <w:bCs/>
          <w:color w:val="000000"/>
          <w:vertAlign w:val="superscript"/>
          <w:lang w:val="en-US"/>
        </w:rPr>
        <w:t>2</w:t>
      </w:r>
      <w:r w:rsidRPr="00735E82">
        <w:rPr>
          <w:rFonts w:ascii="Arial" w:hAnsi="Arial" w:cs="Arial"/>
          <w:b/>
          <w:bCs/>
          <w:color w:val="000000"/>
          <w:lang w:val="en-US"/>
        </w:rPr>
        <w:t>, Timothy E. Sweeney</w:t>
      </w:r>
      <w:r w:rsidRPr="00735E82">
        <w:rPr>
          <w:rFonts w:ascii="Arial" w:hAnsi="Arial" w:cs="Arial"/>
          <w:b/>
          <w:bCs/>
          <w:color w:val="000000"/>
          <w:vertAlign w:val="superscript"/>
          <w:lang w:val="en-US"/>
        </w:rPr>
        <w:t>2</w:t>
      </w:r>
      <w:r w:rsidRPr="00735E82">
        <w:rPr>
          <w:rFonts w:ascii="Arial" w:hAnsi="Arial" w:cs="Arial"/>
          <w:b/>
          <w:bCs/>
          <w:color w:val="000000"/>
          <w:lang w:val="en-US"/>
        </w:rPr>
        <w:t>,</w:t>
      </w:r>
    </w:p>
    <w:p w14:paraId="02863123" w14:textId="77777777" w:rsidR="009430EA" w:rsidRPr="00735E82" w:rsidRDefault="009430EA" w:rsidP="009430EA">
      <w:pPr>
        <w:shd w:val="clear" w:color="auto" w:fill="FFFFFF"/>
        <w:spacing w:line="480" w:lineRule="auto"/>
        <w:rPr>
          <w:rFonts w:ascii="Arial" w:hAnsi="Arial" w:cs="Arial"/>
          <w:b/>
          <w:bCs/>
          <w:i/>
          <w:iCs/>
          <w:color w:val="000000"/>
          <w:lang w:val="en-US"/>
        </w:rPr>
      </w:pPr>
      <w:r w:rsidRPr="00735E82">
        <w:rPr>
          <w:rFonts w:ascii="Arial" w:hAnsi="Arial" w:cs="Arial"/>
          <w:b/>
          <w:bCs/>
          <w:color w:val="000000"/>
          <w:lang w:val="en-US"/>
        </w:rPr>
        <w:t>Evangelos J. Giamarellos-Bourboulis</w:t>
      </w:r>
      <w:r w:rsidRPr="00735E82">
        <w:rPr>
          <w:rFonts w:ascii="Arial" w:hAnsi="Arial" w:cs="Arial"/>
          <w:b/>
          <w:bCs/>
          <w:color w:val="000000"/>
          <w:vertAlign w:val="superscript"/>
          <w:lang w:val="en-US"/>
        </w:rPr>
        <w:t>1</w:t>
      </w:r>
    </w:p>
    <w:p w14:paraId="7117AC88" w14:textId="77777777" w:rsidR="009430EA" w:rsidRPr="00735E82" w:rsidRDefault="009430EA" w:rsidP="009430EA">
      <w:pPr>
        <w:shd w:val="clear" w:color="auto" w:fill="FFFFFF"/>
        <w:spacing w:line="480" w:lineRule="auto"/>
        <w:rPr>
          <w:rFonts w:ascii="Arial" w:hAnsi="Arial" w:cs="Arial"/>
          <w:color w:val="000000"/>
          <w:lang w:val="en-US"/>
        </w:rPr>
      </w:pPr>
    </w:p>
    <w:p w14:paraId="3442CCAE" w14:textId="77777777" w:rsidR="009430EA" w:rsidRPr="00735E82" w:rsidRDefault="009430EA" w:rsidP="009430EA">
      <w:pPr>
        <w:shd w:val="clear" w:color="auto" w:fill="FFFFFF"/>
        <w:spacing w:line="480" w:lineRule="auto"/>
        <w:rPr>
          <w:rFonts w:ascii="Arial" w:hAnsi="Arial" w:cs="Arial"/>
          <w:color w:val="000000"/>
        </w:rPr>
      </w:pPr>
      <w:r w:rsidRPr="00735E82">
        <w:rPr>
          <w:rFonts w:ascii="Arial" w:hAnsi="Arial" w:cs="Arial"/>
          <w:color w:val="000000"/>
          <w:vertAlign w:val="superscript"/>
        </w:rPr>
        <w:t>1</w:t>
      </w:r>
      <w:r w:rsidRPr="00735E82">
        <w:rPr>
          <w:rFonts w:ascii="Arial" w:hAnsi="Arial" w:cs="Arial"/>
          <w:color w:val="000000"/>
        </w:rPr>
        <w:t>4th Department of Internal Medicine, National and Kapodistrian University of Athens, Medical School, Greece;</w:t>
      </w:r>
      <w:r w:rsidRPr="00735E82">
        <w:rPr>
          <w:rFonts w:ascii="Arial" w:hAnsi="Arial" w:cs="Arial"/>
          <w:color w:val="000000"/>
        </w:rPr>
        <w:br/>
      </w:r>
      <w:r w:rsidRPr="00735E82">
        <w:rPr>
          <w:rFonts w:ascii="Arial" w:hAnsi="Arial" w:cs="Arial"/>
          <w:color w:val="000000"/>
          <w:vertAlign w:val="superscript"/>
        </w:rPr>
        <w:t>2</w:t>
      </w:r>
      <w:r w:rsidRPr="00735E82">
        <w:rPr>
          <w:rFonts w:ascii="Arial" w:hAnsi="Arial" w:cs="Arial"/>
          <w:color w:val="000000"/>
        </w:rPr>
        <w:t>Inflammatix Inc., Burlingame, CA, United States;</w:t>
      </w:r>
    </w:p>
    <w:p w14:paraId="01B2EF94" w14:textId="77777777" w:rsidR="009430EA" w:rsidRPr="00735E82" w:rsidRDefault="009430EA" w:rsidP="009430EA">
      <w:pPr>
        <w:shd w:val="clear" w:color="auto" w:fill="FFFFFF"/>
        <w:spacing w:line="480" w:lineRule="auto"/>
        <w:rPr>
          <w:rFonts w:ascii="Arial" w:hAnsi="Arial" w:cs="Arial"/>
          <w:color w:val="000000"/>
        </w:rPr>
      </w:pPr>
      <w:r w:rsidRPr="00735E82">
        <w:rPr>
          <w:rFonts w:ascii="Arial" w:hAnsi="Arial" w:cs="Arial"/>
          <w:color w:val="000000"/>
          <w:vertAlign w:val="superscript"/>
        </w:rPr>
        <w:t>3</w:t>
      </w:r>
      <w:r w:rsidRPr="00735E82">
        <w:rPr>
          <w:rFonts w:ascii="Arial" w:hAnsi="Arial" w:cs="Arial"/>
          <w:color w:val="000000"/>
        </w:rPr>
        <w:t>Department of Surgery, Nafplion General Hospital, Greece;</w:t>
      </w:r>
    </w:p>
    <w:p w14:paraId="489DB55D" w14:textId="77777777" w:rsidR="009430EA" w:rsidRPr="00735E82" w:rsidRDefault="009430EA" w:rsidP="009430EA">
      <w:pPr>
        <w:shd w:val="clear" w:color="auto" w:fill="FFFFFF"/>
        <w:spacing w:line="480" w:lineRule="auto"/>
        <w:rPr>
          <w:rFonts w:ascii="Arial" w:hAnsi="Arial" w:cs="Arial"/>
          <w:color w:val="000000"/>
        </w:rPr>
      </w:pPr>
      <w:r w:rsidRPr="00735E82">
        <w:rPr>
          <w:rFonts w:ascii="Arial" w:hAnsi="Arial" w:cs="Arial"/>
          <w:color w:val="000000"/>
          <w:vertAlign w:val="superscript"/>
        </w:rPr>
        <w:t>4</w:t>
      </w:r>
      <w:r w:rsidRPr="00735E82">
        <w:rPr>
          <w:rFonts w:ascii="Arial" w:hAnsi="Arial" w:cs="Arial"/>
          <w:color w:val="000000"/>
        </w:rPr>
        <w:t>Department of Internal Medicine, Syros General Hospital, Greece;</w:t>
      </w:r>
    </w:p>
    <w:p w14:paraId="65439E41" w14:textId="77777777" w:rsidR="009430EA" w:rsidRPr="00735E82" w:rsidRDefault="009430EA" w:rsidP="009430EA">
      <w:pPr>
        <w:shd w:val="clear" w:color="auto" w:fill="FFFFFF"/>
        <w:spacing w:line="480" w:lineRule="auto"/>
        <w:rPr>
          <w:rFonts w:ascii="Arial" w:hAnsi="Arial" w:cs="Arial"/>
          <w:color w:val="000000"/>
        </w:rPr>
      </w:pPr>
      <w:r w:rsidRPr="00735E82">
        <w:rPr>
          <w:rFonts w:ascii="Arial" w:hAnsi="Arial" w:cs="Arial"/>
          <w:color w:val="000000"/>
          <w:vertAlign w:val="superscript"/>
        </w:rPr>
        <w:t>5</w:t>
      </w:r>
      <w:r w:rsidRPr="00735E82">
        <w:rPr>
          <w:rFonts w:ascii="Arial" w:hAnsi="Arial" w:cs="Arial"/>
          <w:color w:val="000000"/>
        </w:rPr>
        <w:t>2</w:t>
      </w:r>
      <w:r w:rsidRPr="00735E82">
        <w:rPr>
          <w:rFonts w:ascii="Arial" w:hAnsi="Arial" w:cs="Arial"/>
          <w:color w:val="000000"/>
          <w:vertAlign w:val="superscript"/>
        </w:rPr>
        <w:t>nd</w:t>
      </w:r>
      <w:r w:rsidRPr="00735E82">
        <w:rPr>
          <w:rFonts w:ascii="Arial" w:hAnsi="Arial" w:cs="Arial"/>
          <w:color w:val="000000"/>
        </w:rPr>
        <w:t xml:space="preserve"> Department of Surgery, Aristotle University of Thessaloniki, Greece</w:t>
      </w:r>
    </w:p>
    <w:p w14:paraId="07879182" w14:textId="77777777" w:rsidR="009430EA" w:rsidRDefault="009430EA" w:rsidP="009430EA">
      <w:pPr>
        <w:spacing w:line="480" w:lineRule="auto"/>
        <w:rPr>
          <w:rFonts w:ascii="Arial" w:hAnsi="Arial" w:cs="Arial"/>
          <w:b/>
          <w:bCs/>
          <w:color w:val="000000" w:themeColor="text1"/>
        </w:rPr>
      </w:pPr>
    </w:p>
    <w:p w14:paraId="1622BA6A" w14:textId="77777777" w:rsidR="009430EA" w:rsidRDefault="009430EA" w:rsidP="009430EA">
      <w:pPr>
        <w:spacing w:line="480" w:lineRule="auto"/>
        <w:rPr>
          <w:rFonts w:ascii="Arial" w:hAnsi="Arial" w:cs="Arial"/>
          <w:b/>
          <w:bCs/>
          <w:color w:val="000000" w:themeColor="text1"/>
        </w:rPr>
      </w:pPr>
    </w:p>
    <w:p w14:paraId="01755825" w14:textId="77777777" w:rsidR="009430EA" w:rsidRDefault="009430EA" w:rsidP="009430EA">
      <w:pPr>
        <w:spacing w:line="480" w:lineRule="auto"/>
        <w:rPr>
          <w:rFonts w:ascii="Arial" w:hAnsi="Arial" w:cs="Arial"/>
          <w:b/>
          <w:bCs/>
          <w:color w:val="000000" w:themeColor="text1"/>
        </w:rPr>
      </w:pPr>
    </w:p>
    <w:p w14:paraId="16DF12DF" w14:textId="77777777" w:rsidR="009430EA" w:rsidRDefault="009430EA" w:rsidP="009430EA">
      <w:pPr>
        <w:spacing w:line="480" w:lineRule="auto"/>
        <w:rPr>
          <w:rFonts w:ascii="Arial" w:hAnsi="Arial" w:cs="Arial"/>
          <w:b/>
          <w:bCs/>
          <w:color w:val="000000" w:themeColor="text1"/>
        </w:rPr>
      </w:pPr>
    </w:p>
    <w:p w14:paraId="69D001F8" w14:textId="77777777" w:rsidR="009430EA" w:rsidRDefault="009430EA" w:rsidP="009430EA">
      <w:pPr>
        <w:spacing w:line="480" w:lineRule="auto"/>
        <w:rPr>
          <w:rFonts w:ascii="Arial" w:hAnsi="Arial" w:cs="Arial"/>
          <w:b/>
          <w:bCs/>
          <w:color w:val="000000" w:themeColor="text1"/>
        </w:rPr>
      </w:pPr>
    </w:p>
    <w:p w14:paraId="4EB73D21" w14:textId="77777777" w:rsidR="009430EA" w:rsidRDefault="009430EA" w:rsidP="009430EA">
      <w:pPr>
        <w:spacing w:line="480" w:lineRule="auto"/>
        <w:rPr>
          <w:rFonts w:ascii="Arial" w:hAnsi="Arial" w:cs="Arial"/>
          <w:b/>
          <w:bCs/>
          <w:color w:val="000000" w:themeColor="text1"/>
        </w:rPr>
      </w:pPr>
    </w:p>
    <w:p w14:paraId="2F6DA684" w14:textId="77777777" w:rsidR="009430EA" w:rsidRDefault="009430EA" w:rsidP="009430EA">
      <w:pPr>
        <w:spacing w:line="480" w:lineRule="auto"/>
        <w:rPr>
          <w:rFonts w:ascii="Arial" w:hAnsi="Arial" w:cs="Arial"/>
          <w:b/>
          <w:bCs/>
          <w:color w:val="000000" w:themeColor="text1"/>
        </w:rPr>
      </w:pPr>
    </w:p>
    <w:p w14:paraId="5424835F" w14:textId="18898851" w:rsidR="009430EA" w:rsidRDefault="009430EA" w:rsidP="009430EA">
      <w:pPr>
        <w:spacing w:line="480" w:lineRule="auto"/>
        <w:rPr>
          <w:rFonts w:ascii="Arial" w:hAnsi="Arial" w:cs="Arial"/>
          <w:b/>
          <w:bCs/>
          <w:color w:val="000000" w:themeColor="text1"/>
        </w:rPr>
      </w:pPr>
      <w:r>
        <w:rPr>
          <w:noProof/>
        </w:rPr>
        <w:lastRenderedPageBreak/>
        <w:drawing>
          <wp:inline distT="0" distB="0" distL="0" distR="0" wp14:anchorId="6F3F4604" wp14:editId="419BF03C">
            <wp:extent cx="5759450" cy="4062095"/>
            <wp:effectExtent l="0" t="0" r="0" b="0"/>
            <wp:docPr id="1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062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A03F8A" w14:textId="6CC6F6F7" w:rsidR="009430EA" w:rsidRPr="00735E82" w:rsidRDefault="009430EA" w:rsidP="009430EA">
      <w:pPr>
        <w:spacing w:line="480" w:lineRule="auto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b/>
          <w:bCs/>
          <w:color w:val="000000" w:themeColor="text1"/>
        </w:rPr>
        <w:t>Supplementary F</w:t>
      </w:r>
      <w:r w:rsidRPr="00735E82">
        <w:rPr>
          <w:rFonts w:ascii="Arial" w:hAnsi="Arial" w:cs="Arial"/>
          <w:b/>
          <w:bCs/>
          <w:color w:val="000000" w:themeColor="text1"/>
        </w:rPr>
        <w:t xml:space="preserve">igure 1. </w:t>
      </w:r>
      <w:r w:rsidRPr="00735E82">
        <w:rPr>
          <w:rFonts w:ascii="Arial" w:hAnsi="Arial" w:cs="Arial"/>
          <w:color w:val="000000" w:themeColor="text1"/>
        </w:rPr>
        <w:t>Flowchart of the study</w:t>
      </w:r>
    </w:p>
    <w:p w14:paraId="5BB2868B" w14:textId="27FD46E3" w:rsidR="009430EA" w:rsidRDefault="009430EA" w:rsidP="009430EA">
      <w:pPr>
        <w:spacing w:line="480" w:lineRule="auto"/>
        <w:rPr>
          <w:rFonts w:ascii="Arial" w:hAnsi="Arial" w:cs="Arial"/>
          <w:color w:val="000000" w:themeColor="text1"/>
        </w:rPr>
      </w:pPr>
      <w:r w:rsidRPr="00735E82">
        <w:rPr>
          <w:rFonts w:ascii="Arial" w:hAnsi="Arial" w:cs="Arial"/>
          <w:color w:val="000000" w:themeColor="text1"/>
          <w:u w:val="single"/>
        </w:rPr>
        <w:t>Abbreviations</w:t>
      </w:r>
      <w:r w:rsidRPr="00735E82">
        <w:rPr>
          <w:rFonts w:ascii="Arial" w:hAnsi="Arial" w:cs="Arial"/>
          <w:color w:val="000000" w:themeColor="text1"/>
        </w:rPr>
        <w:t xml:space="preserve"> qSOFA: quick </w:t>
      </w:r>
      <w:r w:rsidRPr="00D71118">
        <w:rPr>
          <w:rFonts w:ascii="Arial" w:hAnsi="Arial" w:cs="Arial"/>
          <w:color w:val="000000" w:themeColor="text1"/>
        </w:rPr>
        <w:t xml:space="preserve">sequential organ failure assessment </w:t>
      </w:r>
      <w:r w:rsidRPr="00735E82">
        <w:rPr>
          <w:rFonts w:ascii="Arial" w:hAnsi="Arial" w:cs="Arial"/>
          <w:color w:val="000000" w:themeColor="text1"/>
        </w:rPr>
        <w:t>score; SOFA: sequential organ failure assessment</w:t>
      </w:r>
      <w:r>
        <w:rPr>
          <w:rFonts w:ascii="Arial" w:hAnsi="Arial" w:cs="Arial"/>
          <w:color w:val="000000" w:themeColor="text1"/>
        </w:rPr>
        <w:t xml:space="preserve"> score.</w:t>
      </w:r>
    </w:p>
    <w:p w14:paraId="3A952E55" w14:textId="081F51BE" w:rsidR="009430EA" w:rsidRDefault="009430EA" w:rsidP="009430EA">
      <w:pPr>
        <w:spacing w:line="480" w:lineRule="auto"/>
        <w:rPr>
          <w:rFonts w:ascii="Arial" w:hAnsi="Arial" w:cs="Arial"/>
          <w:color w:val="000000" w:themeColor="text1"/>
        </w:rPr>
      </w:pPr>
    </w:p>
    <w:p w14:paraId="348F97DA" w14:textId="03C15805" w:rsidR="009430EA" w:rsidRDefault="009430EA" w:rsidP="009430EA">
      <w:pPr>
        <w:spacing w:line="480" w:lineRule="auto"/>
        <w:rPr>
          <w:rFonts w:ascii="Arial" w:hAnsi="Arial" w:cs="Arial"/>
          <w:color w:val="000000" w:themeColor="text1"/>
        </w:rPr>
      </w:pPr>
    </w:p>
    <w:p w14:paraId="2B5A78C8" w14:textId="48D856A4" w:rsidR="009430EA" w:rsidRDefault="009430EA" w:rsidP="009430EA">
      <w:pPr>
        <w:spacing w:line="480" w:lineRule="auto"/>
        <w:rPr>
          <w:rFonts w:ascii="Arial" w:hAnsi="Arial" w:cs="Arial"/>
          <w:color w:val="000000" w:themeColor="text1"/>
        </w:rPr>
      </w:pPr>
    </w:p>
    <w:p w14:paraId="2E809E15" w14:textId="173D5091" w:rsidR="009430EA" w:rsidRDefault="009430EA" w:rsidP="009430EA">
      <w:pPr>
        <w:spacing w:line="480" w:lineRule="auto"/>
        <w:rPr>
          <w:rFonts w:ascii="Arial" w:hAnsi="Arial" w:cs="Arial"/>
          <w:color w:val="000000" w:themeColor="text1"/>
        </w:rPr>
      </w:pPr>
    </w:p>
    <w:p w14:paraId="26488259" w14:textId="46BD6899" w:rsidR="009430EA" w:rsidRDefault="009430EA" w:rsidP="009430EA">
      <w:pPr>
        <w:spacing w:line="480" w:lineRule="auto"/>
        <w:rPr>
          <w:rFonts w:ascii="Arial" w:hAnsi="Arial" w:cs="Arial"/>
          <w:color w:val="000000" w:themeColor="text1"/>
        </w:rPr>
      </w:pPr>
    </w:p>
    <w:p w14:paraId="6B628E5F" w14:textId="3EFCB5B8" w:rsidR="009430EA" w:rsidRDefault="009430EA" w:rsidP="009430EA">
      <w:pPr>
        <w:spacing w:line="480" w:lineRule="auto"/>
        <w:rPr>
          <w:rFonts w:ascii="Arial" w:hAnsi="Arial" w:cs="Arial"/>
          <w:color w:val="000000" w:themeColor="text1"/>
        </w:rPr>
      </w:pPr>
    </w:p>
    <w:p w14:paraId="7FD41A33" w14:textId="06FE05E0" w:rsidR="009430EA" w:rsidRDefault="009430EA" w:rsidP="009430EA">
      <w:pPr>
        <w:spacing w:line="480" w:lineRule="auto"/>
        <w:rPr>
          <w:rFonts w:ascii="Arial" w:hAnsi="Arial" w:cs="Arial"/>
          <w:color w:val="000000" w:themeColor="text1"/>
        </w:rPr>
      </w:pPr>
    </w:p>
    <w:p w14:paraId="5A3412DA" w14:textId="1AC4230B" w:rsidR="009430EA" w:rsidRDefault="009430EA" w:rsidP="009430EA">
      <w:pPr>
        <w:spacing w:line="480" w:lineRule="auto"/>
        <w:rPr>
          <w:rFonts w:ascii="Arial" w:hAnsi="Arial" w:cs="Arial"/>
          <w:color w:val="000000" w:themeColor="text1"/>
        </w:rPr>
      </w:pPr>
    </w:p>
    <w:p w14:paraId="71811B69" w14:textId="010570C0" w:rsidR="009430EA" w:rsidRDefault="009430EA" w:rsidP="009430EA">
      <w:pPr>
        <w:spacing w:line="480" w:lineRule="auto"/>
        <w:rPr>
          <w:rFonts w:ascii="Arial" w:hAnsi="Arial" w:cs="Arial"/>
          <w:color w:val="000000" w:themeColor="text1"/>
        </w:rPr>
      </w:pPr>
    </w:p>
    <w:p w14:paraId="48C334EA" w14:textId="03D1D393" w:rsidR="009430EA" w:rsidRDefault="009430EA" w:rsidP="009430EA">
      <w:pPr>
        <w:spacing w:line="480" w:lineRule="auto"/>
        <w:rPr>
          <w:rFonts w:ascii="Arial" w:hAnsi="Arial" w:cs="Arial"/>
          <w:color w:val="000000" w:themeColor="text1"/>
        </w:rPr>
      </w:pPr>
    </w:p>
    <w:p w14:paraId="5EA07DCE" w14:textId="20B54404" w:rsidR="009430EA" w:rsidRDefault="009430EA" w:rsidP="009430EA">
      <w:pPr>
        <w:spacing w:line="480" w:lineRule="auto"/>
        <w:jc w:val="center"/>
        <w:rPr>
          <w:rFonts w:ascii="Arial" w:hAnsi="Arial" w:cs="Arial"/>
          <w:b/>
          <w:bCs/>
        </w:rPr>
      </w:pPr>
      <w:r>
        <w:rPr>
          <w:noProof/>
        </w:rPr>
        <w:lastRenderedPageBreak/>
        <w:drawing>
          <wp:inline distT="0" distB="0" distL="0" distR="0" wp14:anchorId="64FF00A1" wp14:editId="6A30A261">
            <wp:extent cx="6249177" cy="5311140"/>
            <wp:effectExtent l="0" t="0" r="0" b="3810"/>
            <wp:docPr id="3" name="Graphic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3443" cy="5314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247173" w14:textId="67D18B23" w:rsidR="009430EA" w:rsidRDefault="009430EA" w:rsidP="009430EA">
      <w:pPr>
        <w:spacing w:line="48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 xml:space="preserve">Supplementary Figure </w:t>
      </w:r>
      <w:r w:rsidR="00F1201E">
        <w:rPr>
          <w:rFonts w:ascii="Arial" w:hAnsi="Arial" w:cs="Arial"/>
          <w:b/>
          <w:bCs/>
        </w:rPr>
        <w:t>2</w:t>
      </w:r>
      <w:r>
        <w:rPr>
          <w:rFonts w:ascii="Arial" w:hAnsi="Arial" w:cs="Arial"/>
          <w:b/>
          <w:bCs/>
        </w:rPr>
        <w:t xml:space="preserve">: </w:t>
      </w:r>
      <w:r>
        <w:rPr>
          <w:rFonts w:ascii="Arial" w:hAnsi="Arial" w:cs="Arial"/>
        </w:rPr>
        <w:t>Performance of IMX-SEV-2 and other biomarkers and scores for predicting 28-day mortality. (A) Receiver operating characteristic (ROC) curve of the IMX-SEV-2 severity score for classification of patients with 28-day mortality. (B) Area under the receiver operating characteristic curve (AUROC) for 28-day mortality for the IMX-SEV-2 severity score compared to other biomarkers including lactate, procalcitonin and clinical scores qSOFA and SOFA.</w:t>
      </w:r>
    </w:p>
    <w:p w14:paraId="14272B36" w14:textId="2EAB49D4" w:rsidR="009430EA" w:rsidRDefault="009430EA" w:rsidP="009430EA">
      <w:pPr>
        <w:spacing w:line="480" w:lineRule="auto"/>
      </w:pPr>
      <w:r>
        <w:rPr>
          <w:rFonts w:ascii="Arial" w:hAnsi="Arial" w:cs="Arial"/>
          <w:color w:val="000000" w:themeColor="text1"/>
          <w:u w:val="single"/>
        </w:rPr>
        <w:t>Abbreviations</w:t>
      </w:r>
      <w:r>
        <w:rPr>
          <w:rFonts w:ascii="Arial" w:hAnsi="Arial" w:cs="Arial"/>
          <w:color w:val="000000" w:themeColor="text1"/>
        </w:rPr>
        <w:t xml:space="preserve"> AUC: area under the receiver operating characteristic curve, CI: confidence interval; NA: not applicable; PCT: procalcitonin; qSOFA: quick sequential organ failure assessment.</w:t>
      </w:r>
    </w:p>
    <w:p w14:paraId="5D36CA3F" w14:textId="777C1001" w:rsidR="009430EA" w:rsidRDefault="009430EA"/>
    <w:p w14:paraId="6D7EF238" w14:textId="39F29660" w:rsidR="005C461A" w:rsidRDefault="005C461A">
      <w:r>
        <w:rPr>
          <w:noProof/>
        </w:rPr>
        <w:lastRenderedPageBreak/>
        <w:drawing>
          <wp:inline distT="0" distB="0" distL="0" distR="0" wp14:anchorId="259D3C6D" wp14:editId="7A2CBE12">
            <wp:extent cx="5759450" cy="3397250"/>
            <wp:effectExtent l="0" t="0" r="0" b="0"/>
            <wp:docPr id="4" name="Picture 4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ab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39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CB726E" w14:textId="68F71414" w:rsidR="005C461A" w:rsidRDefault="005C461A" w:rsidP="005C461A">
      <w:pPr>
        <w:spacing w:line="480" w:lineRule="auto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b/>
          <w:bCs/>
          <w:color w:val="000000" w:themeColor="text1"/>
        </w:rPr>
        <w:t xml:space="preserve">Supplementary </w:t>
      </w:r>
      <w:r w:rsidRPr="00735E82">
        <w:rPr>
          <w:rFonts w:ascii="Arial" w:hAnsi="Arial" w:cs="Arial"/>
          <w:b/>
          <w:bCs/>
          <w:color w:val="000000" w:themeColor="text1"/>
        </w:rPr>
        <w:t xml:space="preserve">Figure </w:t>
      </w:r>
      <w:r>
        <w:rPr>
          <w:rFonts w:ascii="Arial" w:hAnsi="Arial" w:cs="Arial"/>
          <w:b/>
          <w:bCs/>
          <w:color w:val="000000" w:themeColor="text1"/>
        </w:rPr>
        <w:t>3</w:t>
      </w:r>
      <w:r w:rsidRPr="00735E82">
        <w:rPr>
          <w:rFonts w:ascii="Arial" w:hAnsi="Arial" w:cs="Arial"/>
          <w:b/>
          <w:bCs/>
          <w:color w:val="000000" w:themeColor="text1"/>
        </w:rPr>
        <w:t>.</w:t>
      </w:r>
      <w:r w:rsidRPr="00735E82">
        <w:rPr>
          <w:rFonts w:ascii="Arial" w:hAnsi="Arial" w:cs="Arial"/>
          <w:color w:val="000000" w:themeColor="text1"/>
        </w:rPr>
        <w:t xml:space="preserve"> </w:t>
      </w:r>
      <w:r w:rsidRPr="00735E82">
        <w:rPr>
          <w:rFonts w:ascii="Arial" w:hAnsi="Arial" w:cs="Arial"/>
          <w:b/>
          <w:bCs/>
        </w:rPr>
        <w:t xml:space="preserve"> </w:t>
      </w:r>
      <w:r w:rsidRPr="00735E82">
        <w:rPr>
          <w:rFonts w:ascii="Arial" w:hAnsi="Arial" w:cs="Arial"/>
          <w:color w:val="000000" w:themeColor="text1"/>
        </w:rPr>
        <w:t xml:space="preserve"> </w:t>
      </w:r>
      <w:r>
        <w:rPr>
          <w:rFonts w:ascii="Arial" w:hAnsi="Arial" w:cs="Arial"/>
          <w:color w:val="000000" w:themeColor="text1"/>
        </w:rPr>
        <w:t xml:space="preserve">Overall accuracy depicted as percent patients in band, likelihood ratio, sensitivity and pecificity of outer IMX-SEV-2 interpretation bands (A) and high (&gt; 4 mmol/L) and low (&lt;2 mmol/L) lactate concentrations (B) to predict ICU care within 7 days. </w:t>
      </w:r>
    </w:p>
    <w:p w14:paraId="59CB1402" w14:textId="77777777" w:rsidR="005C461A" w:rsidRDefault="005C461A"/>
    <w:sectPr w:rsidR="005C461A" w:rsidSect="009430EA"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30EA"/>
    <w:rsid w:val="00197017"/>
    <w:rsid w:val="005C461A"/>
    <w:rsid w:val="009430EA"/>
    <w:rsid w:val="00AF0666"/>
    <w:rsid w:val="00F120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611121"/>
  <w15:chartTrackingRefBased/>
  <w15:docId w15:val="{EB42307D-EFF7-40FC-9451-7B9B37B1A3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430E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CA"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9784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3" Type="http://schemas.openxmlformats.org/officeDocument/2006/relationships/webSettings" Target="webSettings.xml"/><Relationship Id="rId7" Type="http://schemas.openxmlformats.org/officeDocument/2006/relationships/image" Target="media/image4.sv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sv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319</Words>
  <Characters>1724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Evangelos Giamarellos</dc:creator>
  <cp:keywords/>
  <dc:description/>
  <cp:lastModifiedBy>Evangelos Giamarellos</cp:lastModifiedBy>
  <cp:revision>2</cp:revision>
  <dcterms:created xsi:type="dcterms:W3CDTF">2022-07-05T04:39:00Z</dcterms:created>
  <dcterms:modified xsi:type="dcterms:W3CDTF">2022-07-05T07:19:00Z</dcterms:modified>
</cp:coreProperties>
</file>