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C792" w14:textId="2E8D9D9B" w:rsidR="005038BF" w:rsidRPr="004E3B1A" w:rsidRDefault="005A130F" w:rsidP="004E3B1A">
      <w:pPr>
        <w:rPr>
          <w:sz w:val="40"/>
          <w:szCs w:val="40"/>
        </w:rPr>
      </w:pPr>
      <w:r>
        <w:rPr>
          <w:sz w:val="40"/>
          <w:szCs w:val="40"/>
        </w:rPr>
        <w:t>Appendix</w:t>
      </w:r>
    </w:p>
    <w:p w14:paraId="6AB13935" w14:textId="48A09362" w:rsidR="00943506" w:rsidRPr="00943506" w:rsidRDefault="004E3B1A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r w:rsidRPr="00943506">
        <w:rPr>
          <w:sz w:val="20"/>
          <w:szCs w:val="20"/>
        </w:rPr>
        <w:fldChar w:fldCharType="begin"/>
      </w:r>
      <w:r w:rsidRPr="00943506">
        <w:rPr>
          <w:sz w:val="20"/>
          <w:szCs w:val="20"/>
        </w:rPr>
        <w:instrText xml:space="preserve"> TOC \o "1-3" \h \z \u </w:instrText>
      </w:r>
      <w:r w:rsidRPr="00943506">
        <w:rPr>
          <w:sz w:val="20"/>
          <w:szCs w:val="20"/>
        </w:rPr>
        <w:fldChar w:fldCharType="separate"/>
      </w:r>
      <w:hyperlink w:anchor="_Toc109046459" w:history="1">
        <w:r w:rsidR="00943506" w:rsidRPr="00943506">
          <w:rPr>
            <w:rStyle w:val="Hyperkobling"/>
            <w:noProof/>
            <w:sz w:val="20"/>
            <w:szCs w:val="20"/>
          </w:rPr>
          <w:t>Supplementary table 1. Inclusion criteria for Medical and Sepsis Rapid Response Teams in the Emergency Department at Oslo University Hospital.</w:t>
        </w:r>
        <w:r w:rsidR="00943506" w:rsidRPr="00943506">
          <w:rPr>
            <w:noProof/>
            <w:webHidden/>
            <w:sz w:val="20"/>
            <w:szCs w:val="20"/>
          </w:rPr>
          <w:tab/>
        </w:r>
        <w:r w:rsidR="00943506" w:rsidRPr="00943506">
          <w:rPr>
            <w:noProof/>
            <w:webHidden/>
            <w:sz w:val="20"/>
            <w:szCs w:val="20"/>
          </w:rPr>
          <w:fldChar w:fldCharType="begin"/>
        </w:r>
        <w:r w:rsidR="00943506" w:rsidRPr="00943506">
          <w:rPr>
            <w:noProof/>
            <w:webHidden/>
            <w:sz w:val="20"/>
            <w:szCs w:val="20"/>
          </w:rPr>
          <w:instrText xml:space="preserve"> PAGEREF _Toc109046459 \h </w:instrText>
        </w:r>
        <w:r w:rsidR="00943506" w:rsidRPr="00943506">
          <w:rPr>
            <w:noProof/>
            <w:webHidden/>
            <w:sz w:val="20"/>
            <w:szCs w:val="20"/>
          </w:rPr>
        </w:r>
        <w:r w:rsidR="00943506" w:rsidRPr="00943506">
          <w:rPr>
            <w:noProof/>
            <w:webHidden/>
            <w:sz w:val="20"/>
            <w:szCs w:val="20"/>
          </w:rPr>
          <w:fldChar w:fldCharType="separate"/>
        </w:r>
        <w:r w:rsidR="00943506" w:rsidRPr="00943506">
          <w:rPr>
            <w:noProof/>
            <w:webHidden/>
            <w:sz w:val="20"/>
            <w:szCs w:val="20"/>
          </w:rPr>
          <w:t>2</w:t>
        </w:r>
        <w:r w:rsidR="00943506"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2BEC87AA" w14:textId="3BE3C950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0" w:history="1">
        <w:r w:rsidRPr="00943506">
          <w:rPr>
            <w:rStyle w:val="Hyperkobling"/>
            <w:noProof/>
            <w:sz w:val="20"/>
            <w:szCs w:val="20"/>
          </w:rPr>
          <w:t>Supplementary table 2. Collection tubes, instruments, reagents and calibrators used in the measuring of biomarkers CRP, Procalcitonin, Calprotectin and Interleukin 6.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_Toc109046460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3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2C1D3D55" w14:textId="133E3C74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1" w:history="1">
        <w:r w:rsidRPr="00943506">
          <w:rPr>
            <w:rStyle w:val="Hyperkobling"/>
            <w:noProof/>
            <w:sz w:val="20"/>
            <w:szCs w:val="20"/>
          </w:rPr>
          <w:t>Supplementary table 3. List of non-infectious diagnoses.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_Toc109046461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4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78C69EAC" w14:textId="65B4AE39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2" w:history="1">
        <w:r w:rsidRPr="00943506">
          <w:rPr>
            <w:rStyle w:val="Hyperkobling"/>
            <w:noProof/>
            <w:sz w:val="20"/>
            <w:szCs w:val="20"/>
          </w:rPr>
          <w:t>Supplementary table 4. Patient characteristics.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_Toc109046462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5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76C2208C" w14:textId="41F7BECB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3" w:history="1">
        <w:r w:rsidRPr="00943506">
          <w:rPr>
            <w:rStyle w:val="Hyperkobling"/>
            <w:noProof/>
            <w:sz w:val="20"/>
            <w:szCs w:val="20"/>
          </w:rPr>
          <w:t>Supplementary table 5. Biomarker and mortality association.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_Toc109046463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6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106782A3" w14:textId="5CB64D37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4" w:history="1">
        <w:r w:rsidRPr="00943506">
          <w:rPr>
            <w:rStyle w:val="Hyperkobling"/>
            <w:noProof/>
            <w:sz w:val="20"/>
            <w:szCs w:val="20"/>
          </w:rPr>
          <w:t>Supplementary table 6a. Biomarker AUCs stratified by qSOFA ≥ 2 and &lt; 2.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_Toc109046464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7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6E0B70B8" w14:textId="185CB940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5" w:history="1">
        <w:r w:rsidRPr="00943506">
          <w:rPr>
            <w:rStyle w:val="Hyperkobling"/>
            <w:noProof/>
            <w:sz w:val="20"/>
            <w:szCs w:val="20"/>
          </w:rPr>
          <w:t>Supplementary table 6b. Test abilities for combinations of CRP and IL-6 optimal cut-off values.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_Toc109046465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7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47F023F3" w14:textId="0CA4B894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6" w:history="1">
        <w:r w:rsidRPr="00943506">
          <w:rPr>
            <w:rStyle w:val="Hyperkobling"/>
            <w:noProof/>
            <w:sz w:val="20"/>
            <w:szCs w:val="20"/>
          </w:rPr>
          <w:t>Supplementary table 7. AUCs for the best re</w:t>
        </w:r>
        <w:r w:rsidRPr="00943506">
          <w:rPr>
            <w:rStyle w:val="Hyperkobling"/>
            <w:noProof/>
            <w:sz w:val="20"/>
            <w:szCs w:val="20"/>
          </w:rPr>
          <w:t>g</w:t>
        </w:r>
        <w:r w:rsidRPr="00943506">
          <w:rPr>
            <w:rStyle w:val="Hyperkobling"/>
            <w:noProof/>
            <w:sz w:val="20"/>
            <w:szCs w:val="20"/>
          </w:rPr>
          <w:t>ression model, stratified by qSOFA ≥ 2 and &lt; 2.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_Toc109046466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8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62A00AB3" w14:textId="38072472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7" w:history="1">
        <w:r w:rsidRPr="00943506">
          <w:rPr>
            <w:rStyle w:val="Hyperkobling"/>
            <w:noProof/>
            <w:sz w:val="20"/>
            <w:szCs w:val="20"/>
          </w:rPr>
          <w:t>Supplementary figure 1. Scatter plots comparing log-transformed biomarker values.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_Toc109046467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9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30C764AC" w14:textId="61CCD250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8" w:history="1">
        <w:r w:rsidRPr="00943506">
          <w:rPr>
            <w:rStyle w:val="Hyperkobling"/>
            <w:noProof/>
            <w:sz w:val="20"/>
            <w:szCs w:val="20"/>
          </w:rPr>
          <w:t>Supplementary figure 2. Biomarker levels grouped according the causative agent group.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_Toc109046468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10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6C6DE6AF" w14:textId="25957305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69" w:history="1">
        <w:r w:rsidRPr="00943506">
          <w:rPr>
            <w:rStyle w:val="Hyperkobling"/>
            <w:noProof/>
            <w:sz w:val="20"/>
            <w:szCs w:val="20"/>
          </w:rPr>
          <w:t>Supplementary table 8. List of all identified causative agents.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_Toc109046469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11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4F37BD5C" w14:textId="176E86F9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70" w:history="1">
        <w:r w:rsidRPr="00943506">
          <w:rPr>
            <w:rStyle w:val="Hyperkobling"/>
            <w:noProof/>
            <w:sz w:val="20"/>
            <w:szCs w:val="20"/>
          </w:rPr>
          <w:t>Supplementary figure 3. Sampling of follow-up cohort.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_Toc109046470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12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286860F1" w14:textId="0A56BD4E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71" w:history="1">
        <w:r w:rsidRPr="00943506">
          <w:rPr>
            <w:rStyle w:val="Hyperkobling"/>
            <w:noProof/>
            <w:sz w:val="20"/>
            <w:szCs w:val="20"/>
          </w:rPr>
          <w:t>Supplementary table 9. Patient characteristics of the patients included for follow-up sampling.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_Toc109046471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13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475BD451" w14:textId="05780A16" w:rsidR="00943506" w:rsidRPr="00943506" w:rsidRDefault="00943506">
      <w:pPr>
        <w:pStyle w:val="INNH3"/>
        <w:rPr>
          <w:rFonts w:asciiTheme="minorHAnsi" w:eastAsiaTheme="minorEastAsia" w:hAnsiTheme="minorHAnsi" w:cstheme="minorBidi"/>
          <w:noProof/>
          <w:sz w:val="20"/>
          <w:szCs w:val="20"/>
          <w:lang w:val="nb-NO" w:eastAsia="nb-NO"/>
        </w:rPr>
      </w:pPr>
      <w:hyperlink w:anchor="_Toc109046472" w:history="1">
        <w:r w:rsidRPr="00943506">
          <w:rPr>
            <w:rStyle w:val="Hyperkobling"/>
            <w:noProof/>
            <w:sz w:val="20"/>
            <w:szCs w:val="20"/>
          </w:rPr>
          <w:t>Supplementary figure 4. Scatter plots comparing CRP and IL-6 values on different days in patients in the group “Infection” in the follow-up cohort.</w:t>
        </w:r>
        <w:r w:rsidRPr="00943506">
          <w:rPr>
            <w:noProof/>
            <w:webHidden/>
            <w:sz w:val="20"/>
            <w:szCs w:val="20"/>
          </w:rPr>
          <w:tab/>
        </w:r>
        <w:r w:rsidRPr="00943506">
          <w:rPr>
            <w:noProof/>
            <w:webHidden/>
            <w:sz w:val="20"/>
            <w:szCs w:val="20"/>
          </w:rPr>
          <w:fldChar w:fldCharType="begin"/>
        </w:r>
        <w:r w:rsidRPr="00943506">
          <w:rPr>
            <w:noProof/>
            <w:webHidden/>
            <w:sz w:val="20"/>
            <w:szCs w:val="20"/>
          </w:rPr>
          <w:instrText xml:space="preserve"> PAGEREF _Toc109046472 \h </w:instrText>
        </w:r>
        <w:r w:rsidRPr="00943506">
          <w:rPr>
            <w:noProof/>
            <w:webHidden/>
            <w:sz w:val="20"/>
            <w:szCs w:val="20"/>
          </w:rPr>
        </w:r>
        <w:r w:rsidRPr="00943506">
          <w:rPr>
            <w:noProof/>
            <w:webHidden/>
            <w:sz w:val="20"/>
            <w:szCs w:val="20"/>
          </w:rPr>
          <w:fldChar w:fldCharType="separate"/>
        </w:r>
        <w:r w:rsidRPr="00943506">
          <w:rPr>
            <w:noProof/>
            <w:webHidden/>
            <w:sz w:val="20"/>
            <w:szCs w:val="20"/>
          </w:rPr>
          <w:t>14</w:t>
        </w:r>
        <w:r w:rsidRPr="00943506">
          <w:rPr>
            <w:noProof/>
            <w:webHidden/>
            <w:sz w:val="20"/>
            <w:szCs w:val="20"/>
          </w:rPr>
          <w:fldChar w:fldCharType="end"/>
        </w:r>
      </w:hyperlink>
    </w:p>
    <w:p w14:paraId="77AC3ED8" w14:textId="28ED0E4E" w:rsidR="005038BF" w:rsidRPr="00943506" w:rsidRDefault="004E3B1A" w:rsidP="00B16869">
      <w:pPr>
        <w:spacing w:line="240" w:lineRule="auto"/>
        <w:rPr>
          <w:sz w:val="20"/>
          <w:szCs w:val="20"/>
        </w:rPr>
      </w:pPr>
      <w:r w:rsidRPr="00943506">
        <w:rPr>
          <w:sz w:val="20"/>
          <w:szCs w:val="20"/>
        </w:rPr>
        <w:fldChar w:fldCharType="end"/>
      </w:r>
      <w:r w:rsidR="00232AE1" w:rsidRPr="00943506">
        <w:rPr>
          <w:sz w:val="20"/>
          <w:szCs w:val="20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14C62" w14:paraId="3B288D95" w14:textId="77777777" w:rsidTr="00031ECE">
        <w:tc>
          <w:tcPr>
            <w:tcW w:w="6096" w:type="dxa"/>
          </w:tcPr>
          <w:p w14:paraId="4EFF81EF" w14:textId="77777777" w:rsidR="00614C62" w:rsidRPr="000453AF" w:rsidRDefault="00614C62" w:rsidP="000666A3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453AF">
              <w:rPr>
                <w:b/>
                <w:bCs/>
                <w:sz w:val="24"/>
                <w:szCs w:val="24"/>
                <w:lang w:val="en-US"/>
              </w:rPr>
              <w:lastRenderedPageBreak/>
              <w:t>≥ 1 of the following criteria must be fulfilled:</w:t>
            </w:r>
          </w:p>
        </w:tc>
      </w:tr>
      <w:tr w:rsidR="00614C62" w14:paraId="5D7C6B8C" w14:textId="77777777" w:rsidTr="00031ECE">
        <w:tc>
          <w:tcPr>
            <w:tcW w:w="6096" w:type="dxa"/>
            <w:tcBorders>
              <w:bottom w:val="single" w:sz="4" w:space="0" w:color="auto"/>
            </w:tcBorders>
          </w:tcPr>
          <w:p w14:paraId="1DCC6C37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Airway obstruction</w:t>
            </w:r>
          </w:p>
          <w:p w14:paraId="466040B6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Respiratory arrest</w:t>
            </w:r>
          </w:p>
          <w:p w14:paraId="759F71F0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Respiratory rate &lt; 8 pr minute</w:t>
            </w:r>
          </w:p>
          <w:p w14:paraId="00E2ECA4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Respiratory rate &gt; 40 pr minute</w:t>
            </w:r>
          </w:p>
          <w:p w14:paraId="1C9D0B26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SpO2 &lt; 85% with &gt; 9 L O</w:t>
            </w:r>
            <w:r w:rsidRPr="00031EC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31ECE">
              <w:rPr>
                <w:sz w:val="24"/>
                <w:szCs w:val="24"/>
                <w:lang w:val="en-US"/>
              </w:rPr>
              <w:t xml:space="preserve"> treatment</w:t>
            </w:r>
          </w:p>
          <w:p w14:paraId="4FC173CB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Non-invasive ventilation initiated in ambulance</w:t>
            </w:r>
          </w:p>
          <w:p w14:paraId="4B84008F" w14:textId="2B04284B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Systolic blood pressure &lt; 90 mmHg and symptoms*</w:t>
            </w:r>
          </w:p>
          <w:p w14:paraId="22164CF6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Vasopressor initiated in ambulance</w:t>
            </w:r>
          </w:p>
          <w:p w14:paraId="4C933921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Heart rate / pulse &lt; 35 or &gt; 130 and symptoms*</w:t>
            </w:r>
          </w:p>
          <w:p w14:paraId="470396EE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Glasgow Coma Scale &lt; 9</w:t>
            </w:r>
          </w:p>
          <w:p w14:paraId="6FC21089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Persistent seizures</w:t>
            </w:r>
          </w:p>
          <w:p w14:paraId="03013D14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Core temperature &lt; 32 degrees Celsius</w:t>
            </w:r>
          </w:p>
          <w:p w14:paraId="6190CB8E" w14:textId="7E5BAA94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 xml:space="preserve">qSOFA </w:t>
            </w:r>
            <w:r w:rsidRPr="00031ECE">
              <w:rPr>
                <w:sz w:val="24"/>
                <w:szCs w:val="24"/>
              </w:rPr>
              <w:t>≥ 2 and infection suspected</w:t>
            </w:r>
          </w:p>
          <w:p w14:paraId="0ADDF5A3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Ambulance request</w:t>
            </w:r>
          </w:p>
          <w:p w14:paraId="002519AD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Nurse in ED request</w:t>
            </w:r>
          </w:p>
          <w:p w14:paraId="2A56C2D0" w14:textId="77777777" w:rsidR="00614C62" w:rsidRPr="00031ECE" w:rsidRDefault="00614C62" w:rsidP="00AA7C0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Medical Doctor in ED request</w:t>
            </w:r>
          </w:p>
        </w:tc>
      </w:tr>
      <w:tr w:rsidR="00614C62" w14:paraId="12C0E9E4" w14:textId="77777777" w:rsidTr="00031ECE">
        <w:trPr>
          <w:trHeight w:val="34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936B4C0" w14:textId="283A84FD" w:rsidR="00614C62" w:rsidRPr="00031ECE" w:rsidRDefault="00614C62" w:rsidP="00317F26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031ECE">
              <w:rPr>
                <w:sz w:val="24"/>
                <w:szCs w:val="24"/>
                <w:lang w:val="en-US"/>
              </w:rPr>
              <w:t>*Sweaty</w:t>
            </w:r>
            <w:r w:rsidR="005E57FA">
              <w:rPr>
                <w:sz w:val="24"/>
                <w:szCs w:val="24"/>
                <w:lang w:val="en-US"/>
              </w:rPr>
              <w:t>, c</w:t>
            </w:r>
            <w:r w:rsidRPr="00031ECE">
              <w:rPr>
                <w:sz w:val="24"/>
                <w:szCs w:val="24"/>
                <w:lang w:val="en-US"/>
              </w:rPr>
              <w:t>lamm</w:t>
            </w:r>
            <w:r w:rsidR="005E57FA">
              <w:rPr>
                <w:sz w:val="24"/>
                <w:szCs w:val="24"/>
                <w:lang w:val="en-US"/>
              </w:rPr>
              <w:t>y,</w:t>
            </w:r>
            <w:r w:rsidRPr="00031ECE">
              <w:rPr>
                <w:sz w:val="24"/>
                <w:szCs w:val="24"/>
                <w:lang w:val="en-US"/>
              </w:rPr>
              <w:t xml:space="preserve"> </w:t>
            </w:r>
            <w:r w:rsidR="005E57FA">
              <w:rPr>
                <w:sz w:val="24"/>
                <w:szCs w:val="24"/>
                <w:lang w:val="en-US"/>
              </w:rPr>
              <w:t>p</w:t>
            </w:r>
            <w:r w:rsidRPr="00031ECE">
              <w:rPr>
                <w:sz w:val="24"/>
                <w:szCs w:val="24"/>
                <w:lang w:val="en-US"/>
              </w:rPr>
              <w:t>ale</w:t>
            </w:r>
            <w:r w:rsidR="005E57FA">
              <w:rPr>
                <w:sz w:val="24"/>
                <w:szCs w:val="24"/>
                <w:lang w:val="en-US"/>
              </w:rPr>
              <w:t>,</w:t>
            </w:r>
            <w:r w:rsidRPr="00031ECE">
              <w:rPr>
                <w:sz w:val="24"/>
                <w:szCs w:val="24"/>
                <w:lang w:val="en-US"/>
              </w:rPr>
              <w:t xml:space="preserve"> dizzy</w:t>
            </w:r>
            <w:r w:rsidR="005E57FA">
              <w:rPr>
                <w:sz w:val="24"/>
                <w:szCs w:val="24"/>
                <w:lang w:val="en-US"/>
              </w:rPr>
              <w:t xml:space="preserve">, </w:t>
            </w:r>
            <w:r w:rsidRPr="00031ECE">
              <w:rPr>
                <w:sz w:val="24"/>
                <w:szCs w:val="24"/>
                <w:lang w:val="en-US"/>
              </w:rPr>
              <w:t>altered mentation</w:t>
            </w:r>
            <w:r w:rsidR="005E57FA">
              <w:rPr>
                <w:sz w:val="24"/>
                <w:szCs w:val="24"/>
                <w:lang w:val="en-US"/>
              </w:rPr>
              <w:t xml:space="preserve">, </w:t>
            </w:r>
            <w:r w:rsidRPr="00031ECE">
              <w:rPr>
                <w:sz w:val="24"/>
                <w:szCs w:val="24"/>
                <w:lang w:val="en-US"/>
              </w:rPr>
              <w:t>uneasy.</w:t>
            </w:r>
          </w:p>
        </w:tc>
      </w:tr>
    </w:tbl>
    <w:p w14:paraId="5383BD99" w14:textId="77777777" w:rsidR="00F03E13" w:rsidRPr="001B4D07" w:rsidRDefault="00614C62" w:rsidP="001B4D07">
      <w:pPr>
        <w:pStyle w:val="Overskrift3"/>
      </w:pPr>
      <w:bookmarkStart w:id="0" w:name="_Toc109046459"/>
      <w:r w:rsidRPr="001B4D07">
        <w:t>Supplementary table 1. Inclusion criteria for Medical and Sepsis Rapid Response Team</w:t>
      </w:r>
      <w:r w:rsidR="008D48A2" w:rsidRPr="001B4D07">
        <w:t>s</w:t>
      </w:r>
      <w:r w:rsidRPr="001B4D07">
        <w:t xml:space="preserve"> </w:t>
      </w:r>
      <w:r w:rsidR="008D48A2" w:rsidRPr="001B4D07">
        <w:t>in</w:t>
      </w:r>
      <w:r w:rsidRPr="001B4D07">
        <w:t xml:space="preserve"> the Emergency Department at Oslo University Hospital</w:t>
      </w:r>
      <w:r w:rsidR="00E72754" w:rsidRPr="001B4D07">
        <w:t>.</w:t>
      </w:r>
      <w:bookmarkEnd w:id="0"/>
      <w:r w:rsidRPr="001B4D07">
        <w:t xml:space="preserve"> </w:t>
      </w:r>
      <w:r w:rsidRPr="001B4D07">
        <w:br w:type="page"/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383"/>
        <w:gridCol w:w="1589"/>
        <w:gridCol w:w="1276"/>
        <w:gridCol w:w="1559"/>
        <w:gridCol w:w="1985"/>
        <w:gridCol w:w="1275"/>
      </w:tblGrid>
      <w:tr w:rsidR="00F03E13" w:rsidRPr="001F5F94" w14:paraId="389EED62" w14:textId="77777777" w:rsidTr="006A602D">
        <w:tc>
          <w:tcPr>
            <w:tcW w:w="1383" w:type="dxa"/>
          </w:tcPr>
          <w:p w14:paraId="000D82B5" w14:textId="77777777" w:rsidR="00F03E13" w:rsidRPr="006A602D" w:rsidRDefault="00F03E13" w:rsidP="006A602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602D">
              <w:rPr>
                <w:b/>
                <w:color w:val="000000" w:themeColor="text1"/>
                <w:sz w:val="20"/>
                <w:szCs w:val="20"/>
              </w:rPr>
              <w:lastRenderedPageBreak/>
              <w:t>Analyte</w:t>
            </w:r>
          </w:p>
        </w:tc>
        <w:tc>
          <w:tcPr>
            <w:tcW w:w="1589" w:type="dxa"/>
          </w:tcPr>
          <w:p w14:paraId="215C115A" w14:textId="77777777" w:rsidR="00F03E13" w:rsidRPr="006A602D" w:rsidRDefault="00F03E13" w:rsidP="006A602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602D">
              <w:rPr>
                <w:b/>
                <w:color w:val="000000" w:themeColor="text1"/>
                <w:sz w:val="20"/>
                <w:szCs w:val="20"/>
              </w:rPr>
              <w:t>Collection tube (</w:t>
            </w:r>
            <w:proofErr w:type="spellStart"/>
            <w:r w:rsidRPr="006A602D">
              <w:rPr>
                <w:b/>
                <w:color w:val="000000" w:themeColor="text1"/>
                <w:sz w:val="20"/>
                <w:szCs w:val="20"/>
              </w:rPr>
              <w:t>Vacuette</w:t>
            </w:r>
            <w:proofErr w:type="spellEnd"/>
            <w:r w:rsidRPr="006A602D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4127AFE" w14:textId="77777777" w:rsidR="00F03E13" w:rsidRPr="006A602D" w:rsidRDefault="00F03E13" w:rsidP="006A602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602D">
              <w:rPr>
                <w:b/>
                <w:color w:val="000000" w:themeColor="text1"/>
                <w:sz w:val="20"/>
                <w:szCs w:val="20"/>
              </w:rPr>
              <w:t>Instrument</w:t>
            </w:r>
          </w:p>
        </w:tc>
        <w:tc>
          <w:tcPr>
            <w:tcW w:w="1559" w:type="dxa"/>
          </w:tcPr>
          <w:p w14:paraId="34054CD3" w14:textId="0033AC05" w:rsidR="00F03E13" w:rsidRPr="006A602D" w:rsidRDefault="00F03E13" w:rsidP="006A602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602D">
              <w:rPr>
                <w:b/>
                <w:color w:val="000000" w:themeColor="text1"/>
                <w:sz w:val="20"/>
                <w:szCs w:val="20"/>
              </w:rPr>
              <w:t>Reagent</w:t>
            </w:r>
          </w:p>
        </w:tc>
        <w:tc>
          <w:tcPr>
            <w:tcW w:w="1985" w:type="dxa"/>
          </w:tcPr>
          <w:p w14:paraId="4A60F95E" w14:textId="5A6549DA" w:rsidR="00F03E13" w:rsidRPr="006A602D" w:rsidRDefault="00F03E13" w:rsidP="006A602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602D">
              <w:rPr>
                <w:b/>
                <w:color w:val="000000" w:themeColor="text1"/>
                <w:sz w:val="20"/>
                <w:szCs w:val="20"/>
              </w:rPr>
              <w:t>Calibrator</w:t>
            </w:r>
          </w:p>
        </w:tc>
        <w:tc>
          <w:tcPr>
            <w:tcW w:w="1275" w:type="dxa"/>
          </w:tcPr>
          <w:p w14:paraId="054B6644" w14:textId="77777777" w:rsidR="00F03E13" w:rsidRPr="006A602D" w:rsidRDefault="00F03E13" w:rsidP="006A602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602D">
              <w:rPr>
                <w:b/>
                <w:color w:val="000000" w:themeColor="text1"/>
                <w:sz w:val="20"/>
                <w:szCs w:val="20"/>
              </w:rPr>
              <w:t>Reference Interval</w:t>
            </w:r>
          </w:p>
        </w:tc>
      </w:tr>
      <w:tr w:rsidR="00F03E13" w:rsidRPr="001F5F94" w14:paraId="3CCB021A" w14:textId="77777777" w:rsidTr="006A602D">
        <w:tc>
          <w:tcPr>
            <w:tcW w:w="1383" w:type="dxa"/>
          </w:tcPr>
          <w:p w14:paraId="4405A8A9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>CRP</w:t>
            </w:r>
          </w:p>
        </w:tc>
        <w:tc>
          <w:tcPr>
            <w:tcW w:w="1589" w:type="dxa"/>
          </w:tcPr>
          <w:p w14:paraId="28242FFE" w14:textId="3828FC1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Serum with gel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Ref: 456073R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14:paraId="0F51D986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>Roche Cobas 8000 c702</w:t>
            </w:r>
          </w:p>
        </w:tc>
        <w:tc>
          <w:tcPr>
            <w:tcW w:w="1559" w:type="dxa"/>
          </w:tcPr>
          <w:p w14:paraId="5212B0A3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>CRPL4 Tina-quant (Ref: 07876424)</w:t>
            </w:r>
          </w:p>
        </w:tc>
        <w:tc>
          <w:tcPr>
            <w:tcW w:w="1985" w:type="dxa"/>
          </w:tcPr>
          <w:p w14:paraId="320F3794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CFAS Proteins Traceability: ERM-DA474</w:t>
            </w:r>
          </w:p>
        </w:tc>
        <w:tc>
          <w:tcPr>
            <w:tcW w:w="1275" w:type="dxa"/>
          </w:tcPr>
          <w:p w14:paraId="0CD404DB" w14:textId="76D40F52" w:rsidR="00F03E13" w:rsidRPr="006A602D" w:rsidRDefault="00F03E13" w:rsidP="006A602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>≤4 mg/L</w:t>
            </w:r>
            <w:r w:rsidR="006A602D" w:rsidRPr="006A602D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F03E13" w:rsidRPr="001F5F94" w14:paraId="69591DFD" w14:textId="77777777" w:rsidTr="006A602D">
        <w:tc>
          <w:tcPr>
            <w:tcW w:w="1383" w:type="dxa"/>
          </w:tcPr>
          <w:p w14:paraId="531C704B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>Procalcitonin</w:t>
            </w:r>
          </w:p>
        </w:tc>
        <w:tc>
          <w:tcPr>
            <w:tcW w:w="1589" w:type="dxa"/>
          </w:tcPr>
          <w:p w14:paraId="050CC6B7" w14:textId="3B885F22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Li-heparin plasma with gel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Ref: 456087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14:paraId="5630094F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Roche Cobas 8000 e801</w:t>
            </w:r>
          </w:p>
        </w:tc>
        <w:tc>
          <w:tcPr>
            <w:tcW w:w="1559" w:type="dxa"/>
          </w:tcPr>
          <w:p w14:paraId="0BE209B3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Elecsys</w:t>
            </w:r>
            <w:proofErr w:type="spellEnd"/>
            <w:r w:rsidRPr="006A602D">
              <w:rPr>
                <w:color w:val="000000" w:themeColor="text1"/>
                <w:sz w:val="20"/>
                <w:szCs w:val="20"/>
                <w:lang w:val="en-US"/>
              </w:rPr>
              <w:t xml:space="preserve"> BRAHMS PCT (</w:t>
            </w:r>
            <w:proofErr w:type="spellStart"/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Termo</w:t>
            </w:r>
            <w:proofErr w:type="spellEnd"/>
            <w:r w:rsidRPr="006A602D">
              <w:rPr>
                <w:color w:val="000000" w:themeColor="text1"/>
                <w:sz w:val="20"/>
                <w:szCs w:val="20"/>
                <w:lang w:val="en-US"/>
              </w:rPr>
              <w:t xml:space="preserve"> Fisher) (Ref: 07301715190)</w:t>
            </w:r>
          </w:p>
        </w:tc>
        <w:tc>
          <w:tcPr>
            <w:tcW w:w="1985" w:type="dxa"/>
          </w:tcPr>
          <w:p w14:paraId="799ABE03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PCT Cal1 / PCT Cal2 Traceability: Roche</w:t>
            </w:r>
          </w:p>
        </w:tc>
        <w:tc>
          <w:tcPr>
            <w:tcW w:w="1275" w:type="dxa"/>
          </w:tcPr>
          <w:p w14:paraId="40787CD0" w14:textId="4A9177EE" w:rsidR="00F03E13" w:rsidRPr="006A602D" w:rsidRDefault="000C7C2C" w:rsidP="006A602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&lt;0.1</w:t>
            </w:r>
            <w:r w:rsidR="00F03E13" w:rsidRPr="006A602D">
              <w:rPr>
                <w:color w:val="000000" w:themeColor="text1"/>
                <w:sz w:val="20"/>
                <w:szCs w:val="20"/>
                <w:lang w:val="en-US"/>
              </w:rPr>
              <w:t xml:space="preserve"> µg/L</w:t>
            </w:r>
            <w:r w:rsidR="006A602D" w:rsidRPr="006A602D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F03E13" w:rsidRPr="001F5F94" w14:paraId="6F66DEEF" w14:textId="77777777" w:rsidTr="006A602D">
        <w:tc>
          <w:tcPr>
            <w:tcW w:w="1383" w:type="dxa"/>
          </w:tcPr>
          <w:p w14:paraId="1AE0585E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>Calprotectin</w:t>
            </w:r>
          </w:p>
        </w:tc>
        <w:tc>
          <w:tcPr>
            <w:tcW w:w="1589" w:type="dxa"/>
          </w:tcPr>
          <w:p w14:paraId="2BAABF61" w14:textId="7D740723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Li-heparin plasma with gel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Ref: 456087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14:paraId="507CACAD" w14:textId="0B4AD8EF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 xml:space="preserve">Roche Cobas 8000 </w:t>
            </w:r>
            <w:r w:rsidR="00B97E01" w:rsidRPr="00B97E01">
              <w:rPr>
                <w:color w:val="000000" w:themeColor="text1"/>
                <w:sz w:val="20"/>
                <w:szCs w:val="20"/>
                <w:lang w:val="en-US"/>
              </w:rPr>
              <w:t>c502</w:t>
            </w:r>
          </w:p>
        </w:tc>
        <w:tc>
          <w:tcPr>
            <w:tcW w:w="1559" w:type="dxa"/>
          </w:tcPr>
          <w:p w14:paraId="59F94AC7" w14:textId="4527A595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GCAL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(Gentian) (Ref: 1201)</w:t>
            </w:r>
          </w:p>
        </w:tc>
        <w:tc>
          <w:tcPr>
            <w:tcW w:w="1985" w:type="dxa"/>
          </w:tcPr>
          <w:p w14:paraId="4BB69DA4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Gentian Calprotectin calibrator Traceability: Gentian</w:t>
            </w:r>
          </w:p>
        </w:tc>
        <w:tc>
          <w:tcPr>
            <w:tcW w:w="1275" w:type="dxa"/>
          </w:tcPr>
          <w:p w14:paraId="37CA8541" w14:textId="66B17D10" w:rsidR="00F03E13" w:rsidRPr="006A602D" w:rsidRDefault="00F03E13" w:rsidP="006A602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1.</w:t>
            </w:r>
            <w:r w:rsidR="00FE1FD6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9 mg/L</w:t>
            </w:r>
            <w:r w:rsidR="006A602D" w:rsidRPr="006A602D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03E13" w:rsidRPr="001F5F94" w14:paraId="18BC8499" w14:textId="77777777" w:rsidTr="006A602D">
        <w:tc>
          <w:tcPr>
            <w:tcW w:w="1383" w:type="dxa"/>
          </w:tcPr>
          <w:p w14:paraId="58836C3C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>Interleukin-6</w:t>
            </w:r>
          </w:p>
        </w:tc>
        <w:tc>
          <w:tcPr>
            <w:tcW w:w="1589" w:type="dxa"/>
          </w:tcPr>
          <w:p w14:paraId="44DC2BEA" w14:textId="0779D35B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Li-heparin plasma with gel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Ref: 456087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14:paraId="4D8D7BFC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Roche Cobas 8000 e801</w:t>
            </w:r>
          </w:p>
        </w:tc>
        <w:tc>
          <w:tcPr>
            <w:tcW w:w="1559" w:type="dxa"/>
          </w:tcPr>
          <w:p w14:paraId="47DA536E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>Interleukin 6 (</w:t>
            </w: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Ref: 07027532190)</w:t>
            </w:r>
          </w:p>
        </w:tc>
        <w:tc>
          <w:tcPr>
            <w:tcW w:w="1985" w:type="dxa"/>
          </w:tcPr>
          <w:p w14:paraId="1DBF777C" w14:textId="77777777" w:rsidR="00F03E13" w:rsidRPr="006A602D" w:rsidRDefault="00F03E13" w:rsidP="006A602D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  <w:lang w:val="en-US"/>
              </w:rPr>
              <w:t xml:space="preserve">IL-6 </w:t>
            </w:r>
            <w:proofErr w:type="spellStart"/>
            <w:r w:rsidRPr="006A602D">
              <w:rPr>
                <w:color w:val="000000" w:themeColor="text1"/>
                <w:sz w:val="20"/>
                <w:szCs w:val="20"/>
                <w:lang w:val="en-US"/>
              </w:rPr>
              <w:t>CalSet</w:t>
            </w:r>
            <w:proofErr w:type="spellEnd"/>
            <w:r w:rsidRPr="006A602D">
              <w:rPr>
                <w:color w:val="000000" w:themeColor="text1"/>
                <w:sz w:val="20"/>
                <w:szCs w:val="20"/>
                <w:lang w:val="en-US"/>
              </w:rPr>
              <w:t xml:space="preserve"> Traceability:1st Int. Standard (NIBSC) 89/548</w:t>
            </w:r>
          </w:p>
        </w:tc>
        <w:tc>
          <w:tcPr>
            <w:tcW w:w="1275" w:type="dxa"/>
          </w:tcPr>
          <w:p w14:paraId="55577F53" w14:textId="1476C2FD" w:rsidR="00F03E13" w:rsidRPr="006A602D" w:rsidRDefault="00F03E13" w:rsidP="006A602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A602D">
              <w:rPr>
                <w:color w:val="000000" w:themeColor="text1"/>
                <w:sz w:val="20"/>
                <w:szCs w:val="20"/>
              </w:rPr>
              <w:t xml:space="preserve">≤7 </w:t>
            </w:r>
            <w:proofErr w:type="spellStart"/>
            <w:r w:rsidR="0065077B">
              <w:rPr>
                <w:color w:val="000000" w:themeColor="text1"/>
                <w:sz w:val="20"/>
                <w:szCs w:val="20"/>
              </w:rPr>
              <w:t>p</w:t>
            </w:r>
            <w:r w:rsidRPr="006A602D">
              <w:rPr>
                <w:color w:val="000000" w:themeColor="text1"/>
                <w:sz w:val="20"/>
                <w:szCs w:val="20"/>
              </w:rPr>
              <w:t>g</w:t>
            </w:r>
            <w:proofErr w:type="spellEnd"/>
            <w:r w:rsidRPr="006A602D">
              <w:rPr>
                <w:color w:val="000000" w:themeColor="text1"/>
                <w:sz w:val="20"/>
                <w:szCs w:val="20"/>
              </w:rPr>
              <w:t>/</w:t>
            </w:r>
            <w:r w:rsidR="0065077B">
              <w:rPr>
                <w:color w:val="000000" w:themeColor="text1"/>
                <w:sz w:val="20"/>
                <w:szCs w:val="20"/>
              </w:rPr>
              <w:t>m</w:t>
            </w:r>
            <w:r w:rsidRPr="006A602D">
              <w:rPr>
                <w:color w:val="000000" w:themeColor="text1"/>
                <w:sz w:val="20"/>
                <w:szCs w:val="20"/>
              </w:rPr>
              <w:t>L</w:t>
            </w:r>
            <w:r w:rsidR="006A602D" w:rsidRPr="006A602D">
              <w:rPr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</w:tr>
    </w:tbl>
    <w:p w14:paraId="46D94EB7" w14:textId="77777777" w:rsidR="001B4D07" w:rsidRPr="001B4D07" w:rsidRDefault="006A602D" w:rsidP="001B4D07">
      <w:pPr>
        <w:pStyle w:val="Overskrift3"/>
      </w:pPr>
      <w:bookmarkStart w:id="1" w:name="_Toc109046460"/>
      <w:r w:rsidRPr="001B4D07">
        <w:t>Supplementary table 2. Collection tubes, instruments, reagents and calibrators used in the measuring of biomarkers CRP, Procalcitonin, Calprotectin and Interleukin 6.</w:t>
      </w:r>
      <w:bookmarkEnd w:id="1"/>
      <w:r w:rsidRPr="001B4D07">
        <w:t xml:space="preserve"> </w:t>
      </w:r>
    </w:p>
    <w:p w14:paraId="13379536" w14:textId="3EEDE0E4" w:rsidR="00F03E13" w:rsidRPr="008001B8" w:rsidRDefault="00F03E13" w:rsidP="008001B8">
      <w:pPr>
        <w:spacing w:line="240" w:lineRule="auto"/>
      </w:pPr>
      <w:r w:rsidRPr="006A602D">
        <w:rPr>
          <w:lang w:val="en-US"/>
        </w:rPr>
        <w:t>All reagents and calibrators were purchased from Roche unless otherwise stated.</w:t>
      </w:r>
      <w:r w:rsidR="006A602D" w:rsidRPr="006A602D">
        <w:rPr>
          <w:lang w:val="en-US"/>
        </w:rPr>
        <w:t xml:space="preserve"> </w:t>
      </w:r>
      <w:r w:rsidRPr="006A602D">
        <w:rPr>
          <w:vertAlign w:val="superscript"/>
          <w:lang w:val="en-US"/>
        </w:rPr>
        <w:t>1</w:t>
      </w:r>
      <w:r w:rsidRPr="006A602D">
        <w:rPr>
          <w:lang w:val="en-US"/>
        </w:rPr>
        <w:t>Reference interval established locally at Oslo University Hospital with samples from healthy donors</w:t>
      </w:r>
      <w:r w:rsidR="006A602D" w:rsidRPr="006A602D">
        <w:rPr>
          <w:lang w:val="en-US"/>
        </w:rPr>
        <w:t xml:space="preserve">. </w:t>
      </w:r>
      <w:r w:rsidR="006A602D" w:rsidRPr="006A602D">
        <w:rPr>
          <w:vertAlign w:val="superscript"/>
          <w:lang w:val="en-US"/>
        </w:rPr>
        <w:t>2</w:t>
      </w:r>
      <w:r w:rsidRPr="006A602D">
        <w:rPr>
          <w:rFonts w:eastAsia="Times New Roman"/>
          <w:color w:val="000000"/>
          <w:lang w:eastAsia="nb-NO"/>
        </w:rPr>
        <w:t xml:space="preserve">Morgenthaler, N. G., et al. </w:t>
      </w:r>
      <w:r w:rsidRPr="006A602D">
        <w:rPr>
          <w:rFonts w:eastAsia="Times New Roman"/>
          <w:color w:val="000000"/>
          <w:lang w:val="en-US" w:eastAsia="nb-NO"/>
        </w:rPr>
        <w:t xml:space="preserve">(2002). "Detection of procalcitonin (PCT) in healthy controls and patients with local infection by a sensitive ILMA." </w:t>
      </w:r>
      <w:r w:rsidRPr="006A602D">
        <w:rPr>
          <w:rFonts w:eastAsia="Times New Roman"/>
          <w:color w:val="000000"/>
          <w:lang w:eastAsia="nb-NO"/>
        </w:rPr>
        <w:t>Clin Lab 48(5-6): 263-270.</w:t>
      </w:r>
      <w:r w:rsidRPr="006A602D">
        <w:rPr>
          <w:rFonts w:eastAsia="Times New Roman"/>
          <w:color w:val="000000"/>
          <w:lang w:val="en-US" w:eastAsia="nb-NO"/>
        </w:rPr>
        <w:t xml:space="preserve">3. </w:t>
      </w:r>
      <w:r w:rsidR="006A602D" w:rsidRPr="006A602D">
        <w:rPr>
          <w:rFonts w:eastAsia="Times New Roman"/>
          <w:color w:val="000000"/>
          <w:vertAlign w:val="superscript"/>
          <w:lang w:val="en-US" w:eastAsia="nb-NO"/>
        </w:rPr>
        <w:t>3</w:t>
      </w:r>
      <w:r w:rsidRPr="006A602D">
        <w:rPr>
          <w:noProof/>
          <w:lang w:val="en-US"/>
        </w:rPr>
        <w:t xml:space="preserve">Gentian. </w:t>
      </w:r>
      <w:r w:rsidR="00FE1FD6" w:rsidRPr="00FE1FD6">
        <w:rPr>
          <w:noProof/>
          <w:lang w:val="en-US"/>
        </w:rPr>
        <w:t>Gentian Calprotectin Reagent Kit I</w:t>
      </w:r>
      <w:r w:rsidR="00FE1FD6">
        <w:rPr>
          <w:noProof/>
          <w:lang w:val="en-US"/>
        </w:rPr>
        <w:t>nstructions for use</w:t>
      </w:r>
      <w:r w:rsidRPr="006A602D">
        <w:rPr>
          <w:noProof/>
          <w:lang w:val="en-US"/>
        </w:rPr>
        <w:t xml:space="preserve">. </w:t>
      </w:r>
      <w:r w:rsidR="008001B8">
        <w:t xml:space="preserve">Date of issue 2022-01-24. </w:t>
      </w:r>
      <w:r w:rsidRPr="006A602D">
        <w:rPr>
          <w:noProof/>
        </w:rPr>
        <w:t>Moss, Norway</w:t>
      </w:r>
      <w:r w:rsidR="006A602D" w:rsidRPr="006A602D">
        <w:rPr>
          <w:noProof/>
        </w:rPr>
        <w:t xml:space="preserve"> </w:t>
      </w:r>
      <w:r w:rsidR="00FE1FD6">
        <w:rPr>
          <w:noProof/>
        </w:rPr>
        <w:t>2022</w:t>
      </w:r>
      <w:r w:rsidR="006A602D" w:rsidRPr="006A602D">
        <w:rPr>
          <w:noProof/>
        </w:rPr>
        <w:t xml:space="preserve">. </w:t>
      </w:r>
      <w:r w:rsidR="006A602D" w:rsidRPr="006A602D">
        <w:rPr>
          <w:noProof/>
          <w:vertAlign w:val="superscript"/>
          <w:lang w:val="en-US"/>
        </w:rPr>
        <w:t>4</w:t>
      </w:r>
      <w:r w:rsidRPr="006A602D">
        <w:rPr>
          <w:noProof/>
          <w:lang w:val="en-US"/>
        </w:rPr>
        <w:t>Roche Cobas Elecsys IL-6 pac</w:t>
      </w:r>
      <w:r w:rsidR="006A602D" w:rsidRPr="006A602D">
        <w:rPr>
          <w:noProof/>
          <w:lang w:val="en-US"/>
        </w:rPr>
        <w:t>k</w:t>
      </w:r>
      <w:r w:rsidRPr="006A602D">
        <w:rPr>
          <w:noProof/>
          <w:lang w:val="en-US"/>
        </w:rPr>
        <w:t>age insert 07027535200V2.0, 2019</w:t>
      </w:r>
    </w:p>
    <w:p w14:paraId="6C041590" w14:textId="77777777" w:rsidR="00E70048" w:rsidRDefault="00511832" w:rsidP="008001B8">
      <w:pPr>
        <w:spacing w:line="240" w:lineRule="auto"/>
      </w:pPr>
      <w:r>
        <w:br w:type="page"/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90"/>
        <w:gridCol w:w="1843"/>
      </w:tblGrid>
      <w:tr w:rsidR="00E70048" w:rsidRPr="00317F26" w14:paraId="79FCEE3D" w14:textId="77777777" w:rsidTr="00962BBD">
        <w:tc>
          <w:tcPr>
            <w:tcW w:w="4395" w:type="dxa"/>
            <w:tcBorders>
              <w:bottom w:val="single" w:sz="4" w:space="0" w:color="auto"/>
            </w:tcBorders>
          </w:tcPr>
          <w:p w14:paraId="73BC2AF2" w14:textId="77777777" w:rsidR="00E70048" w:rsidRPr="00317F26" w:rsidRDefault="00E70048" w:rsidP="00962BBD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317F26">
              <w:rPr>
                <w:rFonts w:eastAsia="Calibri"/>
                <w:b/>
                <w:sz w:val="24"/>
                <w:szCs w:val="24"/>
              </w:rPr>
              <w:lastRenderedPageBreak/>
              <w:t>Diagnosis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14C88D03" w14:textId="77777777" w:rsidR="00E70048" w:rsidRPr="00317F26" w:rsidRDefault="00E70048" w:rsidP="00962BBD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317F26">
              <w:rPr>
                <w:rFonts w:eastAsia="Calibri"/>
                <w:b/>
                <w:sz w:val="24"/>
                <w:szCs w:val="24"/>
              </w:rPr>
              <w:t>Number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D672BF" w14:textId="77777777" w:rsidR="00E70048" w:rsidRPr="00317F26" w:rsidRDefault="00E70048" w:rsidP="00962BBD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317F26">
              <w:rPr>
                <w:rFonts w:eastAsia="Calibri"/>
                <w:b/>
                <w:sz w:val="24"/>
                <w:szCs w:val="24"/>
              </w:rPr>
              <w:t>Percent of total</w:t>
            </w:r>
          </w:p>
        </w:tc>
      </w:tr>
      <w:tr w:rsidR="00E70048" w:rsidRPr="00317F26" w14:paraId="2EB3BC76" w14:textId="77777777" w:rsidTr="00962BBD">
        <w:tc>
          <w:tcPr>
            <w:tcW w:w="4395" w:type="dxa"/>
            <w:tcBorders>
              <w:top w:val="single" w:sz="4" w:space="0" w:color="auto"/>
            </w:tcBorders>
          </w:tcPr>
          <w:p w14:paraId="774C86E1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 xml:space="preserve">Intoxication 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4DDF5528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D2BD45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5.3 %</w:t>
            </w:r>
          </w:p>
        </w:tc>
      </w:tr>
      <w:tr w:rsidR="00E70048" w:rsidRPr="00317F26" w14:paraId="61EAED16" w14:textId="77777777" w:rsidTr="00962BBD">
        <w:tc>
          <w:tcPr>
            <w:tcW w:w="4395" w:type="dxa"/>
          </w:tcPr>
          <w:p w14:paraId="4051BDC7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Non-infectious COPD exacerbation</w:t>
            </w:r>
          </w:p>
        </w:tc>
        <w:tc>
          <w:tcPr>
            <w:tcW w:w="1190" w:type="dxa"/>
          </w:tcPr>
          <w:p w14:paraId="1AEA5D01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2BFE9D72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5.3 %</w:t>
            </w:r>
          </w:p>
        </w:tc>
      </w:tr>
      <w:tr w:rsidR="00E70048" w:rsidRPr="00317F26" w14:paraId="000DC8DD" w14:textId="77777777" w:rsidTr="00962BBD">
        <w:tc>
          <w:tcPr>
            <w:tcW w:w="4395" w:type="dxa"/>
          </w:tcPr>
          <w:p w14:paraId="0C965A8F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Heart failure</w:t>
            </w:r>
          </w:p>
        </w:tc>
        <w:tc>
          <w:tcPr>
            <w:tcW w:w="1190" w:type="dxa"/>
          </w:tcPr>
          <w:p w14:paraId="7F1CD332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FDF2EA9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4.8 %</w:t>
            </w:r>
          </w:p>
        </w:tc>
      </w:tr>
      <w:tr w:rsidR="00E70048" w:rsidRPr="00317F26" w14:paraId="4C7AFD42" w14:textId="77777777" w:rsidTr="00962BBD">
        <w:tc>
          <w:tcPr>
            <w:tcW w:w="4395" w:type="dxa"/>
          </w:tcPr>
          <w:p w14:paraId="2BDF73FE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Seizures and epilepsy</w:t>
            </w:r>
          </w:p>
        </w:tc>
        <w:tc>
          <w:tcPr>
            <w:tcW w:w="1190" w:type="dxa"/>
          </w:tcPr>
          <w:p w14:paraId="3671A979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417F5209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4.6 %</w:t>
            </w:r>
          </w:p>
        </w:tc>
      </w:tr>
      <w:tr w:rsidR="00E70048" w:rsidRPr="00317F26" w14:paraId="6B54E571" w14:textId="77777777" w:rsidTr="00962BBD">
        <w:tc>
          <w:tcPr>
            <w:tcW w:w="4395" w:type="dxa"/>
          </w:tcPr>
          <w:p w14:paraId="2552AC96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Cereb</w:t>
            </w:r>
            <w:r>
              <w:rPr>
                <w:rFonts w:eastAsia="Calibri"/>
                <w:sz w:val="24"/>
                <w:szCs w:val="24"/>
              </w:rPr>
              <w:t>ral</w:t>
            </w:r>
            <w:r w:rsidRPr="00317F26">
              <w:rPr>
                <w:rFonts w:eastAsia="Calibri"/>
                <w:sz w:val="24"/>
                <w:szCs w:val="24"/>
              </w:rPr>
              <w:t xml:space="preserve"> stroke</w:t>
            </w:r>
          </w:p>
        </w:tc>
        <w:tc>
          <w:tcPr>
            <w:tcW w:w="1190" w:type="dxa"/>
          </w:tcPr>
          <w:p w14:paraId="6FB3C7A3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EFEAD8D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3.9 %</w:t>
            </w:r>
          </w:p>
        </w:tc>
      </w:tr>
      <w:tr w:rsidR="00E70048" w:rsidRPr="00317F26" w14:paraId="4A37E126" w14:textId="77777777" w:rsidTr="00962BBD">
        <w:tc>
          <w:tcPr>
            <w:tcW w:w="4395" w:type="dxa"/>
          </w:tcPr>
          <w:p w14:paraId="32F31D7B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Heart arrhythmia</w:t>
            </w:r>
          </w:p>
        </w:tc>
        <w:tc>
          <w:tcPr>
            <w:tcW w:w="1190" w:type="dxa"/>
          </w:tcPr>
          <w:p w14:paraId="33BED439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AE04EB2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2.7 %</w:t>
            </w:r>
          </w:p>
        </w:tc>
      </w:tr>
      <w:tr w:rsidR="00E70048" w:rsidRPr="00317F26" w14:paraId="353B63E5" w14:textId="77777777" w:rsidTr="00962BBD">
        <w:tc>
          <w:tcPr>
            <w:tcW w:w="4395" w:type="dxa"/>
          </w:tcPr>
          <w:p w14:paraId="5CC54A84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Other neurologic disease</w:t>
            </w:r>
          </w:p>
        </w:tc>
        <w:tc>
          <w:tcPr>
            <w:tcW w:w="1190" w:type="dxa"/>
          </w:tcPr>
          <w:p w14:paraId="17C89062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457BEB2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1.2 %</w:t>
            </w:r>
          </w:p>
        </w:tc>
      </w:tr>
      <w:tr w:rsidR="00E70048" w:rsidRPr="00317F26" w14:paraId="6B91F12B" w14:textId="77777777" w:rsidTr="00962BBD">
        <w:tc>
          <w:tcPr>
            <w:tcW w:w="4395" w:type="dxa"/>
          </w:tcPr>
          <w:p w14:paraId="427408A1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Pulmonary embolism</w:t>
            </w:r>
          </w:p>
        </w:tc>
        <w:tc>
          <w:tcPr>
            <w:tcW w:w="1190" w:type="dxa"/>
          </w:tcPr>
          <w:p w14:paraId="787BEA6B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4DCF438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1.2 %</w:t>
            </w:r>
          </w:p>
        </w:tc>
      </w:tr>
      <w:tr w:rsidR="00E70048" w:rsidRPr="00317F26" w14:paraId="7403F5A6" w14:textId="77777777" w:rsidTr="00962BBD">
        <w:tc>
          <w:tcPr>
            <w:tcW w:w="4395" w:type="dxa"/>
          </w:tcPr>
          <w:p w14:paraId="58DDDCE1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Drug reaction</w:t>
            </w:r>
          </w:p>
        </w:tc>
        <w:tc>
          <w:tcPr>
            <w:tcW w:w="1190" w:type="dxa"/>
          </w:tcPr>
          <w:p w14:paraId="526F910F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D1CC6D1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1.0 %</w:t>
            </w:r>
          </w:p>
        </w:tc>
      </w:tr>
      <w:tr w:rsidR="00E70048" w:rsidRPr="00317F26" w14:paraId="7DB5B3DB" w14:textId="77777777" w:rsidTr="00962BBD">
        <w:tc>
          <w:tcPr>
            <w:tcW w:w="4395" w:type="dxa"/>
          </w:tcPr>
          <w:p w14:paraId="56F3C435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Psychosis</w:t>
            </w:r>
          </w:p>
        </w:tc>
        <w:tc>
          <w:tcPr>
            <w:tcW w:w="1190" w:type="dxa"/>
          </w:tcPr>
          <w:p w14:paraId="60BB1C77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53FDAB3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1.0 %</w:t>
            </w:r>
          </w:p>
        </w:tc>
      </w:tr>
      <w:tr w:rsidR="00E70048" w:rsidRPr="00317F26" w14:paraId="2C97AE23" w14:textId="77777777" w:rsidTr="00962BBD">
        <w:tc>
          <w:tcPr>
            <w:tcW w:w="4395" w:type="dxa"/>
          </w:tcPr>
          <w:p w14:paraId="3EC1C68E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Haemorrhagic shock</w:t>
            </w:r>
          </w:p>
        </w:tc>
        <w:tc>
          <w:tcPr>
            <w:tcW w:w="1190" w:type="dxa"/>
          </w:tcPr>
          <w:p w14:paraId="2AEB01F1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4B6318D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0.7 %</w:t>
            </w:r>
          </w:p>
        </w:tc>
      </w:tr>
      <w:tr w:rsidR="00E70048" w:rsidRPr="00317F26" w14:paraId="2E59FE3D" w14:textId="77777777" w:rsidTr="00962BBD">
        <w:tc>
          <w:tcPr>
            <w:tcW w:w="4395" w:type="dxa"/>
          </w:tcPr>
          <w:p w14:paraId="52004C3B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Myocardial infarction</w:t>
            </w:r>
          </w:p>
        </w:tc>
        <w:tc>
          <w:tcPr>
            <w:tcW w:w="1190" w:type="dxa"/>
          </w:tcPr>
          <w:p w14:paraId="70795344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97C3DC1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0.7 %</w:t>
            </w:r>
          </w:p>
        </w:tc>
      </w:tr>
      <w:tr w:rsidR="00E70048" w:rsidRPr="00317F26" w14:paraId="2ADC7F61" w14:textId="77777777" w:rsidTr="00962BBD">
        <w:tc>
          <w:tcPr>
            <w:tcW w:w="4395" w:type="dxa"/>
          </w:tcPr>
          <w:p w14:paraId="4D7B3E01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Cancer</w:t>
            </w:r>
          </w:p>
        </w:tc>
        <w:tc>
          <w:tcPr>
            <w:tcW w:w="1190" w:type="dxa"/>
          </w:tcPr>
          <w:p w14:paraId="0C069005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2CFD99E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0.7 %</w:t>
            </w:r>
          </w:p>
        </w:tc>
      </w:tr>
      <w:tr w:rsidR="00E70048" w:rsidRPr="00317F26" w14:paraId="4A22B78F" w14:textId="77777777" w:rsidTr="00962BBD">
        <w:tc>
          <w:tcPr>
            <w:tcW w:w="4395" w:type="dxa"/>
          </w:tcPr>
          <w:p w14:paraId="680F852D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Anaemia</w:t>
            </w:r>
          </w:p>
        </w:tc>
        <w:tc>
          <w:tcPr>
            <w:tcW w:w="1190" w:type="dxa"/>
          </w:tcPr>
          <w:p w14:paraId="3675007E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1A09FE4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0.5 %</w:t>
            </w:r>
          </w:p>
        </w:tc>
      </w:tr>
      <w:tr w:rsidR="00E70048" w:rsidRPr="00317F26" w14:paraId="66DA3E0B" w14:textId="77777777" w:rsidTr="00962BBD">
        <w:tc>
          <w:tcPr>
            <w:tcW w:w="4395" w:type="dxa"/>
          </w:tcPr>
          <w:p w14:paraId="30E8B899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Acute rheumatic or immunological disease</w:t>
            </w:r>
          </w:p>
        </w:tc>
        <w:tc>
          <w:tcPr>
            <w:tcW w:w="1190" w:type="dxa"/>
          </w:tcPr>
          <w:p w14:paraId="6AFEA2A4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5B25E58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0.5 %</w:t>
            </w:r>
          </w:p>
        </w:tc>
      </w:tr>
      <w:tr w:rsidR="00E70048" w:rsidRPr="00317F26" w14:paraId="167177CE" w14:textId="77777777" w:rsidTr="00962BBD">
        <w:tc>
          <w:tcPr>
            <w:tcW w:w="4395" w:type="dxa"/>
          </w:tcPr>
          <w:p w14:paraId="5D8B114C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Drowning/Near-drowning</w:t>
            </w:r>
          </w:p>
        </w:tc>
        <w:tc>
          <w:tcPr>
            <w:tcW w:w="1190" w:type="dxa"/>
          </w:tcPr>
          <w:p w14:paraId="3B2380A1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0A692B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0.5 %</w:t>
            </w:r>
          </w:p>
        </w:tc>
      </w:tr>
      <w:tr w:rsidR="00E70048" w:rsidRPr="00317F26" w14:paraId="7A830B31" w14:textId="77777777" w:rsidTr="00962BBD">
        <w:tc>
          <w:tcPr>
            <w:tcW w:w="4395" w:type="dxa"/>
          </w:tcPr>
          <w:p w14:paraId="1A0DE3DE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Acute functional decline</w:t>
            </w:r>
          </w:p>
        </w:tc>
        <w:tc>
          <w:tcPr>
            <w:tcW w:w="1190" w:type="dxa"/>
          </w:tcPr>
          <w:p w14:paraId="21EB80CF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2B951C6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0.5 %</w:t>
            </w:r>
          </w:p>
        </w:tc>
      </w:tr>
      <w:tr w:rsidR="00E70048" w:rsidRPr="00317F26" w14:paraId="78DC06D2" w14:textId="77777777" w:rsidTr="00962BBD">
        <w:tc>
          <w:tcPr>
            <w:tcW w:w="4395" w:type="dxa"/>
          </w:tcPr>
          <w:p w14:paraId="10515715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Gastric ulcer</w:t>
            </w:r>
          </w:p>
        </w:tc>
        <w:tc>
          <w:tcPr>
            <w:tcW w:w="1190" w:type="dxa"/>
          </w:tcPr>
          <w:p w14:paraId="1B8672E9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FF3038E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0.5 %</w:t>
            </w:r>
          </w:p>
        </w:tc>
      </w:tr>
      <w:tr w:rsidR="00E70048" w:rsidRPr="00317F26" w14:paraId="3F054C69" w14:textId="77777777" w:rsidTr="00962BBD">
        <w:tc>
          <w:tcPr>
            <w:tcW w:w="4395" w:type="dxa"/>
            <w:tcBorders>
              <w:bottom w:val="single" w:sz="4" w:space="0" w:color="auto"/>
            </w:tcBorders>
          </w:tcPr>
          <w:p w14:paraId="2BFE94E3" w14:textId="77777777" w:rsidR="00E70048" w:rsidRPr="00317F26" w:rsidRDefault="00E70048" w:rsidP="00962BB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Other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0A27FD6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0F177F" w14:textId="77777777" w:rsidR="00E70048" w:rsidRPr="00317F26" w:rsidRDefault="00E70048" w:rsidP="00962BB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7F26">
              <w:rPr>
                <w:rFonts w:eastAsia="Calibri"/>
                <w:sz w:val="24"/>
                <w:szCs w:val="24"/>
              </w:rPr>
              <w:t>4 %</w:t>
            </w:r>
          </w:p>
        </w:tc>
      </w:tr>
    </w:tbl>
    <w:p w14:paraId="6E7E8B35" w14:textId="0F73F802" w:rsidR="00E70048" w:rsidRDefault="00E70048" w:rsidP="00E70048">
      <w:pPr>
        <w:pStyle w:val="Overskrift3"/>
      </w:pPr>
      <w:bookmarkStart w:id="2" w:name="_Toc109046461"/>
      <w:r w:rsidRPr="00D464FD">
        <w:t xml:space="preserve">Supplementary table </w:t>
      </w:r>
      <w:r>
        <w:t>3</w:t>
      </w:r>
      <w:r w:rsidRPr="00D464FD">
        <w:t xml:space="preserve">. List of </w:t>
      </w:r>
      <w:r>
        <w:t>non-infectious diagnoses.</w:t>
      </w:r>
      <w:bookmarkEnd w:id="2"/>
    </w:p>
    <w:p w14:paraId="4A614641" w14:textId="0575BC7B" w:rsidR="00511832" w:rsidRDefault="00E70048" w:rsidP="008001B8">
      <w:pPr>
        <w:spacing w:line="240" w:lineRule="auto"/>
      </w:pPr>
      <w:r>
        <w:br w:type="page"/>
      </w: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59"/>
        <w:gridCol w:w="1259"/>
        <w:gridCol w:w="1259"/>
        <w:gridCol w:w="1259"/>
        <w:gridCol w:w="922"/>
      </w:tblGrid>
      <w:tr w:rsidR="00D04681" w:rsidRPr="00917649" w14:paraId="1F685504" w14:textId="77777777" w:rsidTr="001977F7">
        <w:tc>
          <w:tcPr>
            <w:tcW w:w="3114" w:type="dxa"/>
          </w:tcPr>
          <w:p w14:paraId="7FA34048" w14:textId="77777777" w:rsidR="00D04681" w:rsidRPr="00917649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 w:val="restart"/>
            <w:vAlign w:val="bottom"/>
          </w:tcPr>
          <w:p w14:paraId="34E6148D" w14:textId="77777777" w:rsidR="00D04681" w:rsidRPr="009A1054" w:rsidRDefault="00D04681" w:rsidP="001977F7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A1054">
              <w:rPr>
                <w:rFonts w:cstheme="minorHAnsi"/>
                <w:b/>
                <w:bCs/>
                <w:color w:val="000000" w:themeColor="text1"/>
              </w:rPr>
              <w:t>All admissions</w:t>
            </w:r>
          </w:p>
        </w:tc>
        <w:tc>
          <w:tcPr>
            <w:tcW w:w="3777" w:type="dxa"/>
            <w:gridSpan w:val="3"/>
            <w:tcBorders>
              <w:bottom w:val="single" w:sz="4" w:space="0" w:color="auto"/>
            </w:tcBorders>
          </w:tcPr>
          <w:p w14:paraId="79AF2B94" w14:textId="77777777" w:rsidR="00D04681" w:rsidRPr="009A1054" w:rsidRDefault="00D04681" w:rsidP="001977F7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A1054">
              <w:rPr>
                <w:rFonts w:cstheme="minorHAnsi"/>
                <w:b/>
                <w:bCs/>
                <w:color w:val="000000" w:themeColor="text1"/>
              </w:rPr>
              <w:t>Infection likelihood</w:t>
            </w:r>
          </w:p>
        </w:tc>
        <w:tc>
          <w:tcPr>
            <w:tcW w:w="922" w:type="dxa"/>
            <w:vMerge w:val="restart"/>
            <w:vAlign w:val="bottom"/>
          </w:tcPr>
          <w:p w14:paraId="5027BC1C" w14:textId="77777777" w:rsidR="00D04681" w:rsidRPr="009A1054" w:rsidRDefault="00D04681" w:rsidP="001977F7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A1054">
              <w:rPr>
                <w:rFonts w:cstheme="minorHAnsi"/>
                <w:b/>
                <w:bCs/>
                <w:color w:val="000000" w:themeColor="text1"/>
              </w:rPr>
              <w:t>p-value</w:t>
            </w:r>
          </w:p>
        </w:tc>
      </w:tr>
      <w:tr w:rsidR="00D04681" w:rsidRPr="00B47A46" w14:paraId="2015777D" w14:textId="77777777" w:rsidTr="001977F7">
        <w:tc>
          <w:tcPr>
            <w:tcW w:w="3114" w:type="dxa"/>
            <w:tcBorders>
              <w:bottom w:val="single" w:sz="4" w:space="0" w:color="auto"/>
            </w:tcBorders>
          </w:tcPr>
          <w:p w14:paraId="009241F0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05F8529B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2285C38D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47A46">
              <w:rPr>
                <w:rFonts w:cstheme="minorHAnsi"/>
                <w:b/>
                <w:bCs/>
                <w:color w:val="000000" w:themeColor="text1"/>
              </w:rPr>
              <w:t>Not likely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00ABC2E3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47A46">
              <w:rPr>
                <w:rFonts w:cstheme="minorHAnsi"/>
                <w:b/>
                <w:bCs/>
                <w:color w:val="000000" w:themeColor="text1"/>
              </w:rPr>
              <w:t>Probable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58603DAA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47A46">
              <w:rPr>
                <w:rFonts w:cstheme="minorHAnsi"/>
                <w:b/>
                <w:bCs/>
                <w:color w:val="000000" w:themeColor="text1"/>
              </w:rPr>
              <w:t>Definite</w:t>
            </w: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14:paraId="7F2A97FB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04681" w:rsidRPr="00B47A46" w14:paraId="2F403E8C" w14:textId="77777777" w:rsidTr="001977F7">
        <w:tc>
          <w:tcPr>
            <w:tcW w:w="3114" w:type="dxa"/>
            <w:tcBorders>
              <w:top w:val="single" w:sz="4" w:space="0" w:color="auto"/>
            </w:tcBorders>
          </w:tcPr>
          <w:p w14:paraId="7295C143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Total Admissions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762412C9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391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0F19524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154 (39)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2EF3641D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135 (35)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4A5484CD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102 (26)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27778544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04681" w:rsidRPr="00B47A46" w14:paraId="26452BB8" w14:textId="77777777" w:rsidTr="001977F7">
        <w:tc>
          <w:tcPr>
            <w:tcW w:w="3114" w:type="dxa"/>
          </w:tcPr>
          <w:p w14:paraId="4EAC4737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4234F853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05275ED9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526E6460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700DA3E5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56556D0B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D04681" w:rsidRPr="00B47A46" w14:paraId="64B37995" w14:textId="77777777" w:rsidTr="001977F7">
        <w:tc>
          <w:tcPr>
            <w:tcW w:w="3114" w:type="dxa"/>
            <w:tcBorders>
              <w:bottom w:val="single" w:sz="4" w:space="0" w:color="auto"/>
            </w:tcBorders>
          </w:tcPr>
          <w:p w14:paraId="46AAFAD3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B47A46">
              <w:rPr>
                <w:rFonts w:cstheme="minorHAnsi"/>
                <w:b/>
                <w:bCs/>
                <w:color w:val="000000" w:themeColor="text1"/>
              </w:rPr>
              <w:t>Baseline Demographic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8654759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06EDAE0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7CFB065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5AEF78C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  <w:vertAlign w:val="superscript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245B7C12" w14:textId="77777777" w:rsidR="00D04681" w:rsidRPr="00B47A46" w:rsidRDefault="00D04681" w:rsidP="001977F7">
            <w:pPr>
              <w:spacing w:line="240" w:lineRule="auto"/>
              <w:jc w:val="center"/>
              <w:rPr>
                <w:rFonts w:cstheme="minorHAnsi"/>
                <w:color w:val="000000" w:themeColor="text1"/>
                <w:vertAlign w:val="superscript"/>
              </w:rPr>
            </w:pPr>
          </w:p>
        </w:tc>
      </w:tr>
      <w:tr w:rsidR="00D04681" w:rsidRPr="00B47A46" w14:paraId="4006FD1E" w14:textId="77777777" w:rsidTr="001977F7">
        <w:tc>
          <w:tcPr>
            <w:tcW w:w="3114" w:type="dxa"/>
            <w:tcBorders>
              <w:top w:val="single" w:sz="4" w:space="0" w:color="auto"/>
            </w:tcBorders>
          </w:tcPr>
          <w:p w14:paraId="544C2810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Age, mean (SD)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8A9CCF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68 (19)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75293A2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64 (19)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49A8F83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71 (18)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7247D84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69 (19)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49403A3C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0.005</w:t>
            </w:r>
            <w:r w:rsidRPr="00B47A46">
              <w:rPr>
                <w:color w:val="000000" w:themeColor="text1"/>
                <w:vertAlign w:val="superscript"/>
              </w:rPr>
              <w:t>#</w:t>
            </w:r>
          </w:p>
        </w:tc>
      </w:tr>
      <w:tr w:rsidR="00D04681" w:rsidRPr="00B47A46" w14:paraId="650644DB" w14:textId="77777777" w:rsidTr="001977F7">
        <w:trPr>
          <w:trHeight w:val="74"/>
        </w:trPr>
        <w:tc>
          <w:tcPr>
            <w:tcW w:w="3114" w:type="dxa"/>
          </w:tcPr>
          <w:p w14:paraId="67294243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Male, n (%)</w:t>
            </w:r>
          </w:p>
        </w:tc>
        <w:tc>
          <w:tcPr>
            <w:tcW w:w="1259" w:type="dxa"/>
            <w:vAlign w:val="center"/>
          </w:tcPr>
          <w:p w14:paraId="34DFE06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222 (57)</w:t>
            </w:r>
          </w:p>
        </w:tc>
        <w:tc>
          <w:tcPr>
            <w:tcW w:w="1259" w:type="dxa"/>
            <w:vAlign w:val="center"/>
          </w:tcPr>
          <w:p w14:paraId="0BB1988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86 (56)</w:t>
            </w:r>
          </w:p>
        </w:tc>
        <w:tc>
          <w:tcPr>
            <w:tcW w:w="1259" w:type="dxa"/>
            <w:vAlign w:val="center"/>
          </w:tcPr>
          <w:p w14:paraId="37345DB6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80 (59)</w:t>
            </w:r>
          </w:p>
        </w:tc>
        <w:tc>
          <w:tcPr>
            <w:tcW w:w="1259" w:type="dxa"/>
            <w:vAlign w:val="center"/>
          </w:tcPr>
          <w:p w14:paraId="6EFBE89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57 (56)</w:t>
            </w:r>
          </w:p>
        </w:tc>
        <w:tc>
          <w:tcPr>
            <w:tcW w:w="922" w:type="dxa"/>
            <w:vAlign w:val="center"/>
          </w:tcPr>
          <w:p w14:paraId="5116715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0.880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5714DB41" w14:textId="77777777" w:rsidTr="001977F7">
        <w:tc>
          <w:tcPr>
            <w:tcW w:w="3114" w:type="dxa"/>
          </w:tcPr>
          <w:p w14:paraId="3C8C7F3E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Charlson Comorbidity Index, mean (SD)</w:t>
            </w:r>
          </w:p>
        </w:tc>
        <w:tc>
          <w:tcPr>
            <w:tcW w:w="1259" w:type="dxa"/>
            <w:vAlign w:val="center"/>
          </w:tcPr>
          <w:p w14:paraId="74FA46C3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2.7 (2.4)</w:t>
            </w:r>
          </w:p>
        </w:tc>
        <w:tc>
          <w:tcPr>
            <w:tcW w:w="1259" w:type="dxa"/>
            <w:vAlign w:val="center"/>
          </w:tcPr>
          <w:p w14:paraId="40798D7E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2.2 (2.3)</w:t>
            </w:r>
          </w:p>
        </w:tc>
        <w:tc>
          <w:tcPr>
            <w:tcW w:w="1259" w:type="dxa"/>
            <w:vAlign w:val="center"/>
          </w:tcPr>
          <w:p w14:paraId="1235EEEC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3.1 (2.4)</w:t>
            </w:r>
          </w:p>
        </w:tc>
        <w:tc>
          <w:tcPr>
            <w:tcW w:w="1259" w:type="dxa"/>
            <w:vAlign w:val="center"/>
          </w:tcPr>
          <w:p w14:paraId="3A1B868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3.1 (2.4)</w:t>
            </w:r>
          </w:p>
        </w:tc>
        <w:tc>
          <w:tcPr>
            <w:tcW w:w="922" w:type="dxa"/>
            <w:vAlign w:val="center"/>
          </w:tcPr>
          <w:p w14:paraId="4D05157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0.003</w:t>
            </w:r>
            <w:r w:rsidRPr="00B47A46">
              <w:rPr>
                <w:color w:val="000000" w:themeColor="text1"/>
                <w:vertAlign w:val="superscript"/>
              </w:rPr>
              <w:t>#</w:t>
            </w:r>
          </w:p>
        </w:tc>
      </w:tr>
      <w:tr w:rsidR="00D04681" w:rsidRPr="00B47A46" w14:paraId="5281F3DB" w14:textId="77777777" w:rsidTr="001977F7">
        <w:tc>
          <w:tcPr>
            <w:tcW w:w="3114" w:type="dxa"/>
          </w:tcPr>
          <w:p w14:paraId="562C3DD4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7A4CD976" w14:textId="77777777" w:rsidR="00D04681" w:rsidRPr="00B47A46" w:rsidRDefault="00D04681" w:rsidP="001977F7">
            <w:pPr>
              <w:spacing w:line="240" w:lineRule="auto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713F6FD6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29B25B3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3A61BA7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vAlign w:val="center"/>
          </w:tcPr>
          <w:p w14:paraId="523B92F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D04681" w:rsidRPr="00B47A46" w14:paraId="761EC196" w14:textId="77777777" w:rsidTr="001977F7">
        <w:tc>
          <w:tcPr>
            <w:tcW w:w="3114" w:type="dxa"/>
            <w:tcBorders>
              <w:bottom w:val="single" w:sz="4" w:space="0" w:color="auto"/>
            </w:tcBorders>
          </w:tcPr>
          <w:p w14:paraId="5E750880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B47A46">
              <w:rPr>
                <w:rFonts w:cstheme="minorHAnsi"/>
                <w:b/>
                <w:bCs/>
                <w:color w:val="000000" w:themeColor="text1"/>
              </w:rPr>
              <w:t>Clinical characteristics in 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AD3FE93" w14:textId="77777777" w:rsidR="00D04681" w:rsidRPr="00B47A46" w:rsidRDefault="00D04681" w:rsidP="001977F7">
            <w:pPr>
              <w:spacing w:line="240" w:lineRule="auto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1DA32B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AD8136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E6D6BD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46CE5EFC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D04681" w:rsidRPr="00B47A46" w14:paraId="1C961143" w14:textId="77777777" w:rsidTr="001977F7">
        <w:tc>
          <w:tcPr>
            <w:tcW w:w="3114" w:type="dxa"/>
            <w:tcBorders>
              <w:top w:val="single" w:sz="4" w:space="0" w:color="auto"/>
            </w:tcBorders>
          </w:tcPr>
          <w:p w14:paraId="14F581BE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SOFA increase, mean (SD)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297F1F6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3.0 (2.1)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CE39F6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3.1 (2.3)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13674A73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2.6 (1.7)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7C9FE64E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3.3 (2.4)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1D5337F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0.028</w:t>
            </w:r>
            <w:r w:rsidRPr="00B47A46">
              <w:rPr>
                <w:color w:val="000000" w:themeColor="text1"/>
                <w:vertAlign w:val="superscript"/>
              </w:rPr>
              <w:t>#</w:t>
            </w:r>
          </w:p>
        </w:tc>
      </w:tr>
      <w:tr w:rsidR="00D04681" w:rsidRPr="00B47A46" w14:paraId="7B4437ED" w14:textId="77777777" w:rsidTr="001977F7">
        <w:tc>
          <w:tcPr>
            <w:tcW w:w="3114" w:type="dxa"/>
          </w:tcPr>
          <w:p w14:paraId="442102B8" w14:textId="77777777" w:rsidR="00D04681" w:rsidRPr="00B47A46" w:rsidRDefault="00D04681" w:rsidP="001977F7">
            <w:pPr>
              <w:spacing w:line="240" w:lineRule="auto"/>
              <w:ind w:left="360"/>
              <w:rPr>
                <w:rFonts w:cstheme="minorHAnsi"/>
                <w:color w:val="000000" w:themeColor="text1"/>
              </w:rPr>
            </w:pPr>
            <w:r w:rsidRPr="00B47A46">
              <w:rPr>
                <w:color w:val="000000" w:themeColor="text1"/>
              </w:rPr>
              <w:t>SOFA increase ≥ 2, n (%)</w:t>
            </w:r>
          </w:p>
        </w:tc>
        <w:tc>
          <w:tcPr>
            <w:tcW w:w="1259" w:type="dxa"/>
            <w:vAlign w:val="center"/>
          </w:tcPr>
          <w:p w14:paraId="41721C5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285 (73)</w:t>
            </w:r>
          </w:p>
        </w:tc>
        <w:tc>
          <w:tcPr>
            <w:tcW w:w="1259" w:type="dxa"/>
            <w:vAlign w:val="center"/>
          </w:tcPr>
          <w:p w14:paraId="51B62B1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114 (74)</w:t>
            </w:r>
          </w:p>
        </w:tc>
        <w:tc>
          <w:tcPr>
            <w:tcW w:w="1259" w:type="dxa"/>
            <w:vAlign w:val="center"/>
          </w:tcPr>
          <w:p w14:paraId="54A00A5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93 (69)</w:t>
            </w:r>
          </w:p>
        </w:tc>
        <w:tc>
          <w:tcPr>
            <w:tcW w:w="1259" w:type="dxa"/>
            <w:vAlign w:val="center"/>
          </w:tcPr>
          <w:p w14:paraId="1ABA790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80 (76)</w:t>
            </w:r>
          </w:p>
        </w:tc>
        <w:tc>
          <w:tcPr>
            <w:tcW w:w="922" w:type="dxa"/>
            <w:vAlign w:val="center"/>
          </w:tcPr>
          <w:p w14:paraId="7EC233A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0.062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32864C0E" w14:textId="77777777" w:rsidTr="001977F7">
        <w:tc>
          <w:tcPr>
            <w:tcW w:w="3114" w:type="dxa"/>
          </w:tcPr>
          <w:p w14:paraId="03226A06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qSOFA, mean (SD)</w:t>
            </w:r>
          </w:p>
        </w:tc>
        <w:tc>
          <w:tcPr>
            <w:tcW w:w="1259" w:type="dxa"/>
            <w:vAlign w:val="center"/>
          </w:tcPr>
          <w:p w14:paraId="5A4A237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1.4 (0.72)</w:t>
            </w:r>
          </w:p>
        </w:tc>
        <w:tc>
          <w:tcPr>
            <w:tcW w:w="1259" w:type="dxa"/>
            <w:vAlign w:val="center"/>
          </w:tcPr>
          <w:p w14:paraId="693EC04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1.3 (0.7)</w:t>
            </w:r>
          </w:p>
        </w:tc>
        <w:tc>
          <w:tcPr>
            <w:tcW w:w="1259" w:type="dxa"/>
            <w:vAlign w:val="center"/>
          </w:tcPr>
          <w:p w14:paraId="2762676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1.5 (0.8)</w:t>
            </w:r>
          </w:p>
        </w:tc>
        <w:tc>
          <w:tcPr>
            <w:tcW w:w="1259" w:type="dxa"/>
            <w:vAlign w:val="center"/>
          </w:tcPr>
          <w:p w14:paraId="0526134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1.4 (0.8)</w:t>
            </w:r>
          </w:p>
        </w:tc>
        <w:tc>
          <w:tcPr>
            <w:tcW w:w="922" w:type="dxa"/>
            <w:vAlign w:val="center"/>
          </w:tcPr>
          <w:p w14:paraId="20BDF5A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0.064</w:t>
            </w:r>
            <w:r w:rsidRPr="00B47A46">
              <w:rPr>
                <w:color w:val="000000" w:themeColor="text1"/>
                <w:vertAlign w:val="superscript"/>
              </w:rPr>
              <w:t>#</w:t>
            </w:r>
          </w:p>
        </w:tc>
      </w:tr>
      <w:tr w:rsidR="00D04681" w:rsidRPr="00B47A46" w14:paraId="539553B9" w14:textId="77777777" w:rsidTr="001977F7">
        <w:tc>
          <w:tcPr>
            <w:tcW w:w="3114" w:type="dxa"/>
          </w:tcPr>
          <w:p w14:paraId="652091FF" w14:textId="77777777" w:rsidR="00D04681" w:rsidRPr="00B47A46" w:rsidRDefault="00D04681" w:rsidP="001977F7">
            <w:pPr>
              <w:spacing w:line="240" w:lineRule="auto"/>
              <w:ind w:left="360"/>
              <w:rPr>
                <w:rFonts w:cstheme="minorHAnsi"/>
                <w:color w:val="000000" w:themeColor="text1"/>
              </w:rPr>
            </w:pPr>
            <w:r w:rsidRPr="00B47A46">
              <w:rPr>
                <w:color w:val="000000" w:themeColor="text1"/>
              </w:rPr>
              <w:t>qSOFA ≥ 2, n (%)</w:t>
            </w:r>
          </w:p>
        </w:tc>
        <w:tc>
          <w:tcPr>
            <w:tcW w:w="1259" w:type="dxa"/>
            <w:vAlign w:val="center"/>
          </w:tcPr>
          <w:p w14:paraId="2D8DC67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163 (42)</w:t>
            </w:r>
          </w:p>
        </w:tc>
        <w:tc>
          <w:tcPr>
            <w:tcW w:w="1259" w:type="dxa"/>
            <w:vAlign w:val="center"/>
          </w:tcPr>
          <w:p w14:paraId="3303B37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53 (34)</w:t>
            </w:r>
          </w:p>
        </w:tc>
        <w:tc>
          <w:tcPr>
            <w:tcW w:w="1259" w:type="dxa"/>
            <w:vAlign w:val="center"/>
          </w:tcPr>
          <w:p w14:paraId="3009068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62 (46)</w:t>
            </w:r>
          </w:p>
        </w:tc>
        <w:tc>
          <w:tcPr>
            <w:tcW w:w="1259" w:type="dxa"/>
            <w:vAlign w:val="center"/>
          </w:tcPr>
          <w:p w14:paraId="654CD750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48 (47)</w:t>
            </w:r>
          </w:p>
        </w:tc>
        <w:tc>
          <w:tcPr>
            <w:tcW w:w="922" w:type="dxa"/>
            <w:vAlign w:val="center"/>
          </w:tcPr>
          <w:p w14:paraId="4FED099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0.395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432476D1" w14:textId="77777777" w:rsidTr="001977F7">
        <w:tc>
          <w:tcPr>
            <w:tcW w:w="3114" w:type="dxa"/>
          </w:tcPr>
          <w:p w14:paraId="22B9BBB2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SIRS, mean (SD)</w:t>
            </w:r>
          </w:p>
        </w:tc>
        <w:tc>
          <w:tcPr>
            <w:tcW w:w="1259" w:type="dxa"/>
            <w:vAlign w:val="center"/>
          </w:tcPr>
          <w:p w14:paraId="4A626D30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2.4 (1.1)</w:t>
            </w:r>
          </w:p>
        </w:tc>
        <w:tc>
          <w:tcPr>
            <w:tcW w:w="1259" w:type="dxa"/>
            <w:vAlign w:val="center"/>
          </w:tcPr>
          <w:p w14:paraId="3D0395E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2.0 (1.1)</w:t>
            </w:r>
          </w:p>
        </w:tc>
        <w:tc>
          <w:tcPr>
            <w:tcW w:w="1259" w:type="dxa"/>
            <w:vAlign w:val="center"/>
          </w:tcPr>
          <w:p w14:paraId="4D9A224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2.6 (1.0)</w:t>
            </w:r>
          </w:p>
        </w:tc>
        <w:tc>
          <w:tcPr>
            <w:tcW w:w="1259" w:type="dxa"/>
            <w:vAlign w:val="center"/>
          </w:tcPr>
          <w:p w14:paraId="2D22889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2.7 (0.9)</w:t>
            </w:r>
          </w:p>
        </w:tc>
        <w:tc>
          <w:tcPr>
            <w:tcW w:w="922" w:type="dxa"/>
            <w:vAlign w:val="center"/>
          </w:tcPr>
          <w:p w14:paraId="20DFC20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#</w:t>
            </w:r>
          </w:p>
        </w:tc>
      </w:tr>
      <w:tr w:rsidR="00D04681" w:rsidRPr="00B47A46" w14:paraId="391F69B3" w14:textId="77777777" w:rsidTr="001977F7">
        <w:tc>
          <w:tcPr>
            <w:tcW w:w="3114" w:type="dxa"/>
          </w:tcPr>
          <w:p w14:paraId="68EF00B2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NEWS, mean (SD)</w:t>
            </w:r>
          </w:p>
        </w:tc>
        <w:tc>
          <w:tcPr>
            <w:tcW w:w="1259" w:type="dxa"/>
            <w:vAlign w:val="center"/>
          </w:tcPr>
          <w:p w14:paraId="33FAA586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8.4 (3.6)</w:t>
            </w:r>
          </w:p>
        </w:tc>
        <w:tc>
          <w:tcPr>
            <w:tcW w:w="1259" w:type="dxa"/>
            <w:vAlign w:val="center"/>
          </w:tcPr>
          <w:p w14:paraId="31ACDEF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8.2 (3.4)</w:t>
            </w:r>
          </w:p>
        </w:tc>
        <w:tc>
          <w:tcPr>
            <w:tcW w:w="1259" w:type="dxa"/>
            <w:vAlign w:val="center"/>
          </w:tcPr>
          <w:p w14:paraId="4FF3A3E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8.4 (3.6)</w:t>
            </w:r>
          </w:p>
        </w:tc>
        <w:tc>
          <w:tcPr>
            <w:tcW w:w="1259" w:type="dxa"/>
            <w:vAlign w:val="center"/>
          </w:tcPr>
          <w:p w14:paraId="50E35810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8.8 (3.8)</w:t>
            </w:r>
          </w:p>
        </w:tc>
        <w:tc>
          <w:tcPr>
            <w:tcW w:w="922" w:type="dxa"/>
            <w:vAlign w:val="center"/>
          </w:tcPr>
          <w:p w14:paraId="3CB64FC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0.442</w:t>
            </w:r>
            <w:r w:rsidRPr="00B47A46">
              <w:rPr>
                <w:color w:val="000000" w:themeColor="text1"/>
                <w:vertAlign w:val="superscript"/>
              </w:rPr>
              <w:t>#</w:t>
            </w:r>
          </w:p>
        </w:tc>
      </w:tr>
      <w:tr w:rsidR="00D04681" w:rsidRPr="00B47A46" w14:paraId="1280B781" w14:textId="77777777" w:rsidTr="001977F7">
        <w:tc>
          <w:tcPr>
            <w:tcW w:w="3114" w:type="dxa"/>
          </w:tcPr>
          <w:p w14:paraId="0526BACB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Blood culture drawn</w:t>
            </w:r>
            <w:r>
              <w:rPr>
                <w:rFonts w:cstheme="minorHAnsi"/>
                <w:color w:val="000000" w:themeColor="text1"/>
              </w:rPr>
              <w:t xml:space="preserve"> (%)</w:t>
            </w:r>
          </w:p>
        </w:tc>
        <w:tc>
          <w:tcPr>
            <w:tcW w:w="1259" w:type="dxa"/>
            <w:vAlign w:val="center"/>
          </w:tcPr>
          <w:p w14:paraId="39D8AB2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318 (81)</w:t>
            </w:r>
          </w:p>
        </w:tc>
        <w:tc>
          <w:tcPr>
            <w:tcW w:w="1259" w:type="dxa"/>
            <w:vAlign w:val="center"/>
          </w:tcPr>
          <w:p w14:paraId="482AD3D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87 (56)</w:t>
            </w:r>
          </w:p>
        </w:tc>
        <w:tc>
          <w:tcPr>
            <w:tcW w:w="1259" w:type="dxa"/>
            <w:vAlign w:val="center"/>
          </w:tcPr>
          <w:p w14:paraId="2E0E467C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131 (97)</w:t>
            </w:r>
          </w:p>
        </w:tc>
        <w:tc>
          <w:tcPr>
            <w:tcW w:w="1259" w:type="dxa"/>
            <w:vAlign w:val="center"/>
          </w:tcPr>
          <w:p w14:paraId="74B2D94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100 (98)</w:t>
            </w:r>
          </w:p>
        </w:tc>
        <w:tc>
          <w:tcPr>
            <w:tcW w:w="922" w:type="dxa"/>
            <w:vAlign w:val="center"/>
          </w:tcPr>
          <w:p w14:paraId="0C46C85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7325D1E9" w14:textId="77777777" w:rsidTr="001977F7">
        <w:tc>
          <w:tcPr>
            <w:tcW w:w="3114" w:type="dxa"/>
          </w:tcPr>
          <w:p w14:paraId="6F0C9A0A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Antibiotics in ED, n (%)</w:t>
            </w:r>
          </w:p>
        </w:tc>
        <w:tc>
          <w:tcPr>
            <w:tcW w:w="1259" w:type="dxa"/>
            <w:vAlign w:val="center"/>
          </w:tcPr>
          <w:p w14:paraId="517E6B1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259 (66)</w:t>
            </w:r>
          </w:p>
        </w:tc>
        <w:tc>
          <w:tcPr>
            <w:tcW w:w="1259" w:type="dxa"/>
            <w:vAlign w:val="center"/>
          </w:tcPr>
          <w:p w14:paraId="79DF3C20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43 (28)</w:t>
            </w:r>
          </w:p>
        </w:tc>
        <w:tc>
          <w:tcPr>
            <w:tcW w:w="1259" w:type="dxa"/>
            <w:vAlign w:val="center"/>
          </w:tcPr>
          <w:p w14:paraId="0412919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123 (91)</w:t>
            </w:r>
          </w:p>
        </w:tc>
        <w:tc>
          <w:tcPr>
            <w:tcW w:w="1259" w:type="dxa"/>
            <w:vAlign w:val="center"/>
          </w:tcPr>
          <w:p w14:paraId="5768DC6C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93 (91)</w:t>
            </w:r>
          </w:p>
        </w:tc>
        <w:tc>
          <w:tcPr>
            <w:tcW w:w="922" w:type="dxa"/>
            <w:vAlign w:val="center"/>
          </w:tcPr>
          <w:p w14:paraId="6CDCF166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6E16F457" w14:textId="77777777" w:rsidTr="001977F7">
        <w:tc>
          <w:tcPr>
            <w:tcW w:w="3114" w:type="dxa"/>
          </w:tcPr>
          <w:p w14:paraId="0CF2BB3A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570562FB" w14:textId="77777777" w:rsidR="00D04681" w:rsidRPr="00B47A46" w:rsidRDefault="00D04681" w:rsidP="001977F7">
            <w:pPr>
              <w:spacing w:line="240" w:lineRule="auto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04B318E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65CEB74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4659C71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922" w:type="dxa"/>
            <w:vAlign w:val="center"/>
          </w:tcPr>
          <w:p w14:paraId="7D38260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</w:tr>
      <w:tr w:rsidR="00D04681" w:rsidRPr="00B47A46" w14:paraId="589E2776" w14:textId="77777777" w:rsidTr="001977F7">
        <w:tc>
          <w:tcPr>
            <w:tcW w:w="3114" w:type="dxa"/>
            <w:tcBorders>
              <w:bottom w:val="single" w:sz="4" w:space="0" w:color="auto"/>
            </w:tcBorders>
          </w:tcPr>
          <w:p w14:paraId="01A890BD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b/>
                <w:bCs/>
                <w:color w:val="000000" w:themeColor="text1"/>
              </w:rPr>
              <w:t>Laboratory parameters in 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3AC56220" w14:textId="77777777" w:rsidR="00D04681" w:rsidRPr="00B47A46" w:rsidRDefault="00D04681" w:rsidP="001977F7">
            <w:pPr>
              <w:spacing w:line="240" w:lineRule="auto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15239B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A7C3F5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B962EF0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2B939A96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</w:tr>
      <w:tr w:rsidR="00D04681" w:rsidRPr="00B47A46" w14:paraId="70E5E10F" w14:textId="77777777" w:rsidTr="001977F7">
        <w:tc>
          <w:tcPr>
            <w:tcW w:w="3114" w:type="dxa"/>
            <w:tcBorders>
              <w:top w:val="single" w:sz="4" w:space="0" w:color="auto"/>
            </w:tcBorders>
          </w:tcPr>
          <w:p w14:paraId="465CB1D5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Calprotectin (mg/L), median (IQR)</w:t>
            </w:r>
            <w:r w:rsidRPr="00B47A46">
              <w:rPr>
                <w:rFonts w:cstheme="minorHAnsi"/>
                <w:color w:val="000000" w:themeColor="text1"/>
                <w:vertAlign w:val="superscript"/>
              </w:rPr>
              <w:t xml:space="preserve"> 9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D1F1BA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2.48 (2.58)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D74EFB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1.53 (1.61)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A1D5110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2.72 (2.36)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1BBD03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3.8 (4.0)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1D30B6E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46CDC5AD" w14:textId="77777777" w:rsidTr="001977F7">
        <w:tc>
          <w:tcPr>
            <w:tcW w:w="3114" w:type="dxa"/>
          </w:tcPr>
          <w:p w14:paraId="3DF7FA2E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 xml:space="preserve">CRP (mg/L), median (IQR) </w:t>
            </w:r>
            <w:r w:rsidRPr="00B47A46">
              <w:rPr>
                <w:rFonts w:cstheme="minorHAnsi"/>
                <w:color w:val="000000" w:themeColor="text1"/>
                <w:vertAlign w:val="superscript"/>
              </w:rPr>
              <w:t>11</w:t>
            </w:r>
          </w:p>
        </w:tc>
        <w:tc>
          <w:tcPr>
            <w:tcW w:w="1259" w:type="dxa"/>
            <w:vAlign w:val="center"/>
          </w:tcPr>
          <w:p w14:paraId="6D4588C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37 (109)</w:t>
            </w:r>
          </w:p>
        </w:tc>
        <w:tc>
          <w:tcPr>
            <w:tcW w:w="1259" w:type="dxa"/>
            <w:vAlign w:val="center"/>
          </w:tcPr>
          <w:p w14:paraId="1F9C505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5 (16)</w:t>
            </w:r>
          </w:p>
        </w:tc>
        <w:tc>
          <w:tcPr>
            <w:tcW w:w="1259" w:type="dxa"/>
            <w:vAlign w:val="center"/>
          </w:tcPr>
          <w:p w14:paraId="4AC3201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84 (118)</w:t>
            </w:r>
          </w:p>
        </w:tc>
        <w:tc>
          <w:tcPr>
            <w:tcW w:w="1259" w:type="dxa"/>
            <w:vAlign w:val="center"/>
          </w:tcPr>
          <w:p w14:paraId="3AB3610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88 (146)</w:t>
            </w:r>
          </w:p>
        </w:tc>
        <w:tc>
          <w:tcPr>
            <w:tcW w:w="922" w:type="dxa"/>
            <w:vAlign w:val="center"/>
          </w:tcPr>
          <w:p w14:paraId="0E9D623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60E99241" w14:textId="77777777" w:rsidTr="001977F7">
        <w:tc>
          <w:tcPr>
            <w:tcW w:w="3114" w:type="dxa"/>
          </w:tcPr>
          <w:p w14:paraId="5F2554B0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IL-6 (</w:t>
            </w:r>
            <w:proofErr w:type="spellStart"/>
            <w:r>
              <w:rPr>
                <w:rFonts w:cstheme="minorHAnsi"/>
                <w:color w:val="000000" w:themeColor="text1"/>
              </w:rPr>
              <w:t>pg</w:t>
            </w:r>
            <w:proofErr w:type="spellEnd"/>
            <w:r>
              <w:rPr>
                <w:rFonts w:cstheme="minorHAnsi"/>
                <w:color w:val="000000" w:themeColor="text1"/>
              </w:rPr>
              <w:t>/mL</w:t>
            </w:r>
            <w:r w:rsidRPr="00B47A46">
              <w:rPr>
                <w:rFonts w:cstheme="minorHAnsi"/>
                <w:color w:val="000000" w:themeColor="text1"/>
              </w:rPr>
              <w:t>), median (</w:t>
            </w:r>
            <w:proofErr w:type="spellStart"/>
            <w:r w:rsidRPr="00B47A46">
              <w:rPr>
                <w:rFonts w:cstheme="minorHAnsi"/>
                <w:color w:val="000000" w:themeColor="text1"/>
              </w:rPr>
              <w:t>IQR</w:t>
            </w:r>
            <w:proofErr w:type="spellEnd"/>
            <w:r w:rsidRPr="00B47A46">
              <w:rPr>
                <w:rFonts w:cstheme="minorHAnsi"/>
                <w:color w:val="000000" w:themeColor="text1"/>
              </w:rPr>
              <w:t>)</w:t>
            </w:r>
            <w:r w:rsidRPr="00B47A46">
              <w:rPr>
                <w:rFonts w:cstheme="minorHAnsi"/>
                <w:color w:val="000000" w:themeColor="text1"/>
                <w:vertAlign w:val="superscript"/>
              </w:rPr>
              <w:t xml:space="preserve"> 14</w:t>
            </w:r>
          </w:p>
        </w:tc>
        <w:tc>
          <w:tcPr>
            <w:tcW w:w="1259" w:type="dxa"/>
            <w:vAlign w:val="center"/>
          </w:tcPr>
          <w:p w14:paraId="362ED1C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89 (382)</w:t>
            </w:r>
          </w:p>
        </w:tc>
        <w:tc>
          <w:tcPr>
            <w:tcW w:w="1259" w:type="dxa"/>
            <w:vAlign w:val="center"/>
          </w:tcPr>
          <w:p w14:paraId="3D32CA6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18 (34)</w:t>
            </w:r>
          </w:p>
        </w:tc>
        <w:tc>
          <w:tcPr>
            <w:tcW w:w="1259" w:type="dxa"/>
            <w:vAlign w:val="center"/>
          </w:tcPr>
          <w:p w14:paraId="608CE9E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156 (381)</w:t>
            </w:r>
          </w:p>
        </w:tc>
        <w:tc>
          <w:tcPr>
            <w:tcW w:w="1259" w:type="dxa"/>
            <w:vAlign w:val="center"/>
          </w:tcPr>
          <w:p w14:paraId="18F70EA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460 (4339)</w:t>
            </w:r>
          </w:p>
        </w:tc>
        <w:tc>
          <w:tcPr>
            <w:tcW w:w="922" w:type="dxa"/>
            <w:vAlign w:val="center"/>
          </w:tcPr>
          <w:p w14:paraId="58F8EEA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09E7892E" w14:textId="77777777" w:rsidTr="001977F7">
        <w:tc>
          <w:tcPr>
            <w:tcW w:w="3114" w:type="dxa"/>
          </w:tcPr>
          <w:p w14:paraId="7B9CA9EA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PCT (</w:t>
            </w:r>
            <w:r w:rsidRPr="00B47A46">
              <w:rPr>
                <w:rFonts w:cstheme="minorHAnsi"/>
                <w:color w:val="000000" w:themeColor="text1"/>
                <w:lang w:val="en-US"/>
              </w:rPr>
              <w:t>µg/L)</w:t>
            </w:r>
            <w:r w:rsidRPr="00B47A46">
              <w:rPr>
                <w:rFonts w:cstheme="minorHAnsi"/>
                <w:color w:val="000000" w:themeColor="text1"/>
              </w:rPr>
              <w:t>, median (IQR)</w:t>
            </w:r>
            <w:r w:rsidRPr="00B47A46">
              <w:rPr>
                <w:rFonts w:cstheme="minorHAnsi"/>
                <w:color w:val="000000" w:themeColor="text1"/>
                <w:vertAlign w:val="superscript"/>
              </w:rPr>
              <w:t xml:space="preserve"> 13</w:t>
            </w:r>
          </w:p>
        </w:tc>
        <w:tc>
          <w:tcPr>
            <w:tcW w:w="1259" w:type="dxa"/>
            <w:vAlign w:val="center"/>
          </w:tcPr>
          <w:p w14:paraId="442F8233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0.20 (0.85)</w:t>
            </w:r>
          </w:p>
        </w:tc>
        <w:tc>
          <w:tcPr>
            <w:tcW w:w="1259" w:type="dxa"/>
            <w:vAlign w:val="center"/>
          </w:tcPr>
          <w:p w14:paraId="6DA2B2A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0.10 (0.02)</w:t>
            </w:r>
          </w:p>
        </w:tc>
        <w:tc>
          <w:tcPr>
            <w:tcW w:w="1259" w:type="dxa"/>
            <w:vAlign w:val="center"/>
          </w:tcPr>
          <w:p w14:paraId="15AD49A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0.3 (0.98)</w:t>
            </w:r>
          </w:p>
        </w:tc>
        <w:tc>
          <w:tcPr>
            <w:tcW w:w="1259" w:type="dxa"/>
            <w:vAlign w:val="center"/>
          </w:tcPr>
          <w:p w14:paraId="33EF452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1.2 (13.3)</w:t>
            </w:r>
          </w:p>
        </w:tc>
        <w:tc>
          <w:tcPr>
            <w:tcW w:w="922" w:type="dxa"/>
            <w:vAlign w:val="center"/>
          </w:tcPr>
          <w:p w14:paraId="7D3C35C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19FC404E" w14:textId="77777777" w:rsidTr="001977F7">
        <w:tc>
          <w:tcPr>
            <w:tcW w:w="3114" w:type="dxa"/>
          </w:tcPr>
          <w:p w14:paraId="12866F9F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Leucocytes</w:t>
            </w:r>
            <w:r w:rsidRPr="00B47A46">
              <w:rPr>
                <w:color w:val="000000" w:themeColor="text1"/>
              </w:rPr>
              <w:t xml:space="preserve"> (</w:t>
            </w:r>
            <w:r w:rsidRPr="00B47A46">
              <w:rPr>
                <w:rFonts w:cstheme="minorHAnsi"/>
                <w:color w:val="000000" w:themeColor="text1"/>
              </w:rPr>
              <w:t>×10</w:t>
            </w:r>
            <w:r w:rsidRPr="00B47A46">
              <w:rPr>
                <w:rFonts w:cstheme="minorHAnsi"/>
                <w:color w:val="000000" w:themeColor="text1"/>
                <w:vertAlign w:val="superscript"/>
              </w:rPr>
              <w:t>9</w:t>
            </w:r>
            <w:r w:rsidRPr="00B47A46">
              <w:rPr>
                <w:rFonts w:cstheme="minorHAnsi"/>
                <w:color w:val="000000" w:themeColor="text1"/>
              </w:rPr>
              <w:t>/L), median (IQR)</w:t>
            </w:r>
          </w:p>
        </w:tc>
        <w:tc>
          <w:tcPr>
            <w:tcW w:w="1259" w:type="dxa"/>
            <w:vAlign w:val="center"/>
          </w:tcPr>
          <w:p w14:paraId="4A74EC4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11.0 (7.3)</w:t>
            </w:r>
          </w:p>
        </w:tc>
        <w:tc>
          <w:tcPr>
            <w:tcW w:w="1259" w:type="dxa"/>
            <w:vAlign w:val="center"/>
          </w:tcPr>
          <w:p w14:paraId="0299E8A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9.6 (6.2)</w:t>
            </w:r>
          </w:p>
        </w:tc>
        <w:tc>
          <w:tcPr>
            <w:tcW w:w="1259" w:type="dxa"/>
            <w:vAlign w:val="center"/>
          </w:tcPr>
          <w:p w14:paraId="657F9F6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12.3 (8.0)</w:t>
            </w:r>
          </w:p>
        </w:tc>
        <w:tc>
          <w:tcPr>
            <w:tcW w:w="1259" w:type="dxa"/>
            <w:vAlign w:val="center"/>
          </w:tcPr>
          <w:p w14:paraId="6C13A7A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12.3 (7.9)</w:t>
            </w:r>
          </w:p>
        </w:tc>
        <w:tc>
          <w:tcPr>
            <w:tcW w:w="922" w:type="dxa"/>
            <w:vAlign w:val="center"/>
          </w:tcPr>
          <w:p w14:paraId="4913DC6E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0.001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3DDCB785" w14:textId="77777777" w:rsidTr="001977F7">
        <w:tc>
          <w:tcPr>
            <w:tcW w:w="3114" w:type="dxa"/>
          </w:tcPr>
          <w:p w14:paraId="7D3BA9BA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Platelets</w:t>
            </w:r>
            <w:r w:rsidRPr="00B47A46">
              <w:rPr>
                <w:color w:val="000000" w:themeColor="text1"/>
              </w:rPr>
              <w:t xml:space="preserve"> (</w:t>
            </w:r>
            <w:r w:rsidRPr="00B47A46">
              <w:rPr>
                <w:rFonts w:cstheme="minorHAnsi"/>
                <w:color w:val="000000" w:themeColor="text1"/>
              </w:rPr>
              <w:t>×10</w:t>
            </w:r>
            <w:r w:rsidRPr="00B47A46">
              <w:rPr>
                <w:rFonts w:cstheme="minorHAnsi"/>
                <w:color w:val="000000" w:themeColor="text1"/>
                <w:vertAlign w:val="superscript"/>
              </w:rPr>
              <w:t>9</w:t>
            </w:r>
            <w:r w:rsidRPr="00B47A46">
              <w:rPr>
                <w:rFonts w:cstheme="minorHAnsi"/>
                <w:color w:val="000000" w:themeColor="text1"/>
              </w:rPr>
              <w:t>/L), mean (SD)</w:t>
            </w:r>
          </w:p>
        </w:tc>
        <w:tc>
          <w:tcPr>
            <w:tcW w:w="1259" w:type="dxa"/>
            <w:vAlign w:val="center"/>
          </w:tcPr>
          <w:p w14:paraId="74EB4A0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253 (112)</w:t>
            </w:r>
          </w:p>
        </w:tc>
        <w:tc>
          <w:tcPr>
            <w:tcW w:w="1259" w:type="dxa"/>
            <w:vAlign w:val="center"/>
          </w:tcPr>
          <w:p w14:paraId="018368A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258 (108)</w:t>
            </w:r>
          </w:p>
        </w:tc>
        <w:tc>
          <w:tcPr>
            <w:tcW w:w="1259" w:type="dxa"/>
            <w:vAlign w:val="center"/>
          </w:tcPr>
          <w:p w14:paraId="29518EA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252 (108)</w:t>
            </w:r>
          </w:p>
        </w:tc>
        <w:tc>
          <w:tcPr>
            <w:tcW w:w="1259" w:type="dxa"/>
            <w:vAlign w:val="center"/>
          </w:tcPr>
          <w:p w14:paraId="38D97B6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248 (122)</w:t>
            </w:r>
          </w:p>
        </w:tc>
        <w:tc>
          <w:tcPr>
            <w:tcW w:w="922" w:type="dxa"/>
            <w:vAlign w:val="center"/>
          </w:tcPr>
          <w:p w14:paraId="0A60C7C6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0.738</w:t>
            </w:r>
            <w:r w:rsidRPr="00B47A46">
              <w:rPr>
                <w:color w:val="000000" w:themeColor="text1"/>
                <w:vertAlign w:val="superscript"/>
              </w:rPr>
              <w:t>#</w:t>
            </w:r>
          </w:p>
        </w:tc>
      </w:tr>
      <w:tr w:rsidR="00D04681" w:rsidRPr="00B47A46" w14:paraId="3157757B" w14:textId="77777777" w:rsidTr="001977F7">
        <w:tc>
          <w:tcPr>
            <w:tcW w:w="3114" w:type="dxa"/>
          </w:tcPr>
          <w:p w14:paraId="577932D2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Creatinine (mmol/L), median (IQR)</w:t>
            </w:r>
          </w:p>
        </w:tc>
        <w:tc>
          <w:tcPr>
            <w:tcW w:w="1259" w:type="dxa"/>
            <w:vAlign w:val="center"/>
          </w:tcPr>
          <w:p w14:paraId="5F9F836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89 (56)</w:t>
            </w:r>
          </w:p>
        </w:tc>
        <w:tc>
          <w:tcPr>
            <w:tcW w:w="1259" w:type="dxa"/>
            <w:vAlign w:val="center"/>
          </w:tcPr>
          <w:p w14:paraId="0580A31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86 (56)</w:t>
            </w:r>
          </w:p>
        </w:tc>
        <w:tc>
          <w:tcPr>
            <w:tcW w:w="1259" w:type="dxa"/>
            <w:vAlign w:val="center"/>
          </w:tcPr>
          <w:p w14:paraId="32FE7F2E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88 (50)</w:t>
            </w:r>
          </w:p>
        </w:tc>
        <w:tc>
          <w:tcPr>
            <w:tcW w:w="1259" w:type="dxa"/>
            <w:vAlign w:val="center"/>
          </w:tcPr>
          <w:p w14:paraId="6861D3E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97 (81)</w:t>
            </w:r>
          </w:p>
        </w:tc>
        <w:tc>
          <w:tcPr>
            <w:tcW w:w="922" w:type="dxa"/>
            <w:vAlign w:val="center"/>
          </w:tcPr>
          <w:p w14:paraId="0C0B876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0.038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79E7DE1E" w14:textId="77777777" w:rsidTr="001977F7">
        <w:tc>
          <w:tcPr>
            <w:tcW w:w="3114" w:type="dxa"/>
          </w:tcPr>
          <w:p w14:paraId="0342C674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Bilirubin, total (µmol/L), median (IQR)</w:t>
            </w:r>
          </w:p>
        </w:tc>
        <w:tc>
          <w:tcPr>
            <w:tcW w:w="1259" w:type="dxa"/>
            <w:vAlign w:val="center"/>
          </w:tcPr>
          <w:p w14:paraId="33C410A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10 (9)</w:t>
            </w:r>
          </w:p>
        </w:tc>
        <w:tc>
          <w:tcPr>
            <w:tcW w:w="1259" w:type="dxa"/>
            <w:vAlign w:val="center"/>
          </w:tcPr>
          <w:p w14:paraId="03BFBF93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7 (9)</w:t>
            </w:r>
          </w:p>
        </w:tc>
        <w:tc>
          <w:tcPr>
            <w:tcW w:w="1259" w:type="dxa"/>
            <w:vAlign w:val="center"/>
          </w:tcPr>
          <w:p w14:paraId="6E2519E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10 (9)</w:t>
            </w:r>
          </w:p>
        </w:tc>
        <w:tc>
          <w:tcPr>
            <w:tcW w:w="1259" w:type="dxa"/>
            <w:vAlign w:val="center"/>
          </w:tcPr>
          <w:p w14:paraId="205FB94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11 (10)</w:t>
            </w:r>
          </w:p>
        </w:tc>
        <w:tc>
          <w:tcPr>
            <w:tcW w:w="922" w:type="dxa"/>
            <w:vAlign w:val="center"/>
          </w:tcPr>
          <w:p w14:paraId="1353336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0.004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0B3C2444" w14:textId="77777777" w:rsidTr="001977F7">
        <w:tc>
          <w:tcPr>
            <w:tcW w:w="3114" w:type="dxa"/>
          </w:tcPr>
          <w:p w14:paraId="4F410DB9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Lactate (mmol/L), median (IQR)</w:t>
            </w:r>
          </w:p>
        </w:tc>
        <w:tc>
          <w:tcPr>
            <w:tcW w:w="1259" w:type="dxa"/>
            <w:vAlign w:val="center"/>
          </w:tcPr>
          <w:p w14:paraId="0DB8508C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1.9 (1.7)</w:t>
            </w:r>
          </w:p>
        </w:tc>
        <w:tc>
          <w:tcPr>
            <w:tcW w:w="1259" w:type="dxa"/>
            <w:vAlign w:val="center"/>
          </w:tcPr>
          <w:p w14:paraId="72F6B24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2.0 (3.2)</w:t>
            </w:r>
          </w:p>
        </w:tc>
        <w:tc>
          <w:tcPr>
            <w:tcW w:w="1259" w:type="dxa"/>
            <w:vAlign w:val="center"/>
          </w:tcPr>
          <w:p w14:paraId="7D21EFB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1.6 (1.3)</w:t>
            </w:r>
          </w:p>
        </w:tc>
        <w:tc>
          <w:tcPr>
            <w:tcW w:w="1259" w:type="dxa"/>
            <w:vAlign w:val="center"/>
          </w:tcPr>
          <w:p w14:paraId="19F6E41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2.0 (1.5)</w:t>
            </w:r>
          </w:p>
        </w:tc>
        <w:tc>
          <w:tcPr>
            <w:tcW w:w="922" w:type="dxa"/>
            <w:vAlign w:val="center"/>
          </w:tcPr>
          <w:p w14:paraId="2F98929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0.006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63A13FF0" w14:textId="77777777" w:rsidTr="001977F7">
        <w:tc>
          <w:tcPr>
            <w:tcW w:w="3114" w:type="dxa"/>
          </w:tcPr>
          <w:p w14:paraId="1D47F8C8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6D1FCD59" w14:textId="77777777" w:rsidR="00D04681" w:rsidRPr="00B47A46" w:rsidRDefault="00D04681" w:rsidP="001977F7">
            <w:pPr>
              <w:spacing w:line="240" w:lineRule="auto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7815AE1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72C5863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14:paraId="1EBA092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922" w:type="dxa"/>
            <w:vAlign w:val="center"/>
          </w:tcPr>
          <w:p w14:paraId="61FDE0A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</w:tr>
      <w:tr w:rsidR="00D04681" w:rsidRPr="00B47A46" w14:paraId="37F3CB1C" w14:textId="77777777" w:rsidTr="001977F7">
        <w:tc>
          <w:tcPr>
            <w:tcW w:w="3114" w:type="dxa"/>
            <w:tcBorders>
              <w:bottom w:val="single" w:sz="4" w:space="0" w:color="auto"/>
            </w:tcBorders>
          </w:tcPr>
          <w:p w14:paraId="3C1EB407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B47A46">
              <w:rPr>
                <w:rFonts w:cstheme="minorHAnsi"/>
                <w:b/>
                <w:bCs/>
                <w:color w:val="000000" w:themeColor="text1"/>
              </w:rPr>
              <w:t>Outcome measures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0ED4238" w14:textId="77777777" w:rsidR="00D04681" w:rsidRPr="00B47A46" w:rsidRDefault="00D04681" w:rsidP="001977F7">
            <w:pPr>
              <w:spacing w:line="240" w:lineRule="auto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912115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353137B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3C3424E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3778FFA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</w:p>
        </w:tc>
      </w:tr>
      <w:tr w:rsidR="00D04681" w:rsidRPr="00B47A46" w14:paraId="62E2B950" w14:textId="77777777" w:rsidTr="001977F7">
        <w:tc>
          <w:tcPr>
            <w:tcW w:w="3114" w:type="dxa"/>
            <w:tcBorders>
              <w:top w:val="single" w:sz="4" w:space="0" w:color="auto"/>
            </w:tcBorders>
          </w:tcPr>
          <w:p w14:paraId="1EC3C22C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Hospital mortality, n (%)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6FCD30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32 (9)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3C385A2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15 (10)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58E692B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 (6)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2097FB9C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9 (9)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019C43D3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0.502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5C912030" w14:textId="77777777" w:rsidTr="001977F7">
        <w:tc>
          <w:tcPr>
            <w:tcW w:w="3114" w:type="dxa"/>
          </w:tcPr>
          <w:p w14:paraId="2EEC0CBA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30 days mortality, n (%)</w:t>
            </w:r>
          </w:p>
        </w:tc>
        <w:tc>
          <w:tcPr>
            <w:tcW w:w="1259" w:type="dxa"/>
            <w:vAlign w:val="center"/>
          </w:tcPr>
          <w:p w14:paraId="30B118A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46 (13)</w:t>
            </w:r>
          </w:p>
        </w:tc>
        <w:tc>
          <w:tcPr>
            <w:tcW w:w="1259" w:type="dxa"/>
            <w:vAlign w:val="center"/>
          </w:tcPr>
          <w:p w14:paraId="150AC94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16 (11)</w:t>
            </w:r>
          </w:p>
        </w:tc>
        <w:tc>
          <w:tcPr>
            <w:tcW w:w="1259" w:type="dxa"/>
            <w:vAlign w:val="center"/>
          </w:tcPr>
          <w:p w14:paraId="59D7AA9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20 (16)</w:t>
            </w:r>
          </w:p>
        </w:tc>
        <w:tc>
          <w:tcPr>
            <w:tcW w:w="1259" w:type="dxa"/>
            <w:vAlign w:val="center"/>
          </w:tcPr>
          <w:p w14:paraId="41B9275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10 (10)</w:t>
            </w:r>
          </w:p>
        </w:tc>
        <w:tc>
          <w:tcPr>
            <w:tcW w:w="922" w:type="dxa"/>
            <w:vAlign w:val="center"/>
          </w:tcPr>
          <w:p w14:paraId="7728354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0.328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1C74E89A" w14:textId="77777777" w:rsidTr="001977F7">
        <w:tc>
          <w:tcPr>
            <w:tcW w:w="3114" w:type="dxa"/>
          </w:tcPr>
          <w:p w14:paraId="468CB637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 xml:space="preserve">Hospital </w:t>
            </w:r>
            <w:proofErr w:type="gramStart"/>
            <w:r w:rsidRPr="00B47A46">
              <w:rPr>
                <w:rFonts w:cstheme="minorHAnsi"/>
                <w:color w:val="000000" w:themeColor="text1"/>
              </w:rPr>
              <w:t>stay</w:t>
            </w:r>
            <w:proofErr w:type="gramEnd"/>
            <w:r w:rsidRPr="00B47A46">
              <w:rPr>
                <w:rFonts w:cstheme="minorHAnsi"/>
                <w:color w:val="000000" w:themeColor="text1"/>
              </w:rPr>
              <w:t>, median days (IQR)</w:t>
            </w:r>
          </w:p>
        </w:tc>
        <w:tc>
          <w:tcPr>
            <w:tcW w:w="1259" w:type="dxa"/>
            <w:vAlign w:val="center"/>
          </w:tcPr>
          <w:p w14:paraId="1F374196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6 (6)</w:t>
            </w:r>
          </w:p>
        </w:tc>
        <w:tc>
          <w:tcPr>
            <w:tcW w:w="1259" w:type="dxa"/>
            <w:vAlign w:val="center"/>
          </w:tcPr>
          <w:p w14:paraId="25DBD6A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4 (7)</w:t>
            </w:r>
          </w:p>
        </w:tc>
        <w:tc>
          <w:tcPr>
            <w:tcW w:w="1259" w:type="dxa"/>
            <w:vAlign w:val="center"/>
          </w:tcPr>
          <w:p w14:paraId="7DC6C996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6 (4)</w:t>
            </w:r>
          </w:p>
        </w:tc>
        <w:tc>
          <w:tcPr>
            <w:tcW w:w="1259" w:type="dxa"/>
            <w:vAlign w:val="center"/>
          </w:tcPr>
          <w:p w14:paraId="4E308889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7 (11)</w:t>
            </w:r>
          </w:p>
        </w:tc>
        <w:tc>
          <w:tcPr>
            <w:tcW w:w="922" w:type="dxa"/>
            <w:vAlign w:val="center"/>
          </w:tcPr>
          <w:p w14:paraId="36F2D22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§</w:t>
            </w:r>
          </w:p>
        </w:tc>
      </w:tr>
      <w:tr w:rsidR="00D04681" w:rsidRPr="00B47A46" w14:paraId="2B71847D" w14:textId="77777777" w:rsidTr="001977F7">
        <w:tc>
          <w:tcPr>
            <w:tcW w:w="3114" w:type="dxa"/>
          </w:tcPr>
          <w:p w14:paraId="4C0C2BE5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ICU treatment, n (%)</w:t>
            </w:r>
          </w:p>
        </w:tc>
        <w:tc>
          <w:tcPr>
            <w:tcW w:w="1259" w:type="dxa"/>
            <w:vAlign w:val="center"/>
          </w:tcPr>
          <w:p w14:paraId="09FCC2C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148 (38)</w:t>
            </w:r>
          </w:p>
        </w:tc>
        <w:tc>
          <w:tcPr>
            <w:tcW w:w="1259" w:type="dxa"/>
            <w:vAlign w:val="center"/>
          </w:tcPr>
          <w:p w14:paraId="40C8931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81 (52)</w:t>
            </w:r>
          </w:p>
        </w:tc>
        <w:tc>
          <w:tcPr>
            <w:tcW w:w="1259" w:type="dxa"/>
            <w:vAlign w:val="center"/>
          </w:tcPr>
          <w:p w14:paraId="69C0F5C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24 (18)</w:t>
            </w:r>
          </w:p>
        </w:tc>
        <w:tc>
          <w:tcPr>
            <w:tcW w:w="1259" w:type="dxa"/>
            <w:vAlign w:val="center"/>
          </w:tcPr>
          <w:p w14:paraId="2AA10A1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43 (42)</w:t>
            </w:r>
          </w:p>
        </w:tc>
        <w:tc>
          <w:tcPr>
            <w:tcW w:w="922" w:type="dxa"/>
            <w:vAlign w:val="center"/>
          </w:tcPr>
          <w:p w14:paraId="7F0CDC6F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&lt;0.001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089CC3F1" w14:textId="77777777" w:rsidTr="001977F7">
        <w:tc>
          <w:tcPr>
            <w:tcW w:w="3114" w:type="dxa"/>
          </w:tcPr>
          <w:p w14:paraId="3CF4741F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Mechanical ventilation, n (%)</w:t>
            </w:r>
          </w:p>
        </w:tc>
        <w:tc>
          <w:tcPr>
            <w:tcW w:w="1259" w:type="dxa"/>
            <w:vAlign w:val="center"/>
          </w:tcPr>
          <w:p w14:paraId="09179265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21 (5)</w:t>
            </w:r>
          </w:p>
        </w:tc>
        <w:tc>
          <w:tcPr>
            <w:tcW w:w="1259" w:type="dxa"/>
            <w:vAlign w:val="center"/>
          </w:tcPr>
          <w:p w14:paraId="6857EAF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12 (8)</w:t>
            </w:r>
          </w:p>
        </w:tc>
        <w:tc>
          <w:tcPr>
            <w:tcW w:w="1259" w:type="dxa"/>
            <w:vAlign w:val="center"/>
          </w:tcPr>
          <w:p w14:paraId="0FDD90AC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 (1)</w:t>
            </w:r>
          </w:p>
        </w:tc>
        <w:tc>
          <w:tcPr>
            <w:tcW w:w="1259" w:type="dxa"/>
            <w:vAlign w:val="center"/>
          </w:tcPr>
          <w:p w14:paraId="4203DDE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 (8)</w:t>
            </w:r>
          </w:p>
        </w:tc>
        <w:tc>
          <w:tcPr>
            <w:tcW w:w="922" w:type="dxa"/>
            <w:vAlign w:val="center"/>
          </w:tcPr>
          <w:p w14:paraId="296451A4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0.013</w:t>
            </w:r>
            <w:r w:rsidRPr="00B47A46">
              <w:rPr>
                <w:color w:val="000000" w:themeColor="text1"/>
                <w:vertAlign w:val="superscript"/>
              </w:rPr>
              <w:t>‡</w:t>
            </w:r>
          </w:p>
        </w:tc>
      </w:tr>
      <w:tr w:rsidR="00D04681" w:rsidRPr="00B47A46" w14:paraId="50F26746" w14:textId="77777777" w:rsidTr="001977F7">
        <w:tc>
          <w:tcPr>
            <w:tcW w:w="3114" w:type="dxa"/>
          </w:tcPr>
          <w:p w14:paraId="0115B358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Max SOFA increase during hospitalization, mean (SD)</w:t>
            </w:r>
          </w:p>
        </w:tc>
        <w:tc>
          <w:tcPr>
            <w:tcW w:w="1259" w:type="dxa"/>
            <w:vAlign w:val="center"/>
          </w:tcPr>
          <w:p w14:paraId="388DF2B0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3.3 (2.6)</w:t>
            </w:r>
          </w:p>
        </w:tc>
        <w:tc>
          <w:tcPr>
            <w:tcW w:w="1259" w:type="dxa"/>
            <w:vAlign w:val="center"/>
          </w:tcPr>
          <w:p w14:paraId="38A41ADD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3.4 (2.6)</w:t>
            </w:r>
          </w:p>
        </w:tc>
        <w:tc>
          <w:tcPr>
            <w:tcW w:w="1259" w:type="dxa"/>
            <w:vAlign w:val="center"/>
          </w:tcPr>
          <w:p w14:paraId="0AA755D2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2.7 (1.8)</w:t>
            </w:r>
          </w:p>
        </w:tc>
        <w:tc>
          <w:tcPr>
            <w:tcW w:w="1259" w:type="dxa"/>
            <w:vAlign w:val="center"/>
          </w:tcPr>
          <w:p w14:paraId="50942258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3.9 (3.2)</w:t>
            </w:r>
          </w:p>
        </w:tc>
        <w:tc>
          <w:tcPr>
            <w:tcW w:w="922" w:type="dxa"/>
            <w:vAlign w:val="center"/>
          </w:tcPr>
          <w:p w14:paraId="5DF667A1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0.001</w:t>
            </w:r>
            <w:r w:rsidRPr="00B47A46">
              <w:rPr>
                <w:color w:val="000000" w:themeColor="text1"/>
                <w:vertAlign w:val="superscript"/>
              </w:rPr>
              <w:t>#</w:t>
            </w:r>
          </w:p>
        </w:tc>
      </w:tr>
      <w:tr w:rsidR="00D04681" w:rsidRPr="00B47A46" w14:paraId="0F4FD0AB" w14:textId="77777777" w:rsidTr="001977F7">
        <w:tc>
          <w:tcPr>
            <w:tcW w:w="3114" w:type="dxa"/>
          </w:tcPr>
          <w:p w14:paraId="7E70D5D2" w14:textId="77777777" w:rsidR="00D04681" w:rsidRPr="00B47A46" w:rsidRDefault="00D04681" w:rsidP="001977F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B47A46">
              <w:rPr>
                <w:rFonts w:cstheme="minorHAnsi"/>
                <w:color w:val="000000" w:themeColor="text1"/>
              </w:rPr>
              <w:t>Sepsis (%)</w:t>
            </w:r>
          </w:p>
        </w:tc>
        <w:tc>
          <w:tcPr>
            <w:tcW w:w="1259" w:type="dxa"/>
            <w:vAlign w:val="center"/>
          </w:tcPr>
          <w:p w14:paraId="49C7E0FC" w14:textId="5D28DD92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1</w:t>
            </w:r>
            <w:r w:rsidR="00932659">
              <w:rPr>
                <w:color w:val="000000" w:themeColor="text1"/>
              </w:rPr>
              <w:t>7</w:t>
            </w:r>
            <w:r w:rsidRPr="00B47A46">
              <w:rPr>
                <w:color w:val="000000" w:themeColor="text1"/>
              </w:rPr>
              <w:t>7 (45)</w:t>
            </w:r>
          </w:p>
        </w:tc>
        <w:tc>
          <w:tcPr>
            <w:tcW w:w="1259" w:type="dxa"/>
            <w:vAlign w:val="center"/>
          </w:tcPr>
          <w:p w14:paraId="140EFB97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N/A</w:t>
            </w:r>
          </w:p>
        </w:tc>
        <w:tc>
          <w:tcPr>
            <w:tcW w:w="1259" w:type="dxa"/>
            <w:vAlign w:val="center"/>
          </w:tcPr>
          <w:p w14:paraId="1DD693BE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96 (71)</w:t>
            </w:r>
          </w:p>
        </w:tc>
        <w:tc>
          <w:tcPr>
            <w:tcW w:w="1259" w:type="dxa"/>
            <w:vAlign w:val="center"/>
          </w:tcPr>
          <w:p w14:paraId="4BEEA93A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</w:rPr>
            </w:pPr>
            <w:r w:rsidRPr="00B47A46">
              <w:rPr>
                <w:color w:val="000000" w:themeColor="text1"/>
              </w:rPr>
              <w:t>81 (79)</w:t>
            </w:r>
          </w:p>
        </w:tc>
        <w:tc>
          <w:tcPr>
            <w:tcW w:w="922" w:type="dxa"/>
            <w:vAlign w:val="center"/>
          </w:tcPr>
          <w:p w14:paraId="1DDF01AB" w14:textId="77777777" w:rsidR="00D04681" w:rsidRPr="00B47A46" w:rsidRDefault="00D04681" w:rsidP="001977F7">
            <w:pPr>
              <w:spacing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B47A46">
              <w:rPr>
                <w:color w:val="000000" w:themeColor="text1"/>
              </w:rPr>
              <w:t>N/A</w:t>
            </w:r>
          </w:p>
        </w:tc>
      </w:tr>
    </w:tbl>
    <w:p w14:paraId="59657110" w14:textId="1A347C53" w:rsidR="001B4D07" w:rsidRDefault="00D04681" w:rsidP="001B4D07">
      <w:pPr>
        <w:pStyle w:val="Overskrift3"/>
      </w:pPr>
      <w:bookmarkStart w:id="3" w:name="_Toc109046462"/>
      <w:r>
        <w:t>Supplementary t</w:t>
      </w:r>
      <w:r w:rsidRPr="00B47A46">
        <w:t xml:space="preserve">able </w:t>
      </w:r>
      <w:r w:rsidR="00526C50">
        <w:t>4</w:t>
      </w:r>
      <w:r w:rsidRPr="00B47A46">
        <w:t>. Patient characteristics.</w:t>
      </w:r>
      <w:bookmarkEnd w:id="3"/>
      <w:r w:rsidRPr="00B47A46">
        <w:t xml:space="preserve"> </w:t>
      </w:r>
    </w:p>
    <w:p w14:paraId="5F516D80" w14:textId="79BC9330" w:rsidR="00D04681" w:rsidRPr="00E70048" w:rsidRDefault="00D04681" w:rsidP="00E70048">
      <w:pPr>
        <w:spacing w:line="240" w:lineRule="auto"/>
        <w:rPr>
          <w:b/>
          <w:bCs/>
          <w:color w:val="000000" w:themeColor="text1"/>
        </w:rPr>
      </w:pPr>
      <w:r w:rsidRPr="001B4D07">
        <w:rPr>
          <w:color w:val="000000" w:themeColor="text1"/>
        </w:rPr>
        <w:t xml:space="preserve">P-values computed using </w:t>
      </w:r>
      <w:r w:rsidRPr="001B4D07">
        <w:rPr>
          <w:color w:val="000000" w:themeColor="text1"/>
          <w:vertAlign w:val="superscript"/>
        </w:rPr>
        <w:t>#</w:t>
      </w:r>
      <w:r w:rsidRPr="001B4D07">
        <w:rPr>
          <w:color w:val="000000" w:themeColor="text1"/>
        </w:rPr>
        <w:t xml:space="preserve">One-way ANOVA, </w:t>
      </w:r>
      <w:r w:rsidRPr="001B4D07">
        <w:rPr>
          <w:color w:val="000000" w:themeColor="text1"/>
          <w:vertAlign w:val="superscript"/>
        </w:rPr>
        <w:t>‡</w:t>
      </w:r>
      <w:r w:rsidRPr="001B4D07">
        <w:rPr>
          <w:color w:val="000000" w:themeColor="text1"/>
        </w:rPr>
        <w:t xml:space="preserve">Pearson Chi-squared, </w:t>
      </w:r>
      <w:r w:rsidRPr="001B4D07">
        <w:rPr>
          <w:color w:val="000000" w:themeColor="text1"/>
          <w:vertAlign w:val="superscript"/>
        </w:rPr>
        <w:t>§</w:t>
      </w:r>
      <w:r w:rsidRPr="001B4D07">
        <w:rPr>
          <w:color w:val="000000" w:themeColor="text1"/>
        </w:rPr>
        <w:t xml:space="preserve">Kruskal-Wallis tests. </w:t>
      </w:r>
      <w:r w:rsidR="00491A76" w:rsidRPr="001B4D07">
        <w:rPr>
          <w:color w:val="000000" w:themeColor="text1"/>
        </w:rPr>
        <w:t>If multiple admissions per patient, m</w:t>
      </w:r>
      <w:r w:rsidRPr="001B4D07">
        <w:rPr>
          <w:color w:val="000000" w:themeColor="text1"/>
        </w:rPr>
        <w:t xml:space="preserve">ortality was analysed including only first admission. Sepsis during hospitalization is defined as an increase in SOFA ≥ 2 and infection probable or definite. The number of missing values is marked in superscript for the four biomarkers studied. </w:t>
      </w:r>
      <w:r w:rsidR="00940164">
        <w:rPr>
          <w:color w:val="000000" w:themeColor="text1"/>
          <w:sz w:val="22"/>
          <w:szCs w:val="22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2552"/>
        <w:gridCol w:w="1701"/>
      </w:tblGrid>
      <w:tr w:rsidR="00D04681" w:rsidRPr="00C3345D" w14:paraId="03F3DC30" w14:textId="77777777" w:rsidTr="00313CEA">
        <w:tc>
          <w:tcPr>
            <w:tcW w:w="3119" w:type="dxa"/>
            <w:tcBorders>
              <w:bottom w:val="single" w:sz="4" w:space="0" w:color="auto"/>
            </w:tcBorders>
          </w:tcPr>
          <w:p w14:paraId="78E1B790" w14:textId="77777777" w:rsidR="00D04681" w:rsidRPr="00C3345D" w:rsidRDefault="00D04681" w:rsidP="001977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4C04CE" w14:textId="77777777" w:rsidR="00D04681" w:rsidRPr="00885B40" w:rsidRDefault="00D04681" w:rsidP="00197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B40">
              <w:rPr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60FF1F" w14:textId="77777777" w:rsidR="00D04681" w:rsidRPr="00885B40" w:rsidRDefault="00D04681" w:rsidP="00197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B40">
              <w:rPr>
                <w:b/>
                <w:bCs/>
                <w:sz w:val="24"/>
                <w:szCs w:val="24"/>
              </w:rPr>
              <w:t>Infection «Not likely»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280925" w14:textId="77777777" w:rsidR="00D04681" w:rsidRPr="00885B40" w:rsidRDefault="00D04681" w:rsidP="00197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5B40">
              <w:rPr>
                <w:b/>
                <w:bCs/>
                <w:sz w:val="24"/>
                <w:szCs w:val="24"/>
              </w:rPr>
              <w:t>«Infection»</w:t>
            </w:r>
          </w:p>
        </w:tc>
      </w:tr>
      <w:tr w:rsidR="00D04681" w:rsidRPr="00C3345D" w14:paraId="5C9860B8" w14:textId="77777777" w:rsidTr="00313CEA">
        <w:tc>
          <w:tcPr>
            <w:tcW w:w="3119" w:type="dxa"/>
            <w:tcBorders>
              <w:top w:val="single" w:sz="4" w:space="0" w:color="auto"/>
            </w:tcBorders>
          </w:tcPr>
          <w:p w14:paraId="3D52C7C6" w14:textId="292F0724" w:rsidR="00D04681" w:rsidRPr="00885B40" w:rsidRDefault="00D04681" w:rsidP="001977F7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85B40">
              <w:rPr>
                <w:b/>
                <w:bCs/>
                <w:color w:val="000000" w:themeColor="text1"/>
                <w:sz w:val="24"/>
                <w:szCs w:val="24"/>
              </w:rPr>
              <w:t>Procalcitonin</w:t>
            </w:r>
            <w:r w:rsidR="00313CEA" w:rsidRPr="00313CEA">
              <w:rPr>
                <w:color w:val="000000" w:themeColor="text1"/>
                <w:sz w:val="24"/>
                <w:szCs w:val="24"/>
              </w:rPr>
              <w:t>,</w:t>
            </w:r>
            <w:r w:rsidR="00313C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3CEA" w:rsidRPr="00805F3F">
              <w:rPr>
                <w:i/>
                <w:iCs/>
                <w:color w:val="000000" w:themeColor="text1"/>
                <w:sz w:val="24"/>
                <w:szCs w:val="24"/>
              </w:rPr>
              <w:t xml:space="preserve">t </w:t>
            </w:r>
            <w:r w:rsidR="00313CEA" w:rsidRPr="00313CEA">
              <w:rPr>
                <w:color w:val="000000" w:themeColor="text1"/>
                <w:sz w:val="24"/>
                <w:szCs w:val="24"/>
              </w:rPr>
              <w:t>(p-value)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C6C275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345D">
              <w:rPr>
                <w:color w:val="000000" w:themeColor="text1"/>
                <w:sz w:val="24"/>
                <w:szCs w:val="24"/>
              </w:rPr>
              <w:t>0,670 (0,503)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31EDFF2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345D">
              <w:rPr>
                <w:color w:val="000000" w:themeColor="text1"/>
                <w:sz w:val="24"/>
                <w:szCs w:val="24"/>
              </w:rPr>
              <w:t>0,094 (0,925)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81E76F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345D">
              <w:rPr>
                <w:color w:val="000000" w:themeColor="text1"/>
                <w:sz w:val="24"/>
                <w:szCs w:val="24"/>
              </w:rPr>
              <w:t>0,392 (0,695)</w:t>
            </w:r>
          </w:p>
        </w:tc>
      </w:tr>
      <w:tr w:rsidR="00D04681" w:rsidRPr="00C3345D" w14:paraId="6B4A1B37" w14:textId="77777777" w:rsidTr="00313CEA">
        <w:tc>
          <w:tcPr>
            <w:tcW w:w="3119" w:type="dxa"/>
          </w:tcPr>
          <w:p w14:paraId="5CC36A0E" w14:textId="727BBD3E" w:rsidR="00D04681" w:rsidRPr="00885B40" w:rsidRDefault="00D04681" w:rsidP="001977F7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85B40">
              <w:rPr>
                <w:b/>
                <w:bCs/>
                <w:color w:val="000000" w:themeColor="text1"/>
                <w:sz w:val="24"/>
                <w:szCs w:val="24"/>
              </w:rPr>
              <w:t>Calprotectin</w:t>
            </w:r>
            <w:r w:rsidR="00313CEA" w:rsidRPr="00313CEA">
              <w:rPr>
                <w:color w:val="000000" w:themeColor="text1"/>
                <w:sz w:val="24"/>
                <w:szCs w:val="24"/>
              </w:rPr>
              <w:t>,</w:t>
            </w:r>
            <w:r w:rsidR="00313C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3CEA" w:rsidRPr="00805F3F">
              <w:rPr>
                <w:i/>
                <w:iCs/>
                <w:color w:val="000000" w:themeColor="text1"/>
                <w:sz w:val="24"/>
                <w:szCs w:val="24"/>
              </w:rPr>
              <w:t>t</w:t>
            </w:r>
            <w:r w:rsidR="00313CEA" w:rsidRPr="00313CEA">
              <w:rPr>
                <w:color w:val="000000" w:themeColor="text1"/>
                <w:sz w:val="24"/>
                <w:szCs w:val="24"/>
              </w:rPr>
              <w:t xml:space="preserve"> (p-value)</w:t>
            </w:r>
          </w:p>
        </w:tc>
        <w:tc>
          <w:tcPr>
            <w:tcW w:w="1559" w:type="dxa"/>
            <w:vAlign w:val="center"/>
          </w:tcPr>
          <w:p w14:paraId="4FC8748D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345D">
              <w:rPr>
                <w:color w:val="000000" w:themeColor="text1"/>
                <w:sz w:val="24"/>
                <w:szCs w:val="24"/>
              </w:rPr>
              <w:t>0,465 (0,642)</w:t>
            </w:r>
          </w:p>
        </w:tc>
        <w:tc>
          <w:tcPr>
            <w:tcW w:w="2552" w:type="dxa"/>
            <w:vAlign w:val="center"/>
          </w:tcPr>
          <w:p w14:paraId="582C1A6A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C3345D">
              <w:rPr>
                <w:color w:val="000000" w:themeColor="text1"/>
                <w:sz w:val="24"/>
                <w:szCs w:val="24"/>
              </w:rPr>
              <w:t>0,166 (0,869)</w:t>
            </w:r>
          </w:p>
        </w:tc>
        <w:tc>
          <w:tcPr>
            <w:tcW w:w="1701" w:type="dxa"/>
            <w:vAlign w:val="center"/>
          </w:tcPr>
          <w:p w14:paraId="2EFE4281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345D">
              <w:rPr>
                <w:color w:val="000000" w:themeColor="text1"/>
                <w:sz w:val="24"/>
                <w:szCs w:val="24"/>
              </w:rPr>
              <w:t>0,371 (0,711)</w:t>
            </w:r>
          </w:p>
        </w:tc>
      </w:tr>
      <w:tr w:rsidR="00D04681" w:rsidRPr="00C3345D" w14:paraId="23F168E5" w14:textId="77777777" w:rsidTr="00313CEA">
        <w:tc>
          <w:tcPr>
            <w:tcW w:w="3119" w:type="dxa"/>
          </w:tcPr>
          <w:p w14:paraId="1502EA58" w14:textId="1017F8F9" w:rsidR="00D04681" w:rsidRPr="00885B40" w:rsidRDefault="00D04681" w:rsidP="001977F7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85B40">
              <w:rPr>
                <w:b/>
                <w:bCs/>
                <w:color w:val="000000" w:themeColor="text1"/>
                <w:sz w:val="24"/>
                <w:szCs w:val="24"/>
              </w:rPr>
              <w:t>CRP</w:t>
            </w:r>
            <w:r w:rsidR="00313CEA" w:rsidRPr="00313CEA">
              <w:rPr>
                <w:color w:val="000000" w:themeColor="text1"/>
                <w:sz w:val="24"/>
                <w:szCs w:val="24"/>
              </w:rPr>
              <w:t>,</w:t>
            </w:r>
            <w:r w:rsidR="00313C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3CEA" w:rsidRPr="00805F3F">
              <w:rPr>
                <w:i/>
                <w:iCs/>
                <w:color w:val="000000" w:themeColor="text1"/>
                <w:sz w:val="24"/>
                <w:szCs w:val="24"/>
              </w:rPr>
              <w:t>t</w:t>
            </w:r>
            <w:r w:rsidR="00313CEA" w:rsidRPr="00313CEA">
              <w:rPr>
                <w:color w:val="000000" w:themeColor="text1"/>
                <w:sz w:val="24"/>
                <w:szCs w:val="24"/>
              </w:rPr>
              <w:t xml:space="preserve"> (p-value)</w:t>
            </w:r>
          </w:p>
        </w:tc>
        <w:tc>
          <w:tcPr>
            <w:tcW w:w="1559" w:type="dxa"/>
            <w:vAlign w:val="center"/>
          </w:tcPr>
          <w:p w14:paraId="2BE4F209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345D">
              <w:rPr>
                <w:color w:val="000000" w:themeColor="text1"/>
                <w:sz w:val="24"/>
                <w:szCs w:val="24"/>
              </w:rPr>
              <w:t>1,706 (0,089)</w:t>
            </w:r>
          </w:p>
        </w:tc>
        <w:tc>
          <w:tcPr>
            <w:tcW w:w="2552" w:type="dxa"/>
            <w:vAlign w:val="center"/>
          </w:tcPr>
          <w:p w14:paraId="0926025D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345D">
              <w:rPr>
                <w:color w:val="000000" w:themeColor="text1"/>
                <w:sz w:val="24"/>
                <w:szCs w:val="24"/>
              </w:rPr>
              <w:t>0,913 (0,363)</w:t>
            </w:r>
          </w:p>
        </w:tc>
        <w:tc>
          <w:tcPr>
            <w:tcW w:w="1701" w:type="dxa"/>
            <w:vAlign w:val="center"/>
          </w:tcPr>
          <w:p w14:paraId="12355B04" w14:textId="77777777" w:rsidR="00D04681" w:rsidRPr="00C3345D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3345D">
              <w:rPr>
                <w:color w:val="000000" w:themeColor="text1"/>
                <w:sz w:val="24"/>
                <w:szCs w:val="24"/>
              </w:rPr>
              <w:t>1,628 (0,105)</w:t>
            </w:r>
          </w:p>
        </w:tc>
      </w:tr>
      <w:tr w:rsidR="00D04681" w:rsidRPr="00C3345D" w14:paraId="16BCEE67" w14:textId="77777777" w:rsidTr="00313CEA">
        <w:tc>
          <w:tcPr>
            <w:tcW w:w="3119" w:type="dxa"/>
            <w:tcBorders>
              <w:bottom w:val="single" w:sz="4" w:space="0" w:color="auto"/>
            </w:tcBorders>
          </w:tcPr>
          <w:p w14:paraId="7F51D4C2" w14:textId="02B72F45" w:rsidR="00D04681" w:rsidRPr="00885B40" w:rsidRDefault="00D04681" w:rsidP="001977F7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85B40">
              <w:rPr>
                <w:b/>
                <w:bCs/>
                <w:color w:val="000000" w:themeColor="text1"/>
                <w:sz w:val="24"/>
                <w:szCs w:val="24"/>
              </w:rPr>
              <w:t>Interleukin 6</w:t>
            </w:r>
            <w:r w:rsidR="00313CEA" w:rsidRPr="00313CEA">
              <w:rPr>
                <w:color w:val="000000" w:themeColor="text1"/>
                <w:sz w:val="24"/>
                <w:szCs w:val="24"/>
              </w:rPr>
              <w:t>,</w:t>
            </w:r>
            <w:r w:rsidR="00313C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3CEA" w:rsidRPr="00805F3F">
              <w:rPr>
                <w:i/>
                <w:iCs/>
                <w:color w:val="000000" w:themeColor="text1"/>
                <w:sz w:val="24"/>
                <w:szCs w:val="24"/>
              </w:rPr>
              <w:t>t</w:t>
            </w:r>
            <w:r w:rsidR="00313CEA" w:rsidRPr="00313CEA">
              <w:rPr>
                <w:color w:val="000000" w:themeColor="text1"/>
                <w:sz w:val="24"/>
                <w:szCs w:val="24"/>
              </w:rPr>
              <w:t xml:space="preserve"> (p-value)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5BFFD4" w14:textId="77777777" w:rsidR="00D04681" w:rsidRPr="00134F82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4F82">
              <w:rPr>
                <w:color w:val="000000" w:themeColor="text1"/>
                <w:sz w:val="24"/>
                <w:szCs w:val="24"/>
              </w:rPr>
              <w:t>0,549 (0,583)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722A7A" w14:textId="77777777" w:rsidR="00D04681" w:rsidRPr="00134F82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4F82">
              <w:rPr>
                <w:color w:val="000000" w:themeColor="text1"/>
                <w:sz w:val="24"/>
                <w:szCs w:val="24"/>
              </w:rPr>
              <w:t>1,459 (0,147)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D46895" w14:textId="77777777" w:rsidR="00D04681" w:rsidRPr="00134F82" w:rsidRDefault="00D04681" w:rsidP="001977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4F82">
              <w:rPr>
                <w:color w:val="000000" w:themeColor="text1"/>
                <w:sz w:val="24"/>
                <w:szCs w:val="24"/>
              </w:rPr>
              <w:t>-0,464 (0,643)</w:t>
            </w:r>
          </w:p>
        </w:tc>
      </w:tr>
    </w:tbl>
    <w:p w14:paraId="70A5D23F" w14:textId="77777777" w:rsidR="001B4D07" w:rsidRDefault="00D04681" w:rsidP="001B4D07">
      <w:pPr>
        <w:pStyle w:val="Overskrift3"/>
      </w:pPr>
      <w:bookmarkStart w:id="4" w:name="_Toc109046463"/>
      <w:r w:rsidRPr="00C2097B">
        <w:t xml:space="preserve">Supplementary table </w:t>
      </w:r>
      <w:r w:rsidR="00940164">
        <w:t>5</w:t>
      </w:r>
      <w:r w:rsidRPr="00C2097B">
        <w:t>.</w:t>
      </w:r>
      <w:r w:rsidRPr="00C3345D">
        <w:t xml:space="preserve"> </w:t>
      </w:r>
      <w:r w:rsidR="001B4D07">
        <w:t>Biomarker and mortality association.</w:t>
      </w:r>
      <w:bookmarkEnd w:id="4"/>
      <w:r w:rsidR="001B4D07">
        <w:t xml:space="preserve"> </w:t>
      </w:r>
    </w:p>
    <w:p w14:paraId="66387EC5" w14:textId="61CF8172" w:rsidR="00BF7BF3" w:rsidRPr="00940164" w:rsidRDefault="00D04681" w:rsidP="005038BF">
      <w:pPr>
        <w:spacing w:line="240" w:lineRule="auto"/>
        <w:rPr>
          <w:lang w:val="en-US"/>
        </w:rPr>
      </w:pPr>
      <w:r w:rsidRPr="00C3345D">
        <w:rPr>
          <w:lang w:val="en-US"/>
        </w:rPr>
        <w:t>Student t-test comparing mean log-transformed biomarker value</w:t>
      </w:r>
      <w:r w:rsidR="00313CEA">
        <w:rPr>
          <w:lang w:val="en-US"/>
        </w:rPr>
        <w:t>s</w:t>
      </w:r>
      <w:r w:rsidRPr="00C3345D">
        <w:rPr>
          <w:lang w:val="en-US"/>
        </w:rPr>
        <w:t xml:space="preserve"> in patients that survived 30 days and those that did not</w:t>
      </w:r>
      <w:r w:rsidR="00313CEA">
        <w:rPr>
          <w:lang w:val="en-US"/>
        </w:rPr>
        <w:t xml:space="preserve">. </w:t>
      </w:r>
      <w:r w:rsidRPr="00C3345D">
        <w:rPr>
          <w:lang w:val="en-US"/>
        </w:rPr>
        <w:t xml:space="preserve">For all patients and stratified on infection likelihood. </w:t>
      </w:r>
      <w:r w:rsidR="00BF7BF3">
        <w:rPr>
          <w:rFonts w:eastAsia="Calibri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2405"/>
        <w:gridCol w:w="2405"/>
      </w:tblGrid>
      <w:tr w:rsidR="00BF7BF3" w:rsidRPr="001C4ED2" w14:paraId="3DE1BCCA" w14:textId="77777777" w:rsidTr="00A3046A">
        <w:tc>
          <w:tcPr>
            <w:tcW w:w="1535" w:type="dxa"/>
            <w:shd w:val="clear" w:color="auto" w:fill="D9D9D9" w:themeFill="background1" w:themeFillShade="D9"/>
          </w:tcPr>
          <w:p w14:paraId="206434FE" w14:textId="3555316E" w:rsidR="00BF7BF3" w:rsidRPr="001C4ED2" w:rsidRDefault="00BF7BF3" w:rsidP="00BF7BF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shd w:val="clear" w:color="auto" w:fill="D9D9D9" w:themeFill="background1" w:themeFillShade="D9"/>
          </w:tcPr>
          <w:p w14:paraId="3F51BD8E" w14:textId="77777777" w:rsidR="00BF7BF3" w:rsidRPr="001C4ED2" w:rsidRDefault="00BF7BF3" w:rsidP="00BF7B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4ED2">
              <w:rPr>
                <w:b/>
                <w:bCs/>
                <w:sz w:val="24"/>
                <w:szCs w:val="24"/>
              </w:rPr>
              <w:t>AUC (95% CI)</w:t>
            </w:r>
          </w:p>
        </w:tc>
      </w:tr>
      <w:tr w:rsidR="00BF7BF3" w:rsidRPr="001C4ED2" w14:paraId="03E34F88" w14:textId="77777777" w:rsidTr="00A3046A">
        <w:tc>
          <w:tcPr>
            <w:tcW w:w="15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460CF" w14:textId="77777777" w:rsidR="00BF7BF3" w:rsidRPr="001C4ED2" w:rsidRDefault="00BF7BF3" w:rsidP="00BF7B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D2AD5A" w14:textId="77777777" w:rsidR="00BF7BF3" w:rsidRPr="001C4ED2" w:rsidRDefault="00BF7BF3" w:rsidP="00BF7B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4ED2">
              <w:rPr>
                <w:b/>
                <w:bCs/>
                <w:sz w:val="24"/>
                <w:szCs w:val="24"/>
              </w:rPr>
              <w:t xml:space="preserve">qSOFA </w:t>
            </w:r>
            <w:r w:rsidRPr="001C4ED2">
              <w:rPr>
                <w:b/>
                <w:bCs/>
                <w:color w:val="000000" w:themeColor="text1"/>
                <w:sz w:val="24"/>
                <w:szCs w:val="24"/>
              </w:rPr>
              <w:t>≥</w:t>
            </w:r>
            <w:r w:rsidRPr="001C4ED2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5152D4" w14:textId="77777777" w:rsidR="00BF7BF3" w:rsidRPr="001C4ED2" w:rsidRDefault="00BF7BF3" w:rsidP="00BF7BF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4ED2">
              <w:rPr>
                <w:b/>
                <w:bCs/>
                <w:sz w:val="24"/>
                <w:szCs w:val="24"/>
              </w:rPr>
              <w:t>qSOFA &lt; 2</w:t>
            </w:r>
          </w:p>
        </w:tc>
      </w:tr>
      <w:tr w:rsidR="00BF7BF3" w:rsidRPr="001C4ED2" w14:paraId="1CB0ABC6" w14:textId="77777777" w:rsidTr="00290490">
        <w:tc>
          <w:tcPr>
            <w:tcW w:w="1535" w:type="dxa"/>
            <w:tcBorders>
              <w:top w:val="single" w:sz="4" w:space="0" w:color="auto"/>
            </w:tcBorders>
          </w:tcPr>
          <w:p w14:paraId="426ED6F1" w14:textId="77777777" w:rsidR="00BF7BF3" w:rsidRPr="001C4ED2" w:rsidRDefault="00BF7BF3" w:rsidP="00BF7BF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C4ED2">
              <w:rPr>
                <w:b/>
                <w:bCs/>
                <w:sz w:val="24"/>
                <w:szCs w:val="24"/>
              </w:rPr>
              <w:t>Calprotectin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3138C0C8" w14:textId="77777777" w:rsidR="00BF7BF3" w:rsidRPr="001C4ED2" w:rsidRDefault="00BF7BF3" w:rsidP="00BF7B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4ED2">
              <w:rPr>
                <w:sz w:val="24"/>
                <w:szCs w:val="24"/>
              </w:rPr>
              <w:t>0,729 (0,643- 0,815)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69487B57" w14:textId="77777777" w:rsidR="00BF7BF3" w:rsidRPr="001C4ED2" w:rsidRDefault="00BF7BF3" w:rsidP="00BF7B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4ED2">
              <w:rPr>
                <w:sz w:val="24"/>
                <w:szCs w:val="24"/>
              </w:rPr>
              <w:t>0,801 (0,744-0,859)</w:t>
            </w:r>
          </w:p>
        </w:tc>
      </w:tr>
      <w:tr w:rsidR="00BF7BF3" w:rsidRPr="001C4ED2" w14:paraId="0F04167E" w14:textId="77777777" w:rsidTr="00290490">
        <w:tc>
          <w:tcPr>
            <w:tcW w:w="1535" w:type="dxa"/>
          </w:tcPr>
          <w:p w14:paraId="40BA8560" w14:textId="77777777" w:rsidR="00BF7BF3" w:rsidRPr="001C4ED2" w:rsidRDefault="00BF7BF3" w:rsidP="00BF7BF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C4ED2">
              <w:rPr>
                <w:b/>
                <w:bCs/>
                <w:sz w:val="24"/>
                <w:szCs w:val="24"/>
              </w:rPr>
              <w:t>CRP</w:t>
            </w:r>
          </w:p>
        </w:tc>
        <w:tc>
          <w:tcPr>
            <w:tcW w:w="2405" w:type="dxa"/>
          </w:tcPr>
          <w:p w14:paraId="4E9B816D" w14:textId="77777777" w:rsidR="00BF7BF3" w:rsidRPr="001C4ED2" w:rsidRDefault="00BF7BF3" w:rsidP="00BF7B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4ED2">
              <w:rPr>
                <w:sz w:val="24"/>
                <w:szCs w:val="24"/>
              </w:rPr>
              <w:t>0,881 (0,825-0,937)</w:t>
            </w:r>
          </w:p>
        </w:tc>
        <w:tc>
          <w:tcPr>
            <w:tcW w:w="2405" w:type="dxa"/>
          </w:tcPr>
          <w:p w14:paraId="3EC10C5D" w14:textId="77777777" w:rsidR="00BF7BF3" w:rsidRPr="001C4ED2" w:rsidRDefault="00BF7BF3" w:rsidP="00BF7B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4ED2">
              <w:rPr>
                <w:sz w:val="24"/>
                <w:szCs w:val="24"/>
              </w:rPr>
              <w:t>0,924 (0,890-0,958)</w:t>
            </w:r>
          </w:p>
        </w:tc>
      </w:tr>
      <w:tr w:rsidR="00BF7BF3" w:rsidRPr="001C4ED2" w14:paraId="56F075C9" w14:textId="77777777" w:rsidTr="00031ECE">
        <w:tc>
          <w:tcPr>
            <w:tcW w:w="1535" w:type="dxa"/>
          </w:tcPr>
          <w:p w14:paraId="2ADF96EC" w14:textId="77777777" w:rsidR="00BF7BF3" w:rsidRPr="001C4ED2" w:rsidRDefault="00BF7BF3" w:rsidP="00BF7BF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C4ED2">
              <w:rPr>
                <w:b/>
                <w:bCs/>
                <w:sz w:val="24"/>
                <w:szCs w:val="24"/>
              </w:rPr>
              <w:t>IL6</w:t>
            </w:r>
          </w:p>
        </w:tc>
        <w:tc>
          <w:tcPr>
            <w:tcW w:w="2405" w:type="dxa"/>
          </w:tcPr>
          <w:p w14:paraId="5EADA995" w14:textId="77777777" w:rsidR="00BF7BF3" w:rsidRPr="001C4ED2" w:rsidRDefault="00BF7BF3" w:rsidP="00BF7B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4ED2">
              <w:rPr>
                <w:sz w:val="24"/>
                <w:szCs w:val="24"/>
              </w:rPr>
              <w:t>0,901 (0,849-0,953)</w:t>
            </w:r>
          </w:p>
        </w:tc>
        <w:tc>
          <w:tcPr>
            <w:tcW w:w="2405" w:type="dxa"/>
          </w:tcPr>
          <w:p w14:paraId="474FAEC4" w14:textId="77777777" w:rsidR="00BF7BF3" w:rsidRPr="001C4ED2" w:rsidRDefault="00BF7BF3" w:rsidP="00BF7B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4ED2">
              <w:rPr>
                <w:sz w:val="24"/>
                <w:szCs w:val="24"/>
              </w:rPr>
              <w:t>0,888 (0,845-0,932)</w:t>
            </w:r>
          </w:p>
        </w:tc>
      </w:tr>
      <w:tr w:rsidR="00BF7BF3" w:rsidRPr="001C4ED2" w14:paraId="1AB81B0A" w14:textId="77777777" w:rsidTr="00031ECE">
        <w:tc>
          <w:tcPr>
            <w:tcW w:w="1535" w:type="dxa"/>
            <w:tcBorders>
              <w:bottom w:val="single" w:sz="4" w:space="0" w:color="auto"/>
            </w:tcBorders>
          </w:tcPr>
          <w:p w14:paraId="61E37F07" w14:textId="77777777" w:rsidR="00BF7BF3" w:rsidRPr="001C4ED2" w:rsidRDefault="00BF7BF3" w:rsidP="00BF7BF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C4ED2">
              <w:rPr>
                <w:b/>
                <w:bCs/>
                <w:sz w:val="24"/>
                <w:szCs w:val="24"/>
              </w:rPr>
              <w:t>PCT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F8D15AB" w14:textId="77777777" w:rsidR="00BF7BF3" w:rsidRPr="001C4ED2" w:rsidRDefault="00BF7BF3" w:rsidP="00BF7B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4ED2">
              <w:rPr>
                <w:sz w:val="24"/>
                <w:szCs w:val="24"/>
              </w:rPr>
              <w:t>0,844 (0,777-0,910)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2853111" w14:textId="77777777" w:rsidR="00BF7BF3" w:rsidRPr="001C4ED2" w:rsidRDefault="00BF7BF3" w:rsidP="00BF7B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C4ED2">
              <w:rPr>
                <w:sz w:val="24"/>
                <w:szCs w:val="24"/>
              </w:rPr>
              <w:t>0,819 (0,765-0,874)</w:t>
            </w:r>
          </w:p>
        </w:tc>
      </w:tr>
    </w:tbl>
    <w:p w14:paraId="336E5E1B" w14:textId="77777777" w:rsidR="001B4D07" w:rsidRDefault="00BF7BF3" w:rsidP="001B4D07">
      <w:pPr>
        <w:pStyle w:val="Overskrift3"/>
      </w:pPr>
      <w:bookmarkStart w:id="5" w:name="_Toc109046464"/>
      <w:r w:rsidRPr="001C4ED2">
        <w:t xml:space="preserve">Supplementary table </w:t>
      </w:r>
      <w:r w:rsidR="00D04681">
        <w:t>6</w:t>
      </w:r>
      <w:r w:rsidR="001C4ED2" w:rsidRPr="001C4ED2">
        <w:t>a</w:t>
      </w:r>
      <w:r w:rsidRPr="001C4ED2">
        <w:t>.</w:t>
      </w:r>
      <w:r w:rsidR="001B4D07">
        <w:t xml:space="preserve"> Biomarker </w:t>
      </w:r>
      <w:proofErr w:type="spellStart"/>
      <w:r w:rsidR="001B4D07">
        <w:t>AUCs</w:t>
      </w:r>
      <w:proofErr w:type="spellEnd"/>
      <w:r w:rsidR="001B4D07">
        <w:t xml:space="preserve"> stratified by qSOFA </w:t>
      </w:r>
      <w:r w:rsidR="001B4D07" w:rsidRPr="001C4ED2">
        <w:rPr>
          <w:color w:val="000000" w:themeColor="text1"/>
        </w:rPr>
        <w:t>≥</w:t>
      </w:r>
      <w:r w:rsidR="001B4D07" w:rsidRPr="001C4ED2">
        <w:t xml:space="preserve"> 2</w:t>
      </w:r>
      <w:r w:rsidR="001B4D07">
        <w:t xml:space="preserve"> and &lt; 2.</w:t>
      </w:r>
      <w:bookmarkEnd w:id="5"/>
    </w:p>
    <w:p w14:paraId="23F21B83" w14:textId="2C1D128B" w:rsidR="00BF7BF3" w:rsidRPr="001C4ED2" w:rsidRDefault="00BF7BF3" w:rsidP="00AB3FBC">
      <w:pPr>
        <w:spacing w:line="240" w:lineRule="auto"/>
        <w:rPr>
          <w:lang w:val="en-US"/>
        </w:rPr>
      </w:pPr>
      <w:r w:rsidRPr="001C4ED2">
        <w:rPr>
          <w:lang w:val="en-US"/>
        </w:rPr>
        <w:t xml:space="preserve">AUC and 95% confidence interval for biomarkers Calprotectin, CRP, IL6 and PCT in discriminating patients with and without infection in the ED. </w:t>
      </w:r>
    </w:p>
    <w:p w14:paraId="03C3ABF5" w14:textId="77777777" w:rsidR="0037384F" w:rsidRDefault="0037384F" w:rsidP="0037384F">
      <w:pPr>
        <w:rPr>
          <w:rFonts w:eastAsia="Calibri"/>
        </w:rPr>
      </w:pPr>
    </w:p>
    <w:tbl>
      <w:tblPr>
        <w:tblStyle w:val="Tabellrutenett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1701"/>
        <w:gridCol w:w="1276"/>
        <w:gridCol w:w="1269"/>
      </w:tblGrid>
      <w:tr w:rsidR="002F6E52" w:rsidRPr="008B4960" w14:paraId="00A2CA7A" w14:textId="77777777" w:rsidTr="002F6E52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87DCB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91A29" w14:textId="26733A6C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E9988" w14:textId="3BA13C0A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8B4960">
              <w:rPr>
                <w:b/>
                <w:bCs/>
              </w:rPr>
              <w:t>Sensitivity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84C681" w14:textId="0A2341F0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8B4960">
              <w:rPr>
                <w:b/>
                <w:bCs/>
              </w:rPr>
              <w:t>Specificity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0235F" w14:textId="102A2783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8B4960">
              <w:rPr>
                <w:b/>
                <w:bCs/>
              </w:rPr>
              <w:t>PPV</w:t>
            </w:r>
            <w:r>
              <w:rPr>
                <w:b/>
                <w:bCs/>
              </w:rPr>
              <w:t>, % (95% CI)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9CB8E" w14:textId="61D1EA2B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8B4960">
              <w:rPr>
                <w:b/>
                <w:bCs/>
              </w:rPr>
              <w:t>NPV</w:t>
            </w:r>
            <w:r>
              <w:rPr>
                <w:b/>
                <w:bCs/>
              </w:rPr>
              <w:t>, % (95% CI)</w:t>
            </w:r>
          </w:p>
        </w:tc>
      </w:tr>
      <w:tr w:rsidR="002F6E52" w:rsidRPr="008B4960" w14:paraId="395C9D1E" w14:textId="77777777" w:rsidTr="002F6E5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3E4D2B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8B4960">
              <w:rPr>
                <w:b/>
                <w:bCs/>
              </w:rPr>
              <w:t xml:space="preserve">CRP ≥ 31 </w:t>
            </w:r>
            <w:r>
              <w:rPr>
                <w:b/>
                <w:bCs/>
              </w:rPr>
              <w:t xml:space="preserve">mg/L </w:t>
            </w:r>
            <w:r w:rsidRPr="002F6E52">
              <w:rPr>
                <w:b/>
                <w:bCs/>
                <w:u w:val="single"/>
              </w:rPr>
              <w:t>and</w:t>
            </w:r>
            <w:r w:rsidRPr="008B4960">
              <w:rPr>
                <w:b/>
                <w:bCs/>
              </w:rPr>
              <w:t xml:space="preserve"> IL-6 ≥ 52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/mL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BD863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23097D" w14:textId="2DBD5829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3005D1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5C0B9B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35E346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2F6E52" w:rsidRPr="008B4960" w14:paraId="6E27D7A8" w14:textId="77777777" w:rsidTr="002F6E52">
        <w:tc>
          <w:tcPr>
            <w:tcW w:w="2127" w:type="dxa"/>
            <w:tcBorders>
              <w:top w:val="single" w:sz="4" w:space="0" w:color="auto"/>
            </w:tcBorders>
          </w:tcPr>
          <w:p w14:paraId="31045394" w14:textId="00BB51C0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208CC4" w14:textId="74B39D47" w:rsidR="002F6E5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178 (46)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0719C7" w14:textId="19D93059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72 (66-77)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74A5EF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94 (89-97)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0E95F8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95 (91-97)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519C2442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68 (64-73)</w:t>
            </w:r>
          </w:p>
        </w:tc>
      </w:tr>
      <w:tr w:rsidR="002F6E52" w:rsidRPr="008B4960" w14:paraId="32A4B57C" w14:textId="77777777" w:rsidTr="002F6E52">
        <w:tc>
          <w:tcPr>
            <w:tcW w:w="2127" w:type="dxa"/>
          </w:tcPr>
          <w:p w14:paraId="09894684" w14:textId="19FECC39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8B4960">
              <w:rPr>
                <w:b/>
                <w:bCs/>
              </w:rPr>
              <w:t>qSOFA &lt; 2</w:t>
            </w:r>
          </w:p>
        </w:tc>
        <w:tc>
          <w:tcPr>
            <w:tcW w:w="992" w:type="dxa"/>
          </w:tcPr>
          <w:p w14:paraId="6D49A9BD" w14:textId="4BB7E23F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89 (39)</w:t>
            </w:r>
          </w:p>
        </w:tc>
        <w:tc>
          <w:tcPr>
            <w:tcW w:w="1701" w:type="dxa"/>
          </w:tcPr>
          <w:p w14:paraId="7262DA71" w14:textId="47C50B2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4960">
              <w:t>68 (59-76)</w:t>
            </w:r>
          </w:p>
        </w:tc>
        <w:tc>
          <w:tcPr>
            <w:tcW w:w="1701" w:type="dxa"/>
          </w:tcPr>
          <w:p w14:paraId="55630C7F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4960">
              <w:t>97 (91-99)</w:t>
            </w:r>
          </w:p>
        </w:tc>
        <w:tc>
          <w:tcPr>
            <w:tcW w:w="1276" w:type="dxa"/>
          </w:tcPr>
          <w:p w14:paraId="53E35042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97 (92-99)</w:t>
            </w:r>
          </w:p>
        </w:tc>
        <w:tc>
          <w:tcPr>
            <w:tcW w:w="1269" w:type="dxa"/>
          </w:tcPr>
          <w:p w14:paraId="528AD1F0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66 (60-72)</w:t>
            </w:r>
          </w:p>
        </w:tc>
      </w:tr>
      <w:tr w:rsidR="002F6E52" w:rsidRPr="008B4960" w14:paraId="7A010585" w14:textId="77777777" w:rsidTr="002F6E52">
        <w:tc>
          <w:tcPr>
            <w:tcW w:w="2127" w:type="dxa"/>
          </w:tcPr>
          <w:p w14:paraId="73D332F5" w14:textId="1E7D15C0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8B4960">
              <w:rPr>
                <w:b/>
                <w:bCs/>
              </w:rPr>
              <w:t>qSOFA ≥ 2</w:t>
            </w:r>
          </w:p>
        </w:tc>
        <w:tc>
          <w:tcPr>
            <w:tcW w:w="992" w:type="dxa"/>
          </w:tcPr>
          <w:p w14:paraId="5E2EE220" w14:textId="17E43BA5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89 (55)</w:t>
            </w:r>
          </w:p>
        </w:tc>
        <w:tc>
          <w:tcPr>
            <w:tcW w:w="1701" w:type="dxa"/>
          </w:tcPr>
          <w:p w14:paraId="0856C3D7" w14:textId="3E0197F2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4960">
              <w:t>76 (67-84)</w:t>
            </w:r>
          </w:p>
        </w:tc>
        <w:tc>
          <w:tcPr>
            <w:tcW w:w="1701" w:type="dxa"/>
          </w:tcPr>
          <w:p w14:paraId="03A3B2B3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4960">
              <w:t>89 (76-9</w:t>
            </w:r>
            <w:r>
              <w:t>6</w:t>
            </w:r>
            <w:r w:rsidRPr="008B4960">
              <w:t>)</w:t>
            </w:r>
          </w:p>
        </w:tc>
        <w:tc>
          <w:tcPr>
            <w:tcW w:w="1276" w:type="dxa"/>
          </w:tcPr>
          <w:p w14:paraId="3A0B3B38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91 (83-96)</w:t>
            </w:r>
          </w:p>
        </w:tc>
        <w:tc>
          <w:tcPr>
            <w:tcW w:w="1269" w:type="dxa"/>
          </w:tcPr>
          <w:p w14:paraId="5BEBA40A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71 (63-78)</w:t>
            </w:r>
          </w:p>
        </w:tc>
      </w:tr>
      <w:tr w:rsidR="002F6E52" w:rsidRPr="008B4960" w14:paraId="7E6231E1" w14:textId="77777777" w:rsidTr="002F6E52">
        <w:tc>
          <w:tcPr>
            <w:tcW w:w="2127" w:type="dxa"/>
            <w:tcBorders>
              <w:bottom w:val="single" w:sz="4" w:space="0" w:color="auto"/>
            </w:tcBorders>
          </w:tcPr>
          <w:p w14:paraId="143DC31E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4A6E6E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731CDC" w14:textId="47A5BCD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26D7EB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3654D3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6B60DF44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2F6E52" w:rsidRPr="008B4960" w14:paraId="308F2D1A" w14:textId="77777777" w:rsidTr="002F6E5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208073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8B4960">
              <w:rPr>
                <w:b/>
                <w:bCs/>
              </w:rPr>
              <w:t>CRP ≥ 31</w:t>
            </w:r>
            <w:r>
              <w:rPr>
                <w:b/>
                <w:bCs/>
              </w:rPr>
              <w:t xml:space="preserve"> mg/L</w:t>
            </w:r>
            <w:r w:rsidRPr="008B4960">
              <w:rPr>
                <w:b/>
                <w:bCs/>
              </w:rPr>
              <w:t xml:space="preserve"> </w:t>
            </w:r>
            <w:r w:rsidRPr="002F6E52">
              <w:rPr>
                <w:b/>
                <w:bCs/>
                <w:u w:val="single"/>
              </w:rPr>
              <w:t>or</w:t>
            </w:r>
            <w:r w:rsidRPr="008B4960">
              <w:rPr>
                <w:b/>
                <w:bCs/>
              </w:rPr>
              <w:t xml:space="preserve"> IL-6 ≥ 52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pg</w:t>
            </w:r>
            <w:proofErr w:type="spellEnd"/>
            <w:r>
              <w:rPr>
                <w:b/>
                <w:bCs/>
              </w:rPr>
              <w:t>/mL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A4F9D4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EC6B0F" w14:textId="0E7B4223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D3E987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B2BA08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7A485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2F6E52" w:rsidRPr="008B4960" w14:paraId="39E0775B" w14:textId="77777777" w:rsidTr="002F6E52">
        <w:tc>
          <w:tcPr>
            <w:tcW w:w="2127" w:type="dxa"/>
            <w:tcBorders>
              <w:top w:val="single" w:sz="4" w:space="0" w:color="auto"/>
            </w:tcBorders>
          </w:tcPr>
          <w:p w14:paraId="7FC20D6B" w14:textId="3FB81FD9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507472" w14:textId="076EA3A8" w:rsidR="002F6E5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265 (68)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89ACF1" w14:textId="39110DF0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95 (91-97)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BC891F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74 (66-81)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E52F80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85 (8</w:t>
            </w:r>
            <w:r>
              <w:t>1</w:t>
            </w:r>
            <w:r w:rsidRPr="003B3AA2">
              <w:t>-8</w:t>
            </w:r>
            <w:r>
              <w:t>8</w:t>
            </w:r>
            <w:r w:rsidRPr="003B3AA2">
              <w:t>)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385BEEAF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90 (8</w:t>
            </w:r>
            <w:r>
              <w:t>5</w:t>
            </w:r>
            <w:r w:rsidRPr="003B3AA2">
              <w:t>-9</w:t>
            </w:r>
            <w:r>
              <w:t>4</w:t>
            </w:r>
            <w:r w:rsidRPr="003B3AA2">
              <w:t>)</w:t>
            </w:r>
          </w:p>
        </w:tc>
      </w:tr>
      <w:tr w:rsidR="002F6E52" w:rsidRPr="008B4960" w14:paraId="3FEFC560" w14:textId="77777777" w:rsidTr="002F6E52">
        <w:tc>
          <w:tcPr>
            <w:tcW w:w="2127" w:type="dxa"/>
          </w:tcPr>
          <w:p w14:paraId="734FB858" w14:textId="366C8DF1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8B4960">
              <w:rPr>
                <w:b/>
                <w:bCs/>
              </w:rPr>
              <w:t>qSOFA &lt; 2</w:t>
            </w:r>
          </w:p>
        </w:tc>
        <w:tc>
          <w:tcPr>
            <w:tcW w:w="992" w:type="dxa"/>
          </w:tcPr>
          <w:p w14:paraId="67F9F6DB" w14:textId="5050F875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136 (60)</w:t>
            </w:r>
          </w:p>
        </w:tc>
        <w:tc>
          <w:tcPr>
            <w:tcW w:w="1701" w:type="dxa"/>
          </w:tcPr>
          <w:p w14:paraId="54600373" w14:textId="4F902576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4960">
              <w:t>91 (85-9</w:t>
            </w:r>
            <w:r>
              <w:t>6</w:t>
            </w:r>
            <w:r w:rsidRPr="008B4960">
              <w:t>)</w:t>
            </w:r>
          </w:p>
        </w:tc>
        <w:tc>
          <w:tcPr>
            <w:tcW w:w="1701" w:type="dxa"/>
          </w:tcPr>
          <w:p w14:paraId="027139CF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4960">
              <w:t>80 (71-87)</w:t>
            </w:r>
          </w:p>
        </w:tc>
        <w:tc>
          <w:tcPr>
            <w:tcW w:w="1276" w:type="dxa"/>
          </w:tcPr>
          <w:p w14:paraId="4CC3644F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8</w:t>
            </w:r>
            <w:r>
              <w:t>8</w:t>
            </w:r>
            <w:r w:rsidRPr="003B3AA2">
              <w:t xml:space="preserve"> (</w:t>
            </w:r>
            <w:r>
              <w:t>83</w:t>
            </w:r>
            <w:r w:rsidRPr="003B3AA2">
              <w:t>-91)</w:t>
            </w:r>
          </w:p>
        </w:tc>
        <w:tc>
          <w:tcPr>
            <w:tcW w:w="1269" w:type="dxa"/>
          </w:tcPr>
          <w:p w14:paraId="7EEC07AF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8</w:t>
            </w:r>
            <w:r>
              <w:t>6</w:t>
            </w:r>
            <w:r w:rsidRPr="003B3AA2">
              <w:t xml:space="preserve"> (7</w:t>
            </w:r>
            <w:r>
              <w:t>7</w:t>
            </w:r>
            <w:r w:rsidRPr="003B3AA2">
              <w:t>-9</w:t>
            </w:r>
            <w:r>
              <w:t>1</w:t>
            </w:r>
            <w:r w:rsidRPr="003B3AA2">
              <w:t>)</w:t>
            </w:r>
          </w:p>
        </w:tc>
      </w:tr>
      <w:tr w:rsidR="002F6E52" w:rsidRPr="008B4960" w14:paraId="312C93F8" w14:textId="77777777" w:rsidTr="002F6E52">
        <w:tc>
          <w:tcPr>
            <w:tcW w:w="2127" w:type="dxa"/>
            <w:tcBorders>
              <w:bottom w:val="single" w:sz="4" w:space="0" w:color="auto"/>
            </w:tcBorders>
          </w:tcPr>
          <w:p w14:paraId="6C73D701" w14:textId="61530391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8B4960">
              <w:rPr>
                <w:b/>
                <w:bCs/>
              </w:rPr>
              <w:t>qSOFA ≥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0B8523" w14:textId="3A66961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129 (79)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0C271E" w14:textId="7B802B56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4960">
              <w:t>99 (9</w:t>
            </w:r>
            <w:r>
              <w:t>5</w:t>
            </w:r>
            <w:r w:rsidRPr="008B4960">
              <w:t>-100)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457726" w14:textId="77777777" w:rsidR="002F6E52" w:rsidRPr="008B4960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4960">
              <w:t>62 (48-75)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F8D110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80 (74-85)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F7907CA" w14:textId="77777777" w:rsidR="002F6E52" w:rsidRPr="003B3AA2" w:rsidRDefault="002F6E52" w:rsidP="001977F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B3AA2">
              <w:t>98 (86-100)</w:t>
            </w:r>
          </w:p>
        </w:tc>
      </w:tr>
    </w:tbl>
    <w:p w14:paraId="054AF99E" w14:textId="77777777" w:rsidR="00AA1668" w:rsidRDefault="0037384F" w:rsidP="00AA1668">
      <w:pPr>
        <w:pStyle w:val="Overskrift3"/>
      </w:pPr>
      <w:bookmarkStart w:id="6" w:name="_Toc109046465"/>
      <w:r w:rsidRPr="001C4ED2">
        <w:t xml:space="preserve">Supplementary table </w:t>
      </w:r>
      <w:r w:rsidR="00D04681">
        <w:t>6</w:t>
      </w:r>
      <w:r>
        <w:t>b</w:t>
      </w:r>
      <w:r w:rsidRPr="001C4ED2">
        <w:t xml:space="preserve">. </w:t>
      </w:r>
      <w:r w:rsidR="00AA1668">
        <w:t>Test abilities for combinations of CRP and IL-6 optimal cut-off values.</w:t>
      </w:r>
      <w:bookmarkEnd w:id="6"/>
      <w:r w:rsidR="00AA1668">
        <w:t xml:space="preserve"> </w:t>
      </w:r>
    </w:p>
    <w:p w14:paraId="3D088DD6" w14:textId="7A1A17AA" w:rsidR="00C55809" w:rsidRPr="00E70048" w:rsidRDefault="0037384F" w:rsidP="00E70048">
      <w:pPr>
        <w:spacing w:line="240" w:lineRule="auto"/>
        <w:rPr>
          <w:b/>
          <w:bCs/>
          <w:lang w:val="en-US"/>
        </w:rPr>
      </w:pPr>
      <w:r>
        <w:rPr>
          <w:lang w:val="en-US"/>
        </w:rPr>
        <w:t>S</w:t>
      </w:r>
      <w:r w:rsidRPr="001C4ED2">
        <w:rPr>
          <w:lang w:val="en-US"/>
        </w:rPr>
        <w:t xml:space="preserve">ensitivity, specificity and positive and negative </w:t>
      </w:r>
      <w:r>
        <w:rPr>
          <w:lang w:val="en-US"/>
        </w:rPr>
        <w:t>predictive values</w:t>
      </w:r>
      <w:r w:rsidRPr="001C4ED2">
        <w:rPr>
          <w:lang w:val="en-US"/>
        </w:rPr>
        <w:t xml:space="preserve"> for </w:t>
      </w:r>
      <w:r>
        <w:rPr>
          <w:lang w:val="en-US"/>
        </w:rPr>
        <w:t xml:space="preserve">CRP and IL-6 optimal cut-off values in </w:t>
      </w:r>
      <w:r w:rsidR="00A3046A">
        <w:rPr>
          <w:lang w:val="en-US"/>
        </w:rPr>
        <w:t xml:space="preserve">different </w:t>
      </w:r>
      <w:r>
        <w:rPr>
          <w:lang w:val="en-US"/>
        </w:rPr>
        <w:t>combination</w:t>
      </w:r>
      <w:r w:rsidR="00A3046A">
        <w:rPr>
          <w:lang w:val="en-US"/>
        </w:rPr>
        <w:t>s (both or at least one above optimal cut-off value)</w:t>
      </w:r>
      <w:r w:rsidR="00E0482A">
        <w:rPr>
          <w:lang w:val="en-US"/>
        </w:rPr>
        <w:t>,</w:t>
      </w:r>
      <w:r w:rsidRPr="001C4ED2">
        <w:rPr>
          <w:lang w:val="en-US"/>
        </w:rPr>
        <w:t xml:space="preserve"> </w:t>
      </w:r>
      <w:r w:rsidR="00E0482A">
        <w:rPr>
          <w:lang w:val="en-US"/>
        </w:rPr>
        <w:t>f</w:t>
      </w:r>
      <w:r w:rsidR="00A9090E">
        <w:rPr>
          <w:lang w:val="en-US"/>
        </w:rPr>
        <w:t xml:space="preserve">or all patients and </w:t>
      </w:r>
      <w:r w:rsidRPr="001C4ED2">
        <w:rPr>
          <w:lang w:val="en-US"/>
        </w:rPr>
        <w:t>stratified by qSOFA.</w:t>
      </w:r>
      <w:r w:rsidRPr="001C4ED2">
        <w:rPr>
          <w:b/>
          <w:bCs/>
          <w:lang w:val="en-US"/>
        </w:rPr>
        <w:t xml:space="preserve"> </w:t>
      </w:r>
      <w:r w:rsidR="00E70048"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215"/>
        <w:gridCol w:w="2235"/>
        <w:gridCol w:w="2235"/>
      </w:tblGrid>
      <w:tr w:rsidR="0003719F" w:rsidRPr="001C4ED2" w14:paraId="14C8CD2A" w14:textId="77777777" w:rsidTr="00D04681"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0DBF9" w14:textId="77777777" w:rsidR="0003719F" w:rsidRPr="001C4ED2" w:rsidRDefault="0003719F" w:rsidP="000B7E1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E2ADD" w14:textId="2C4A37A9" w:rsidR="0003719F" w:rsidRPr="001C4ED2" w:rsidRDefault="0003719F" w:rsidP="001C4ED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3A91D" w14:textId="6D9F0776" w:rsidR="0003719F" w:rsidRPr="001C4ED2" w:rsidRDefault="0003719F" w:rsidP="001C4ED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4ED2">
              <w:rPr>
                <w:b/>
                <w:bCs/>
                <w:sz w:val="24"/>
                <w:szCs w:val="24"/>
              </w:rPr>
              <w:t xml:space="preserve">qSOFA </w:t>
            </w:r>
            <w:r w:rsidRPr="001C4ED2">
              <w:rPr>
                <w:b/>
                <w:bCs/>
                <w:color w:val="000000" w:themeColor="text1"/>
                <w:sz w:val="24"/>
                <w:szCs w:val="24"/>
              </w:rPr>
              <w:t>≥</w:t>
            </w:r>
            <w:r w:rsidRPr="001C4ED2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B8638" w14:textId="5E3388C5" w:rsidR="0003719F" w:rsidRPr="001C4ED2" w:rsidRDefault="0003719F" w:rsidP="001C4ED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4ED2">
              <w:rPr>
                <w:b/>
                <w:bCs/>
                <w:sz w:val="24"/>
                <w:szCs w:val="24"/>
              </w:rPr>
              <w:t>qSOFA &lt; 2</w:t>
            </w:r>
          </w:p>
        </w:tc>
      </w:tr>
      <w:tr w:rsidR="0003719F" w:rsidRPr="001C4ED2" w14:paraId="3CAA9F2D" w14:textId="77777777" w:rsidTr="0003719F">
        <w:tc>
          <w:tcPr>
            <w:tcW w:w="2381" w:type="dxa"/>
            <w:tcBorders>
              <w:top w:val="single" w:sz="4" w:space="0" w:color="auto"/>
            </w:tcBorders>
          </w:tcPr>
          <w:p w14:paraId="76738E49" w14:textId="3B4F01D7" w:rsidR="0003719F" w:rsidRPr="001C4ED2" w:rsidRDefault="0003719F" w:rsidP="000B7E1D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C4ED2">
              <w:rPr>
                <w:b/>
                <w:bCs/>
                <w:sz w:val="24"/>
                <w:szCs w:val="24"/>
                <w:lang w:val="en-US"/>
              </w:rPr>
              <w:t>AUC (95% CI)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75577733" w14:textId="046677ED" w:rsidR="0003719F" w:rsidRPr="001C4ED2" w:rsidRDefault="00C31441" w:rsidP="001C4ED2">
            <w:pPr>
              <w:spacing w:line="240" w:lineRule="auto"/>
              <w:jc w:val="center"/>
            </w:pPr>
            <w:r>
              <w:t>0.952 (0.932-0.972)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4A26720B" w14:textId="33EF1077" w:rsidR="0003719F" w:rsidRPr="001C4ED2" w:rsidRDefault="0003719F" w:rsidP="001C4ED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4ED2">
              <w:rPr>
                <w:sz w:val="24"/>
                <w:szCs w:val="24"/>
              </w:rPr>
              <w:t>0.958 (0.930-0.986)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3FF1DCA6" w14:textId="6E3026BC" w:rsidR="0003719F" w:rsidRPr="001C4ED2" w:rsidRDefault="0003719F" w:rsidP="001C4ED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4ED2">
              <w:rPr>
                <w:sz w:val="24"/>
                <w:szCs w:val="24"/>
              </w:rPr>
              <w:t>0.950 (0.922-0.977)</w:t>
            </w:r>
          </w:p>
        </w:tc>
      </w:tr>
      <w:tr w:rsidR="0003719F" w:rsidRPr="001C4ED2" w14:paraId="37309897" w14:textId="77777777" w:rsidTr="0003719F">
        <w:tc>
          <w:tcPr>
            <w:tcW w:w="2381" w:type="dxa"/>
          </w:tcPr>
          <w:p w14:paraId="78A95723" w14:textId="7ACB2CB4" w:rsidR="0003719F" w:rsidRPr="001C4ED2" w:rsidRDefault="0003719F" w:rsidP="000B7E1D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C4ED2">
              <w:rPr>
                <w:b/>
                <w:bCs/>
                <w:sz w:val="24"/>
                <w:szCs w:val="24"/>
                <w:lang w:val="en-US"/>
              </w:rPr>
              <w:t>Sensitivity (95% CI)</w:t>
            </w:r>
          </w:p>
        </w:tc>
        <w:tc>
          <w:tcPr>
            <w:tcW w:w="2215" w:type="dxa"/>
          </w:tcPr>
          <w:p w14:paraId="7DE42D8F" w14:textId="7D0D9176" w:rsidR="0003719F" w:rsidRPr="001C4ED2" w:rsidRDefault="0003719F" w:rsidP="001C4ED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 (89-96)</w:t>
            </w:r>
          </w:p>
        </w:tc>
        <w:tc>
          <w:tcPr>
            <w:tcW w:w="2235" w:type="dxa"/>
          </w:tcPr>
          <w:p w14:paraId="1380D919" w14:textId="3784D4CA" w:rsidR="0003719F" w:rsidRPr="001C4ED2" w:rsidRDefault="0003719F" w:rsidP="001C4ED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4ED2">
              <w:rPr>
                <w:sz w:val="24"/>
                <w:szCs w:val="24"/>
                <w:lang w:val="en-US"/>
              </w:rPr>
              <w:t>95 (88-98)</w:t>
            </w:r>
          </w:p>
        </w:tc>
        <w:tc>
          <w:tcPr>
            <w:tcW w:w="2235" w:type="dxa"/>
          </w:tcPr>
          <w:p w14:paraId="51153F77" w14:textId="75BB3661" w:rsidR="0003719F" w:rsidRPr="001C4ED2" w:rsidRDefault="0003719F" w:rsidP="001C4ED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4ED2">
              <w:rPr>
                <w:sz w:val="24"/>
                <w:szCs w:val="24"/>
                <w:lang w:val="en-US"/>
              </w:rPr>
              <w:t>92 86-96</w:t>
            </w:r>
          </w:p>
        </w:tc>
      </w:tr>
      <w:tr w:rsidR="0003719F" w:rsidRPr="001C4ED2" w14:paraId="75A9FE7E" w14:textId="77777777" w:rsidTr="0003719F">
        <w:tc>
          <w:tcPr>
            <w:tcW w:w="2381" w:type="dxa"/>
          </w:tcPr>
          <w:p w14:paraId="5E5AA2F5" w14:textId="266C8546" w:rsidR="0003719F" w:rsidRPr="001C4ED2" w:rsidRDefault="0003719F" w:rsidP="000B7E1D">
            <w:p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C4ED2">
              <w:rPr>
                <w:b/>
                <w:bCs/>
                <w:sz w:val="24"/>
                <w:szCs w:val="24"/>
                <w:lang w:val="en-US"/>
              </w:rPr>
              <w:t>Specificity (95% CI)</w:t>
            </w:r>
          </w:p>
        </w:tc>
        <w:tc>
          <w:tcPr>
            <w:tcW w:w="2215" w:type="dxa"/>
          </w:tcPr>
          <w:p w14:paraId="72715E89" w14:textId="095FB65B" w:rsidR="0003719F" w:rsidRPr="001C4ED2" w:rsidRDefault="0003719F" w:rsidP="001C4ED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 (75-88)</w:t>
            </w:r>
          </w:p>
        </w:tc>
        <w:tc>
          <w:tcPr>
            <w:tcW w:w="2235" w:type="dxa"/>
          </w:tcPr>
          <w:p w14:paraId="562A837E" w14:textId="35B4C188" w:rsidR="0003719F" w:rsidRPr="001C4ED2" w:rsidRDefault="0003719F" w:rsidP="001C4ED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4ED2">
              <w:rPr>
                <w:sz w:val="24"/>
                <w:szCs w:val="24"/>
                <w:lang w:val="en-US"/>
              </w:rPr>
              <w:t>79 (66-89)</w:t>
            </w:r>
          </w:p>
        </w:tc>
        <w:tc>
          <w:tcPr>
            <w:tcW w:w="2235" w:type="dxa"/>
          </w:tcPr>
          <w:p w14:paraId="38036798" w14:textId="5317DE7C" w:rsidR="0003719F" w:rsidRPr="001C4ED2" w:rsidRDefault="0003719F" w:rsidP="001C4ED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C4ED2">
              <w:rPr>
                <w:sz w:val="24"/>
                <w:szCs w:val="24"/>
                <w:lang w:val="en-US"/>
              </w:rPr>
              <w:t>88 80-93</w:t>
            </w:r>
          </w:p>
        </w:tc>
      </w:tr>
      <w:tr w:rsidR="0003719F" w:rsidRPr="001C4ED2" w14:paraId="2018D33A" w14:textId="77777777" w:rsidTr="0003719F">
        <w:tc>
          <w:tcPr>
            <w:tcW w:w="2381" w:type="dxa"/>
          </w:tcPr>
          <w:p w14:paraId="295D5A6B" w14:textId="7CC4B4BA" w:rsidR="0003719F" w:rsidRPr="001C4ED2" w:rsidRDefault="0003719F" w:rsidP="000B7E1D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PPV</w:t>
            </w:r>
            <w:r w:rsidRPr="001C4ED2">
              <w:rPr>
                <w:b/>
                <w:bCs/>
                <w:sz w:val="24"/>
                <w:szCs w:val="24"/>
                <w:lang w:val="en-US"/>
              </w:rPr>
              <w:t xml:space="preserve"> (95% CI)</w:t>
            </w:r>
          </w:p>
        </w:tc>
        <w:tc>
          <w:tcPr>
            <w:tcW w:w="2215" w:type="dxa"/>
          </w:tcPr>
          <w:p w14:paraId="2015184E" w14:textId="4755D53C" w:rsidR="0003719F" w:rsidRPr="001C4ED2" w:rsidRDefault="0003719F" w:rsidP="001C4ED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89 (84-93)</w:t>
            </w:r>
          </w:p>
        </w:tc>
        <w:tc>
          <w:tcPr>
            <w:tcW w:w="2235" w:type="dxa"/>
          </w:tcPr>
          <w:p w14:paraId="7D6280A0" w14:textId="19F18E06" w:rsidR="0003719F" w:rsidRPr="001C4ED2" w:rsidRDefault="00C31441" w:rsidP="001C4ED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 (83-95)</w:t>
            </w:r>
          </w:p>
        </w:tc>
        <w:tc>
          <w:tcPr>
            <w:tcW w:w="2235" w:type="dxa"/>
          </w:tcPr>
          <w:p w14:paraId="46ED7E73" w14:textId="1F270AB8" w:rsidR="0003719F" w:rsidRPr="001C4ED2" w:rsidRDefault="003E2CA3" w:rsidP="001C4ED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 (84-95))</w:t>
            </w:r>
          </w:p>
        </w:tc>
      </w:tr>
      <w:tr w:rsidR="0003719F" w:rsidRPr="001C4ED2" w14:paraId="44EE6C8E" w14:textId="77777777" w:rsidTr="0003719F">
        <w:tc>
          <w:tcPr>
            <w:tcW w:w="2381" w:type="dxa"/>
            <w:tcBorders>
              <w:bottom w:val="single" w:sz="4" w:space="0" w:color="auto"/>
            </w:tcBorders>
          </w:tcPr>
          <w:p w14:paraId="00336ADC" w14:textId="215631DE" w:rsidR="0003719F" w:rsidRPr="001C4ED2" w:rsidRDefault="0003719F" w:rsidP="000B7E1D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NPV</w:t>
            </w:r>
            <w:r w:rsidRPr="001C4ED2">
              <w:rPr>
                <w:b/>
                <w:bCs/>
                <w:sz w:val="24"/>
                <w:szCs w:val="24"/>
                <w:lang w:val="en-US"/>
              </w:rPr>
              <w:t xml:space="preserve"> (95% CI)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421248E9" w14:textId="66F9B652" w:rsidR="0003719F" w:rsidRPr="001C4ED2" w:rsidRDefault="0003719F" w:rsidP="001C4ED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89 (84-93)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4F973AF6" w14:textId="498F9363" w:rsidR="0003719F" w:rsidRPr="001C4ED2" w:rsidRDefault="00C31441" w:rsidP="001C4ED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 (74-95)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77BDBC51" w14:textId="397D0F4A" w:rsidR="0003719F" w:rsidRPr="001C4ED2" w:rsidRDefault="003E2CA3" w:rsidP="001C4ED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 (82-95)</w:t>
            </w:r>
          </w:p>
        </w:tc>
      </w:tr>
    </w:tbl>
    <w:p w14:paraId="78CFA75D" w14:textId="1DF76561" w:rsidR="00AA1668" w:rsidRDefault="001A141A" w:rsidP="00AA1668">
      <w:pPr>
        <w:pStyle w:val="Overskrift3"/>
      </w:pPr>
      <w:bookmarkStart w:id="7" w:name="_Toc109046466"/>
      <w:r w:rsidRPr="001C4ED2">
        <w:t xml:space="preserve">Supplementary table </w:t>
      </w:r>
      <w:r w:rsidR="00E70048">
        <w:t>7.</w:t>
      </w:r>
      <w:r w:rsidR="001C4ED2" w:rsidRPr="001C4ED2">
        <w:t xml:space="preserve"> </w:t>
      </w:r>
      <w:proofErr w:type="spellStart"/>
      <w:r w:rsidR="00AA1668">
        <w:t>AUCs</w:t>
      </w:r>
      <w:proofErr w:type="spellEnd"/>
      <w:r w:rsidR="00AA1668">
        <w:t xml:space="preserve"> for the best regression model, stratified by qSOFA </w:t>
      </w:r>
      <w:r w:rsidR="00AA1668" w:rsidRPr="001C4ED2">
        <w:rPr>
          <w:color w:val="000000" w:themeColor="text1"/>
        </w:rPr>
        <w:t>≥</w:t>
      </w:r>
      <w:r w:rsidR="00AA1668" w:rsidRPr="001C4ED2">
        <w:t xml:space="preserve"> 2</w:t>
      </w:r>
      <w:r w:rsidR="00AA1668">
        <w:t xml:space="preserve"> and &lt; 2.</w:t>
      </w:r>
      <w:bookmarkEnd w:id="7"/>
      <w:r w:rsidR="00AA1668">
        <w:t xml:space="preserve"> </w:t>
      </w:r>
    </w:p>
    <w:p w14:paraId="32ABFB53" w14:textId="42DB7977" w:rsidR="000B7E1D" w:rsidRPr="001C4ED2" w:rsidRDefault="001C4ED2" w:rsidP="00AB3FBC">
      <w:pPr>
        <w:spacing w:line="240" w:lineRule="auto"/>
        <w:rPr>
          <w:lang w:val="en-US"/>
        </w:rPr>
      </w:pPr>
      <w:r w:rsidRPr="001C4ED2">
        <w:rPr>
          <w:lang w:val="en-US"/>
        </w:rPr>
        <w:t>AUC, sensitivity, specificity and positive and negative likelihood ratios for the best regression model predicting presence of infection (IL6, CRP and ED clinical judgement) stratified by qSOFA.</w:t>
      </w:r>
      <w:r w:rsidRPr="001C4ED2">
        <w:rPr>
          <w:b/>
          <w:bCs/>
          <w:lang w:val="en-US"/>
        </w:rPr>
        <w:t xml:space="preserve"> </w:t>
      </w:r>
    </w:p>
    <w:p w14:paraId="53DDCBA9" w14:textId="69910FCB" w:rsidR="003D151A" w:rsidRDefault="003D151A">
      <w:pPr>
        <w:spacing w:line="240" w:lineRule="auto"/>
        <w:rPr>
          <w:rFonts w:eastAsia="Calibri"/>
        </w:rPr>
      </w:pPr>
      <w:r>
        <w:rPr>
          <w:rFonts w:eastAsia="Calibri"/>
        </w:rPr>
        <w:br w:type="page"/>
      </w:r>
    </w:p>
    <w:p w14:paraId="468DD3F4" w14:textId="12FBFA72" w:rsidR="00614C62" w:rsidRDefault="009B00EF">
      <w:pPr>
        <w:spacing w:line="240" w:lineRule="auto"/>
        <w:rPr>
          <w:rFonts w:eastAsia="Calibri"/>
        </w:rPr>
      </w:pPr>
      <w:r w:rsidRPr="009B00EF">
        <w:rPr>
          <w:rFonts w:eastAsia="Calibri"/>
          <w:noProof/>
          <w:lang w:val="nb-NO" w:eastAsia="nb-NO"/>
        </w:rPr>
        <w:lastRenderedPageBreak/>
        <w:drawing>
          <wp:inline distT="0" distB="0" distL="0" distR="0" wp14:anchorId="67C3AE25" wp14:editId="604FB4BE">
            <wp:extent cx="5756910" cy="5166995"/>
            <wp:effectExtent l="0" t="0" r="0" b="190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D13F" w14:textId="77777777" w:rsidR="004E3B1A" w:rsidRDefault="003D151A" w:rsidP="004E3B1A">
      <w:pPr>
        <w:pStyle w:val="Overskrift3"/>
      </w:pPr>
      <w:bookmarkStart w:id="8" w:name="_Toc109046467"/>
      <w:r w:rsidRPr="00182D93">
        <w:t xml:space="preserve">Supplementary figure </w:t>
      </w:r>
      <w:r w:rsidR="00D81F0F">
        <w:t>1</w:t>
      </w:r>
      <w:r w:rsidRPr="00182D93">
        <w:t>.</w:t>
      </w:r>
      <w:r>
        <w:t xml:space="preserve"> Scatter</w:t>
      </w:r>
      <w:r w:rsidR="00E0482A">
        <w:t xml:space="preserve"> </w:t>
      </w:r>
      <w:r>
        <w:t>plots comparing log-transformed biomarker values.</w:t>
      </w:r>
      <w:bookmarkEnd w:id="8"/>
      <w:r>
        <w:t xml:space="preserve"> </w:t>
      </w:r>
    </w:p>
    <w:p w14:paraId="5CC25F51" w14:textId="65D69883" w:rsidR="00D87278" w:rsidRDefault="00033D56" w:rsidP="00914428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Linear regression was performed on log-transformed biomarker values to assess association. </w:t>
      </w:r>
      <w:r w:rsidR="00BD4CB9">
        <w:rPr>
          <w:rFonts w:eastAsia="Calibri"/>
        </w:rPr>
        <w:t>R</w:t>
      </w:r>
      <w:r w:rsidR="00BD4CB9">
        <w:rPr>
          <w:rFonts w:eastAsia="Calibri"/>
          <w:vertAlign w:val="superscript"/>
        </w:rPr>
        <w:t xml:space="preserve">2 </w:t>
      </w:r>
      <w:r w:rsidR="00BD4CB9">
        <w:rPr>
          <w:rFonts w:eastAsia="Calibri"/>
        </w:rPr>
        <w:t xml:space="preserve">and p-values in adjacent boxes (pink = “Infection, black = infection “Not likely” and blue dashed = all patients). </w:t>
      </w:r>
    </w:p>
    <w:p w14:paraId="0584169D" w14:textId="64F83C0A" w:rsidR="00AB3575" w:rsidRPr="00677FD7" w:rsidRDefault="00CB5D88" w:rsidP="00D87278">
      <w:pPr>
        <w:spacing w:line="240" w:lineRule="auto"/>
        <w:rPr>
          <w:rFonts w:eastAsia="Calibri"/>
        </w:rPr>
      </w:pPr>
      <w:r>
        <w:rPr>
          <w:rFonts w:eastAsia="Calibri"/>
        </w:rPr>
        <w:br w:type="page"/>
      </w:r>
      <w:r w:rsidR="00135FEE" w:rsidRPr="00135FEE">
        <w:rPr>
          <w:rFonts w:eastAsia="Calibri"/>
          <w:noProof/>
        </w:rPr>
        <w:lastRenderedPageBreak/>
        <w:drawing>
          <wp:inline distT="0" distB="0" distL="0" distR="0" wp14:anchorId="616F4DF0" wp14:editId="624961C1">
            <wp:extent cx="5756910" cy="35064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2940" w14:textId="740BB0AC" w:rsidR="00AA1668" w:rsidRDefault="00AB3575" w:rsidP="00AA1668">
      <w:pPr>
        <w:pStyle w:val="Overskrift3"/>
      </w:pPr>
      <w:bookmarkStart w:id="9" w:name="_Toc109046468"/>
      <w:r>
        <w:t>Supplementary f</w:t>
      </w:r>
      <w:r w:rsidRPr="00D464FD">
        <w:t xml:space="preserve">igure </w:t>
      </w:r>
      <w:r w:rsidR="00F91F46">
        <w:t>2</w:t>
      </w:r>
      <w:r w:rsidRPr="00D464FD">
        <w:t xml:space="preserve">. Biomarker levels grouped according the </w:t>
      </w:r>
      <w:r w:rsidR="00E0482A" w:rsidRPr="00D464FD">
        <w:t>caus</w:t>
      </w:r>
      <w:r w:rsidR="00E0482A">
        <w:t>ative</w:t>
      </w:r>
      <w:r w:rsidR="00E0482A" w:rsidRPr="00D464FD">
        <w:t xml:space="preserve"> </w:t>
      </w:r>
      <w:r w:rsidRPr="00D464FD">
        <w:t>agent group</w:t>
      </w:r>
      <w:r w:rsidR="00AA1668">
        <w:t>.</w:t>
      </w:r>
      <w:bookmarkEnd w:id="9"/>
      <w:r w:rsidRPr="00D464FD">
        <w:t xml:space="preserve"> </w:t>
      </w:r>
    </w:p>
    <w:p w14:paraId="7F9057F7" w14:textId="117AB436" w:rsidR="00861B0E" w:rsidRPr="00914428" w:rsidRDefault="00AB3575">
      <w:pPr>
        <w:spacing w:line="240" w:lineRule="auto"/>
        <w:rPr>
          <w:color w:val="000000" w:themeColor="text1"/>
          <w:sz w:val="22"/>
          <w:szCs w:val="22"/>
        </w:rPr>
      </w:pPr>
      <w:r w:rsidRPr="00D464FD">
        <w:rPr>
          <w:color w:val="000000" w:themeColor="text1"/>
          <w:sz w:val="22"/>
          <w:szCs w:val="22"/>
        </w:rPr>
        <w:t>Virus (n=17)</w:t>
      </w:r>
      <w:r>
        <w:rPr>
          <w:color w:val="000000" w:themeColor="text1"/>
          <w:sz w:val="22"/>
          <w:szCs w:val="22"/>
        </w:rPr>
        <w:t>,</w:t>
      </w:r>
      <w:r w:rsidRPr="00D464FD">
        <w:rPr>
          <w:color w:val="000000" w:themeColor="text1"/>
          <w:sz w:val="22"/>
          <w:szCs w:val="22"/>
        </w:rPr>
        <w:t xml:space="preserve"> </w:t>
      </w:r>
      <w:r w:rsidR="000D5226">
        <w:rPr>
          <w:color w:val="000000" w:themeColor="text1"/>
          <w:sz w:val="22"/>
          <w:szCs w:val="22"/>
        </w:rPr>
        <w:t>G</w:t>
      </w:r>
      <w:r w:rsidRPr="00D464FD">
        <w:rPr>
          <w:color w:val="000000" w:themeColor="text1"/>
          <w:sz w:val="22"/>
          <w:szCs w:val="22"/>
        </w:rPr>
        <w:t>ram positive bacteria (n=4</w:t>
      </w:r>
      <w:r>
        <w:rPr>
          <w:color w:val="000000" w:themeColor="text1"/>
          <w:sz w:val="22"/>
          <w:szCs w:val="22"/>
        </w:rPr>
        <w:t>5</w:t>
      </w:r>
      <w:r w:rsidRPr="00D464F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,</w:t>
      </w:r>
      <w:r w:rsidRPr="00D464FD">
        <w:rPr>
          <w:color w:val="000000" w:themeColor="text1"/>
          <w:sz w:val="22"/>
          <w:szCs w:val="22"/>
        </w:rPr>
        <w:t xml:space="preserve"> </w:t>
      </w:r>
      <w:r w:rsidR="000D5226">
        <w:rPr>
          <w:color w:val="000000" w:themeColor="text1"/>
          <w:sz w:val="22"/>
          <w:szCs w:val="22"/>
        </w:rPr>
        <w:t>G</w:t>
      </w:r>
      <w:r w:rsidRPr="00D464FD">
        <w:rPr>
          <w:color w:val="000000" w:themeColor="text1"/>
          <w:sz w:val="22"/>
          <w:szCs w:val="22"/>
        </w:rPr>
        <w:t>ram</w:t>
      </w:r>
      <w:r w:rsidR="00D81F0F">
        <w:rPr>
          <w:color w:val="000000" w:themeColor="text1"/>
          <w:sz w:val="22"/>
          <w:szCs w:val="22"/>
        </w:rPr>
        <w:t>-</w:t>
      </w:r>
      <w:r w:rsidRPr="00D464FD">
        <w:rPr>
          <w:color w:val="000000" w:themeColor="text1"/>
          <w:sz w:val="22"/>
          <w:szCs w:val="22"/>
        </w:rPr>
        <w:t>negative bacteria (n=7</w:t>
      </w:r>
      <w:r>
        <w:rPr>
          <w:color w:val="000000" w:themeColor="text1"/>
          <w:sz w:val="22"/>
          <w:szCs w:val="22"/>
        </w:rPr>
        <w:t>1</w:t>
      </w:r>
      <w:r w:rsidRPr="00D464FD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,</w:t>
      </w:r>
      <w:r w:rsidRPr="00D464FD">
        <w:rPr>
          <w:color w:val="000000" w:themeColor="text1"/>
          <w:sz w:val="22"/>
          <w:szCs w:val="22"/>
        </w:rPr>
        <w:t xml:space="preserve"> mixed infection (</w:t>
      </w:r>
      <w:r>
        <w:rPr>
          <w:color w:val="000000" w:themeColor="text1"/>
          <w:sz w:val="22"/>
          <w:szCs w:val="22"/>
        </w:rPr>
        <w:t xml:space="preserve">viral and/or Gram positive and/or </w:t>
      </w:r>
      <w:r w:rsidR="00D81F0F">
        <w:rPr>
          <w:color w:val="000000" w:themeColor="text1"/>
          <w:sz w:val="22"/>
          <w:szCs w:val="22"/>
        </w:rPr>
        <w:t>Gram-negative</w:t>
      </w:r>
      <w:r>
        <w:rPr>
          <w:color w:val="000000" w:themeColor="text1"/>
          <w:sz w:val="22"/>
          <w:szCs w:val="22"/>
        </w:rPr>
        <w:t xml:space="preserve"> infections, </w:t>
      </w:r>
      <w:r w:rsidRPr="00D464FD">
        <w:rPr>
          <w:color w:val="000000" w:themeColor="text1"/>
          <w:sz w:val="22"/>
          <w:szCs w:val="22"/>
        </w:rPr>
        <w:t>n=9)</w:t>
      </w:r>
      <w:r>
        <w:rPr>
          <w:color w:val="000000" w:themeColor="text1"/>
          <w:sz w:val="22"/>
          <w:szCs w:val="22"/>
        </w:rPr>
        <w:t>,</w:t>
      </w:r>
      <w:r w:rsidRPr="00D464FD">
        <w:rPr>
          <w:color w:val="000000" w:themeColor="text1"/>
          <w:sz w:val="22"/>
          <w:szCs w:val="22"/>
        </w:rPr>
        <w:t xml:space="preserve"> </w:t>
      </w:r>
      <w:r w:rsidRPr="00033D56">
        <w:rPr>
          <w:color w:val="000000" w:themeColor="text1"/>
          <w:sz w:val="22"/>
          <w:szCs w:val="22"/>
          <w:lang w:val="en-US"/>
        </w:rPr>
        <w:t>unknown etiology,</w:t>
      </w:r>
      <w:r w:rsidRPr="00D464FD">
        <w:rPr>
          <w:color w:val="000000" w:themeColor="text1"/>
          <w:sz w:val="22"/>
          <w:szCs w:val="22"/>
        </w:rPr>
        <w:t xml:space="preserve"> but infection probable (n=</w:t>
      </w:r>
      <w:r>
        <w:rPr>
          <w:color w:val="000000" w:themeColor="text1"/>
          <w:sz w:val="22"/>
          <w:szCs w:val="22"/>
        </w:rPr>
        <w:t>95</w:t>
      </w:r>
      <w:r w:rsidRPr="00D464FD">
        <w:rPr>
          <w:color w:val="000000" w:themeColor="text1"/>
          <w:sz w:val="22"/>
          <w:szCs w:val="22"/>
        </w:rPr>
        <w:t>) and no infection (n=1</w:t>
      </w:r>
      <w:r>
        <w:rPr>
          <w:color w:val="000000" w:themeColor="text1"/>
          <w:sz w:val="22"/>
          <w:szCs w:val="22"/>
        </w:rPr>
        <w:t>54</w:t>
      </w:r>
      <w:r w:rsidRPr="00D464FD">
        <w:rPr>
          <w:color w:val="000000" w:themeColor="text1"/>
          <w:sz w:val="22"/>
          <w:szCs w:val="22"/>
        </w:rPr>
        <w:t xml:space="preserve">). Asterisks indicates significance </w:t>
      </w:r>
      <w:r w:rsidR="00E0482A">
        <w:rPr>
          <w:color w:val="000000" w:themeColor="text1"/>
          <w:sz w:val="22"/>
          <w:szCs w:val="22"/>
        </w:rPr>
        <w:t>by</w:t>
      </w:r>
      <w:r w:rsidR="00E0482A" w:rsidRPr="00D464FD">
        <w:rPr>
          <w:color w:val="000000" w:themeColor="text1"/>
          <w:sz w:val="22"/>
          <w:szCs w:val="22"/>
        </w:rPr>
        <w:t xml:space="preserve"> </w:t>
      </w:r>
      <w:r w:rsidR="00B3243C">
        <w:rPr>
          <w:color w:val="000000" w:themeColor="text1"/>
          <w:sz w:val="22"/>
          <w:szCs w:val="22"/>
        </w:rPr>
        <w:t>Kruskal-Wallis multiple comparisons test</w:t>
      </w:r>
      <w:r>
        <w:rPr>
          <w:color w:val="000000" w:themeColor="text1"/>
          <w:sz w:val="22"/>
          <w:szCs w:val="22"/>
        </w:rPr>
        <w:t>,</w:t>
      </w:r>
      <w:r w:rsidRPr="00D464FD">
        <w:rPr>
          <w:color w:val="000000" w:themeColor="text1"/>
          <w:sz w:val="22"/>
          <w:szCs w:val="22"/>
        </w:rPr>
        <w:t xml:space="preserve"> *** p &lt; 0.001</w:t>
      </w:r>
      <w:r>
        <w:rPr>
          <w:color w:val="000000" w:themeColor="text1"/>
          <w:sz w:val="22"/>
          <w:szCs w:val="22"/>
        </w:rPr>
        <w:t>,</w:t>
      </w:r>
      <w:r w:rsidRPr="00D464FD">
        <w:rPr>
          <w:color w:val="000000" w:themeColor="text1"/>
          <w:sz w:val="22"/>
          <w:szCs w:val="22"/>
        </w:rPr>
        <w:t xml:space="preserve"> ** p &lt;0.01.</w:t>
      </w:r>
      <w:r w:rsidR="00B329CC">
        <w:rPr>
          <w:color w:val="000000" w:themeColor="text1"/>
          <w:sz w:val="22"/>
          <w:szCs w:val="22"/>
        </w:rPr>
        <w:t xml:space="preserve"> Grey dashed line indicates optimal cut-off value in our cohort (Youden’s index).</w:t>
      </w:r>
      <w:r w:rsidR="00B3243C">
        <w:rPr>
          <w:color w:val="000000" w:themeColor="text1"/>
          <w:sz w:val="22"/>
          <w:szCs w:val="22"/>
        </w:rPr>
        <w:t xml:space="preserve"> No statistics was performed on the group Infection “Not likely”. </w:t>
      </w:r>
      <w:r>
        <w:rPr>
          <w:rFonts w:eastAsia="Calibri"/>
        </w:rPr>
        <w:br w:type="page"/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1"/>
        <w:gridCol w:w="1234"/>
        <w:gridCol w:w="1772"/>
      </w:tblGrid>
      <w:tr w:rsidR="00861B0E" w:rsidRPr="00031ECE" w14:paraId="3AFDDCA8" w14:textId="77777777" w:rsidTr="001977F7">
        <w:trPr>
          <w:trHeight w:val="283"/>
        </w:trPr>
        <w:tc>
          <w:tcPr>
            <w:tcW w:w="6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BAC6B" w14:textId="77777777" w:rsidR="00861B0E" w:rsidRPr="00031ECE" w:rsidRDefault="00861B0E" w:rsidP="001977F7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  <w:lang w:eastAsia="nb-NO"/>
              </w:rPr>
            </w:pPr>
            <w:r w:rsidRPr="00031ECE">
              <w:rPr>
                <w:rFonts w:eastAsia="Times New Roman"/>
                <w:b/>
                <w:bCs/>
                <w:color w:val="000000" w:themeColor="text1"/>
                <w:lang w:eastAsia="nb-NO"/>
              </w:rPr>
              <w:lastRenderedPageBreak/>
              <w:t>Causative agent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2714C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nb-NO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nb-NO"/>
              </w:rPr>
              <w:t>Number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11DB8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nb-NO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nb-NO"/>
              </w:rPr>
              <w:t>Percent</w:t>
            </w:r>
          </w:p>
        </w:tc>
      </w:tr>
      <w:tr w:rsidR="00861B0E" w:rsidRPr="00031ECE" w14:paraId="470A4E79" w14:textId="77777777" w:rsidTr="001977F7">
        <w:trPr>
          <w:trHeight w:val="283"/>
        </w:trPr>
        <w:tc>
          <w:tcPr>
            <w:tcW w:w="6011" w:type="dxa"/>
            <w:tcBorders>
              <w:top w:val="single" w:sz="4" w:space="0" w:color="auto"/>
            </w:tcBorders>
            <w:shd w:val="clear" w:color="auto" w:fill="auto"/>
          </w:tcPr>
          <w:p w14:paraId="3806F771" w14:textId="77777777" w:rsidR="00861B0E" w:rsidRPr="005C6868" w:rsidRDefault="00861B0E" w:rsidP="001977F7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lang w:eastAsia="nb-NO"/>
              </w:rPr>
            </w:pPr>
            <w:r w:rsidRPr="005C6868">
              <w:rPr>
                <w:i/>
                <w:iCs/>
              </w:rPr>
              <w:t>Escherichia coli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4F7ECB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42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C01C4B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30</w:t>
            </w:r>
          </w:p>
        </w:tc>
      </w:tr>
      <w:tr w:rsidR="00861B0E" w:rsidRPr="00031ECE" w14:paraId="2DF5AD9E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71716101" w14:textId="62DDB828" w:rsidR="00861B0E" w:rsidRPr="00ED3699" w:rsidRDefault="00861B0E" w:rsidP="001977F7">
            <w:pPr>
              <w:spacing w:line="240" w:lineRule="auto"/>
            </w:pPr>
            <w:r w:rsidRPr="00ED3699">
              <w:rPr>
                <w:i/>
                <w:iCs/>
              </w:rPr>
              <w:t>Streptococc</w:t>
            </w:r>
            <w:r w:rsidR="00ED3699" w:rsidRPr="00ED3699">
              <w:rPr>
                <w:i/>
                <w:iCs/>
              </w:rPr>
              <w:t>us</w:t>
            </w:r>
            <w:r w:rsidRPr="00273590">
              <w:t xml:space="preserve"> </w:t>
            </w:r>
            <w:r w:rsidR="00ED3699">
              <w:t>species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25A35688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21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063B59EE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15</w:t>
            </w:r>
          </w:p>
        </w:tc>
      </w:tr>
      <w:tr w:rsidR="00861B0E" w:rsidRPr="00031ECE" w14:paraId="004E3984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45125C0B" w14:textId="77777777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 w:rsidRPr="00ED3699">
              <w:rPr>
                <w:i/>
                <w:iCs/>
              </w:rPr>
              <w:t>Klebsiella</w:t>
            </w:r>
            <w:r w:rsidRPr="00273590">
              <w:t xml:space="preserve"> species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6C61DD12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10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016AFBE5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7</w:t>
            </w:r>
          </w:p>
        </w:tc>
      </w:tr>
      <w:tr w:rsidR="00861B0E" w:rsidRPr="00031ECE" w14:paraId="4B0C9A06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54012EB5" w14:textId="77777777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SARS-CoV-2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4C69AC1B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10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0CFC6DCA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7</w:t>
            </w:r>
          </w:p>
        </w:tc>
      </w:tr>
      <w:tr w:rsidR="00861B0E" w:rsidRPr="00031ECE" w14:paraId="10429A88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3D7DC87F" w14:textId="77777777" w:rsidR="00861B0E" w:rsidRPr="005C6868" w:rsidRDefault="00861B0E" w:rsidP="001977F7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lang w:eastAsia="nb-NO"/>
              </w:rPr>
            </w:pPr>
            <w:r w:rsidRPr="005C6868">
              <w:rPr>
                <w:i/>
                <w:iCs/>
              </w:rPr>
              <w:t>Staphylococcus aureus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1D8194B1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10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0F321B00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7</w:t>
            </w:r>
          </w:p>
        </w:tc>
      </w:tr>
      <w:tr w:rsidR="00861B0E" w:rsidRPr="00031ECE" w14:paraId="750DF7BE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662F0A7A" w14:textId="77777777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>
              <w:rPr>
                <w:lang w:val="nb-NO"/>
              </w:rPr>
              <w:t xml:space="preserve">Polymicrobial </w:t>
            </w:r>
            <w:proofErr w:type="spellStart"/>
            <w:r>
              <w:rPr>
                <w:lang w:val="nb-NO"/>
              </w:rPr>
              <w:t>bacterial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infection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14:paraId="35B1D791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9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02A7A913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6</w:t>
            </w:r>
          </w:p>
        </w:tc>
      </w:tr>
      <w:tr w:rsidR="00861B0E" w:rsidRPr="00031ECE" w14:paraId="334CE4B0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33E63CEC" w14:textId="77777777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 xml:space="preserve">Other </w:t>
            </w:r>
            <w:proofErr w:type="spellStart"/>
            <w:r w:rsidRPr="00273590">
              <w:t>Enterobacteriales</w:t>
            </w:r>
            <w:proofErr w:type="spellEnd"/>
          </w:p>
        </w:tc>
        <w:tc>
          <w:tcPr>
            <w:tcW w:w="1234" w:type="dxa"/>
            <w:shd w:val="clear" w:color="auto" w:fill="auto"/>
            <w:noWrap/>
            <w:hideMark/>
          </w:tcPr>
          <w:p w14:paraId="22BBEEBF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8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1EC2D407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6</w:t>
            </w:r>
          </w:p>
        </w:tc>
      </w:tr>
      <w:tr w:rsidR="00861B0E" w:rsidRPr="00031ECE" w14:paraId="29ED26AA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27EE0D1B" w14:textId="77777777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proofErr w:type="gramStart"/>
            <w:r w:rsidRPr="00273590">
              <w:t>Other</w:t>
            </w:r>
            <w:proofErr w:type="gramEnd"/>
            <w:r w:rsidRPr="00273590">
              <w:t xml:space="preserve"> virus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2797E20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5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39E8901B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4</w:t>
            </w:r>
          </w:p>
        </w:tc>
      </w:tr>
      <w:tr w:rsidR="00861B0E" w:rsidRPr="00031ECE" w14:paraId="35AAA36C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09F10CD8" w14:textId="6D4927BC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 w:rsidRPr="00ED3699">
              <w:rPr>
                <w:i/>
                <w:iCs/>
              </w:rPr>
              <w:t>Clostridium</w:t>
            </w:r>
            <w:r w:rsidRPr="00273590">
              <w:t xml:space="preserve"> </w:t>
            </w:r>
            <w:r w:rsidR="00ED3699">
              <w:t>species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F868013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4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65EC4F49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3</w:t>
            </w:r>
          </w:p>
        </w:tc>
      </w:tr>
      <w:tr w:rsidR="00861B0E" w:rsidRPr="00031ECE" w14:paraId="29A2EA34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6E4C4265" w14:textId="77777777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 w:rsidRPr="00900C2C">
              <w:rPr>
                <w:lang w:val="en-US"/>
              </w:rPr>
              <w:t>Combined viral and bacterial infection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E9C0690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4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42B4B57A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3</w:t>
            </w:r>
          </w:p>
        </w:tc>
      </w:tr>
      <w:tr w:rsidR="00861B0E" w:rsidRPr="00031ECE" w14:paraId="686456DB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69FFA168" w14:textId="77777777" w:rsidR="00861B0E" w:rsidRPr="005C6868" w:rsidRDefault="00861B0E" w:rsidP="001977F7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lang w:eastAsia="nb-NO"/>
              </w:rPr>
            </w:pPr>
            <w:r w:rsidRPr="005C6868">
              <w:rPr>
                <w:i/>
                <w:iCs/>
              </w:rPr>
              <w:t>Haemophilus influenza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0EE00ECA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3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44A42676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2</w:t>
            </w:r>
          </w:p>
        </w:tc>
      </w:tr>
      <w:tr w:rsidR="00861B0E" w:rsidRPr="00031ECE" w14:paraId="6F867A26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6C64EF2A" w14:textId="77777777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Influen</w:t>
            </w:r>
            <w:r>
              <w:t>z</w:t>
            </w:r>
            <w:r w:rsidRPr="00273590">
              <w:t>a A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73815C4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2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3DA7F59E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1</w:t>
            </w:r>
          </w:p>
        </w:tc>
      </w:tr>
      <w:tr w:rsidR="00861B0E" w:rsidRPr="00031ECE" w14:paraId="2A88BDE9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1508F626" w14:textId="77777777" w:rsidR="00861B0E" w:rsidRPr="005C6868" w:rsidRDefault="00861B0E" w:rsidP="001977F7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lang w:eastAsia="nb-NO"/>
              </w:rPr>
            </w:pPr>
            <w:r w:rsidRPr="005C6868">
              <w:rPr>
                <w:i/>
                <w:iCs/>
              </w:rPr>
              <w:t>Streptococcus pneumoniae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13D7CA7A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2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587F6669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1</w:t>
            </w:r>
          </w:p>
        </w:tc>
      </w:tr>
      <w:tr w:rsidR="00861B0E" w:rsidRPr="00031ECE" w14:paraId="66BFA941" w14:textId="77777777" w:rsidTr="001977F7">
        <w:trPr>
          <w:trHeight w:val="283"/>
        </w:trPr>
        <w:tc>
          <w:tcPr>
            <w:tcW w:w="6011" w:type="dxa"/>
            <w:shd w:val="clear" w:color="auto" w:fill="auto"/>
            <w:hideMark/>
          </w:tcPr>
          <w:p w14:paraId="5AEA5F78" w14:textId="51A7F098" w:rsidR="00861B0E" w:rsidRPr="00031ECE" w:rsidRDefault="00861B0E" w:rsidP="001977F7">
            <w:pPr>
              <w:spacing w:line="240" w:lineRule="auto"/>
              <w:rPr>
                <w:rFonts w:eastAsia="Times New Roman"/>
                <w:color w:val="000000" w:themeColor="text1"/>
                <w:lang w:eastAsia="nb-NO"/>
              </w:rPr>
            </w:pPr>
            <w:r w:rsidRPr="00ED3699">
              <w:rPr>
                <w:i/>
                <w:iCs/>
              </w:rPr>
              <w:t>Pseudomonas</w:t>
            </w:r>
            <w:r w:rsidRPr="00273590">
              <w:t xml:space="preserve"> sp</w:t>
            </w:r>
            <w:r w:rsidR="00ED3699">
              <w:t>ecies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6C5D77E6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2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14:paraId="58CDB5AE" w14:textId="77777777" w:rsidR="00861B0E" w:rsidRPr="00031ECE" w:rsidRDefault="00861B0E" w:rsidP="001977F7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nb-NO"/>
              </w:rPr>
            </w:pPr>
            <w:r w:rsidRPr="00273590">
              <w:t>1</w:t>
            </w:r>
          </w:p>
        </w:tc>
      </w:tr>
      <w:tr w:rsidR="00861B0E" w:rsidRPr="00031ECE" w14:paraId="79C2CAB1" w14:textId="77777777" w:rsidTr="001977F7">
        <w:trPr>
          <w:trHeight w:val="283"/>
        </w:trPr>
        <w:tc>
          <w:tcPr>
            <w:tcW w:w="6011" w:type="dxa"/>
            <w:shd w:val="clear" w:color="auto" w:fill="auto"/>
          </w:tcPr>
          <w:p w14:paraId="61CD02AB" w14:textId="77777777" w:rsidR="00861B0E" w:rsidRPr="00273590" w:rsidRDefault="00861B0E" w:rsidP="001977F7">
            <w:pPr>
              <w:spacing w:line="240" w:lineRule="auto"/>
            </w:pPr>
            <w:r w:rsidRPr="00273590">
              <w:t>Other bacteria</w:t>
            </w:r>
          </w:p>
        </w:tc>
        <w:tc>
          <w:tcPr>
            <w:tcW w:w="1234" w:type="dxa"/>
            <w:shd w:val="clear" w:color="auto" w:fill="auto"/>
            <w:noWrap/>
          </w:tcPr>
          <w:p w14:paraId="10EC5515" w14:textId="77777777" w:rsidR="00861B0E" w:rsidRPr="00273590" w:rsidRDefault="00861B0E" w:rsidP="001977F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772" w:type="dxa"/>
            <w:shd w:val="clear" w:color="auto" w:fill="auto"/>
            <w:noWrap/>
          </w:tcPr>
          <w:p w14:paraId="5588BCE0" w14:textId="77777777" w:rsidR="00861B0E" w:rsidRPr="00273590" w:rsidRDefault="00861B0E" w:rsidP="001977F7">
            <w:pPr>
              <w:spacing w:line="240" w:lineRule="auto"/>
              <w:jc w:val="center"/>
            </w:pPr>
            <w:r>
              <w:t>7</w:t>
            </w:r>
          </w:p>
        </w:tc>
      </w:tr>
    </w:tbl>
    <w:p w14:paraId="5F39958F" w14:textId="6FD6C604" w:rsidR="00885B40" w:rsidRDefault="00861B0E" w:rsidP="00AA1668">
      <w:pPr>
        <w:pStyle w:val="Overskrift3"/>
      </w:pPr>
      <w:bookmarkStart w:id="10" w:name="_Toc109046469"/>
      <w:r w:rsidRPr="00B27BBF">
        <w:t xml:space="preserve">Supplementary table </w:t>
      </w:r>
      <w:r w:rsidR="00E70048">
        <w:t>8.</w:t>
      </w:r>
      <w:r>
        <w:t xml:space="preserve"> List of all identified causative agents.</w:t>
      </w:r>
      <w:bookmarkEnd w:id="10"/>
      <w:r>
        <w:t xml:space="preserve"> </w:t>
      </w:r>
      <w:r>
        <w:br w:type="page"/>
      </w:r>
    </w:p>
    <w:p w14:paraId="7DCAB37B" w14:textId="77777777" w:rsidR="00A94004" w:rsidRDefault="00A94004" w:rsidP="00A94004">
      <w:pPr>
        <w:spacing w:line="240" w:lineRule="auto"/>
        <w:jc w:val="center"/>
        <w:rPr>
          <w:rFonts w:eastAsia="Calibri"/>
        </w:rPr>
      </w:pPr>
      <w:r>
        <w:rPr>
          <w:rFonts w:eastAsia="Calibri"/>
          <w:noProof/>
          <w:lang w:val="nb-NO" w:eastAsia="nb-NO"/>
        </w:rPr>
        <w:lastRenderedPageBreak/>
        <w:drawing>
          <wp:inline distT="0" distB="0" distL="0" distR="0" wp14:anchorId="157AEB64" wp14:editId="27A50C09">
            <wp:extent cx="4419600" cy="662940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e 2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5847" r="14625" b="12783"/>
                    <a:stretch/>
                  </pic:blipFill>
                  <pic:spPr bwMode="auto">
                    <a:xfrm>
                      <a:off x="0" y="0"/>
                      <a:ext cx="4419600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E576A" w14:textId="4396BF89" w:rsidR="00AA1668" w:rsidRDefault="00A94004" w:rsidP="00AA1668">
      <w:pPr>
        <w:pStyle w:val="Overskrift3"/>
      </w:pPr>
      <w:bookmarkStart w:id="11" w:name="_Toc109046470"/>
      <w:r w:rsidRPr="00F02073">
        <w:t xml:space="preserve">Supplementary figure </w:t>
      </w:r>
      <w:r w:rsidR="00F91F46">
        <w:t>3</w:t>
      </w:r>
      <w:r w:rsidR="00D81F0F">
        <w:t>.</w:t>
      </w:r>
      <w:r>
        <w:t xml:space="preserve"> Sampling of follow-up cohort.</w:t>
      </w:r>
      <w:bookmarkEnd w:id="11"/>
      <w:r>
        <w:t xml:space="preserve"> </w:t>
      </w:r>
    </w:p>
    <w:p w14:paraId="666C5CEA" w14:textId="0E63089E" w:rsidR="00011E90" w:rsidRPr="00A94004" w:rsidRDefault="00A94004">
      <w:pPr>
        <w:spacing w:line="240" w:lineRule="auto"/>
        <w:rPr>
          <w:rFonts w:eastAsia="Calibri"/>
        </w:rPr>
      </w:pPr>
      <w:r>
        <w:rPr>
          <w:rFonts w:eastAsia="Calibri"/>
        </w:rPr>
        <w:t>Each dot indicates sampling and no missing biomarker values. Grey means excluded patients.</w:t>
      </w:r>
      <w:r>
        <w:rPr>
          <w:rFonts w:eastAsia="Calibri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2380"/>
        <w:gridCol w:w="1275"/>
      </w:tblGrid>
      <w:tr w:rsidR="00011E90" w:rsidRPr="00011E90" w14:paraId="213E836D" w14:textId="77777777" w:rsidTr="005B161C">
        <w:tc>
          <w:tcPr>
            <w:tcW w:w="2547" w:type="dxa"/>
            <w:tcBorders>
              <w:bottom w:val="single" w:sz="4" w:space="0" w:color="auto"/>
            </w:tcBorders>
          </w:tcPr>
          <w:p w14:paraId="43A7B020" w14:textId="77777777" w:rsidR="00011E90" w:rsidRPr="00011E90" w:rsidRDefault="00011E90" w:rsidP="00011E90">
            <w:pPr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1CA2F4" w14:textId="77777777" w:rsidR="00011E90" w:rsidRPr="005B161C" w:rsidRDefault="00011E90" w:rsidP="00011E90">
            <w:pPr>
              <w:spacing w:line="240" w:lineRule="auto"/>
              <w:jc w:val="center"/>
              <w:rPr>
                <w:b/>
                <w:bCs/>
              </w:rPr>
            </w:pPr>
            <w:r w:rsidRPr="005B161C">
              <w:rPr>
                <w:b/>
                <w:bCs/>
                <w:lang w:val="en-US"/>
              </w:rPr>
              <w:t>All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4CA430A0" w14:textId="77777777" w:rsidR="00011E90" w:rsidRPr="005B161C" w:rsidRDefault="00011E90" w:rsidP="00011E90">
            <w:pPr>
              <w:spacing w:line="240" w:lineRule="auto"/>
              <w:jc w:val="center"/>
              <w:rPr>
                <w:b/>
                <w:bCs/>
              </w:rPr>
            </w:pPr>
            <w:r w:rsidRPr="005B161C">
              <w:rPr>
                <w:b/>
                <w:bCs/>
                <w:lang w:val="en-US"/>
              </w:rPr>
              <w:t>Infection "Not likely"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EA36A0" w14:textId="77777777" w:rsidR="00011E90" w:rsidRPr="005B161C" w:rsidRDefault="00011E90" w:rsidP="00011E90">
            <w:pPr>
              <w:spacing w:line="240" w:lineRule="auto"/>
              <w:jc w:val="center"/>
              <w:rPr>
                <w:b/>
                <w:bCs/>
              </w:rPr>
            </w:pPr>
            <w:r w:rsidRPr="005B161C">
              <w:rPr>
                <w:b/>
                <w:bCs/>
                <w:lang w:val="en-US"/>
              </w:rPr>
              <w:t>Infection</w:t>
            </w:r>
          </w:p>
        </w:tc>
      </w:tr>
      <w:tr w:rsidR="00011E90" w:rsidRPr="00011E90" w14:paraId="6E5E93A7" w14:textId="77777777" w:rsidTr="005B161C">
        <w:tc>
          <w:tcPr>
            <w:tcW w:w="2547" w:type="dxa"/>
            <w:tcBorders>
              <w:top w:val="single" w:sz="4" w:space="0" w:color="auto"/>
            </w:tcBorders>
          </w:tcPr>
          <w:p w14:paraId="7644A444" w14:textId="77777777" w:rsidR="00011E90" w:rsidRPr="00011E90" w:rsidRDefault="00011E90" w:rsidP="00011E90">
            <w:pPr>
              <w:spacing w:line="240" w:lineRule="auto"/>
            </w:pPr>
            <w:r w:rsidRPr="00011E90">
              <w:rPr>
                <w:lang w:val="en-US"/>
              </w:rPr>
              <w:t>No (%)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5EC355" w14:textId="42A6FEE2" w:rsidR="00011E90" w:rsidRPr="00573F10" w:rsidRDefault="005B161C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</w:rPr>
              <w:t>4</w:t>
            </w:r>
            <w:r w:rsidR="00573F10" w:rsidRPr="00573F10">
              <w:rPr>
                <w:color w:val="000000" w:themeColor="text1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48786CD2" w14:textId="0B2B2E01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1</w:t>
            </w:r>
            <w:r w:rsidR="00573F10" w:rsidRPr="00573F10">
              <w:rPr>
                <w:color w:val="000000" w:themeColor="text1"/>
                <w:lang w:val="en-US"/>
              </w:rPr>
              <w:t>5</w:t>
            </w:r>
            <w:r w:rsidRPr="00573F10">
              <w:rPr>
                <w:color w:val="000000" w:themeColor="text1"/>
                <w:lang w:val="en-US"/>
              </w:rPr>
              <w:t xml:space="preserve"> (3</w:t>
            </w:r>
            <w:r w:rsidR="00573F10" w:rsidRPr="00573F10">
              <w:rPr>
                <w:color w:val="000000" w:themeColor="text1"/>
                <w:lang w:val="en-US"/>
              </w:rPr>
              <w:t>3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F37F11" w14:textId="1290905E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3</w:t>
            </w:r>
            <w:r w:rsidR="00573F10" w:rsidRPr="00573F10">
              <w:rPr>
                <w:color w:val="000000" w:themeColor="text1"/>
                <w:lang w:val="en-US"/>
              </w:rPr>
              <w:t>0</w:t>
            </w:r>
            <w:r w:rsidRPr="00573F10">
              <w:rPr>
                <w:color w:val="000000" w:themeColor="text1"/>
                <w:lang w:val="en-US"/>
              </w:rPr>
              <w:t xml:space="preserve"> (</w:t>
            </w:r>
            <w:r w:rsidR="00573F10" w:rsidRPr="00573F10">
              <w:rPr>
                <w:color w:val="000000" w:themeColor="text1"/>
                <w:lang w:val="en-US"/>
              </w:rPr>
              <w:t>67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</w:tr>
      <w:tr w:rsidR="00011E90" w:rsidRPr="00011E90" w14:paraId="44F0DA6C" w14:textId="77777777" w:rsidTr="005B161C">
        <w:tc>
          <w:tcPr>
            <w:tcW w:w="2547" w:type="dxa"/>
          </w:tcPr>
          <w:p w14:paraId="3D535DC3" w14:textId="77777777" w:rsidR="00011E90" w:rsidRPr="00011E90" w:rsidRDefault="00011E90" w:rsidP="00011E90">
            <w:pPr>
              <w:spacing w:line="240" w:lineRule="auto"/>
            </w:pPr>
            <w:r w:rsidRPr="00011E90">
              <w:rPr>
                <w:lang w:val="en-US"/>
              </w:rPr>
              <w:t>Male (%)</w:t>
            </w:r>
          </w:p>
        </w:tc>
        <w:tc>
          <w:tcPr>
            <w:tcW w:w="1276" w:type="dxa"/>
          </w:tcPr>
          <w:p w14:paraId="4240D17D" w14:textId="20B13702" w:rsidR="00011E90" w:rsidRPr="00573F10" w:rsidRDefault="00573F1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31</w:t>
            </w:r>
            <w:r w:rsidR="00011E90" w:rsidRPr="00573F10">
              <w:rPr>
                <w:color w:val="000000" w:themeColor="text1"/>
                <w:lang w:val="en-US"/>
              </w:rPr>
              <w:t xml:space="preserve"> (</w:t>
            </w:r>
            <w:r w:rsidRPr="00573F10">
              <w:rPr>
                <w:color w:val="000000" w:themeColor="text1"/>
                <w:lang w:val="en-US"/>
              </w:rPr>
              <w:t>69</w:t>
            </w:r>
            <w:r w:rsidR="00011E90"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80" w:type="dxa"/>
          </w:tcPr>
          <w:p w14:paraId="4BB18579" w14:textId="4EFF1BDF" w:rsidR="00011E90" w:rsidRPr="00573F10" w:rsidRDefault="00573F1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10</w:t>
            </w:r>
            <w:r w:rsidR="00011E90" w:rsidRPr="00573F10">
              <w:rPr>
                <w:color w:val="000000" w:themeColor="text1"/>
                <w:lang w:val="en-US"/>
              </w:rPr>
              <w:t xml:space="preserve"> (6</w:t>
            </w:r>
            <w:r w:rsidRPr="00573F10">
              <w:rPr>
                <w:color w:val="000000" w:themeColor="text1"/>
                <w:lang w:val="en-US"/>
              </w:rPr>
              <w:t>7</w:t>
            </w:r>
            <w:r w:rsidR="00011E90"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5" w:type="dxa"/>
          </w:tcPr>
          <w:p w14:paraId="745A3D5C" w14:textId="2BDD1CEB" w:rsidR="00011E90" w:rsidRPr="00573F10" w:rsidRDefault="00573F1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21</w:t>
            </w:r>
            <w:r w:rsidR="00011E90" w:rsidRPr="00573F10">
              <w:rPr>
                <w:color w:val="000000" w:themeColor="text1"/>
                <w:lang w:val="en-US"/>
              </w:rPr>
              <w:t xml:space="preserve"> (7</w:t>
            </w:r>
            <w:r w:rsidRPr="00573F10">
              <w:rPr>
                <w:color w:val="000000" w:themeColor="text1"/>
                <w:lang w:val="en-US"/>
              </w:rPr>
              <w:t>0</w:t>
            </w:r>
            <w:r w:rsidR="00011E90" w:rsidRPr="00573F10">
              <w:rPr>
                <w:color w:val="000000" w:themeColor="text1"/>
                <w:lang w:val="en-US"/>
              </w:rPr>
              <w:t>)</w:t>
            </w:r>
          </w:p>
        </w:tc>
      </w:tr>
      <w:tr w:rsidR="00011E90" w:rsidRPr="00011E90" w14:paraId="5253A859" w14:textId="77777777" w:rsidTr="005B161C">
        <w:tc>
          <w:tcPr>
            <w:tcW w:w="2547" w:type="dxa"/>
          </w:tcPr>
          <w:p w14:paraId="66F83F91" w14:textId="77777777" w:rsidR="00011E90" w:rsidRPr="00011E90" w:rsidRDefault="00011E90" w:rsidP="00011E90">
            <w:pPr>
              <w:spacing w:line="240" w:lineRule="auto"/>
            </w:pPr>
            <w:r w:rsidRPr="00011E90">
              <w:rPr>
                <w:lang w:val="en-US"/>
              </w:rPr>
              <w:t>Age, median (IQR)</w:t>
            </w:r>
          </w:p>
        </w:tc>
        <w:tc>
          <w:tcPr>
            <w:tcW w:w="1276" w:type="dxa"/>
          </w:tcPr>
          <w:p w14:paraId="5CAB91D0" w14:textId="1E463C69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6</w:t>
            </w:r>
            <w:r w:rsidR="00573F10" w:rsidRPr="00573F10">
              <w:rPr>
                <w:color w:val="000000" w:themeColor="text1"/>
                <w:lang w:val="en-US"/>
              </w:rPr>
              <w:t>6</w:t>
            </w:r>
            <w:r w:rsidRPr="00573F10">
              <w:rPr>
                <w:color w:val="000000" w:themeColor="text1"/>
                <w:lang w:val="en-US"/>
              </w:rPr>
              <w:t xml:space="preserve"> (2</w:t>
            </w:r>
            <w:r w:rsidR="00573F10" w:rsidRPr="00573F10">
              <w:rPr>
                <w:color w:val="000000" w:themeColor="text1"/>
                <w:lang w:val="en-US"/>
              </w:rPr>
              <w:t>5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80" w:type="dxa"/>
          </w:tcPr>
          <w:p w14:paraId="3D05C73B" w14:textId="4B806BF4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6</w:t>
            </w:r>
            <w:r w:rsidR="00573F10" w:rsidRPr="00573F10">
              <w:rPr>
                <w:color w:val="000000" w:themeColor="text1"/>
                <w:lang w:val="en-US"/>
              </w:rPr>
              <w:t>9</w:t>
            </w:r>
            <w:r w:rsidRPr="00573F10">
              <w:rPr>
                <w:color w:val="000000" w:themeColor="text1"/>
                <w:lang w:val="en-US"/>
              </w:rPr>
              <w:t xml:space="preserve"> (</w:t>
            </w:r>
            <w:r w:rsidR="00573F10" w:rsidRPr="00573F10">
              <w:rPr>
                <w:color w:val="000000" w:themeColor="text1"/>
                <w:lang w:val="en-US"/>
              </w:rPr>
              <w:t>18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5" w:type="dxa"/>
          </w:tcPr>
          <w:p w14:paraId="21B90724" w14:textId="4A6188D6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6</w:t>
            </w:r>
            <w:r w:rsidR="00573F10" w:rsidRPr="00573F10">
              <w:rPr>
                <w:color w:val="000000" w:themeColor="text1"/>
                <w:lang w:val="en-US"/>
              </w:rPr>
              <w:t>6</w:t>
            </w:r>
            <w:r w:rsidRPr="00573F10">
              <w:rPr>
                <w:color w:val="000000" w:themeColor="text1"/>
                <w:lang w:val="en-US"/>
              </w:rPr>
              <w:t xml:space="preserve"> (</w:t>
            </w:r>
            <w:r w:rsidR="00573F10" w:rsidRPr="00573F10">
              <w:rPr>
                <w:color w:val="000000" w:themeColor="text1"/>
                <w:lang w:val="en-US"/>
              </w:rPr>
              <w:t>24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</w:tr>
      <w:tr w:rsidR="00011E90" w:rsidRPr="00011E90" w14:paraId="4141CB5E" w14:textId="77777777" w:rsidTr="005B161C">
        <w:tc>
          <w:tcPr>
            <w:tcW w:w="2547" w:type="dxa"/>
          </w:tcPr>
          <w:p w14:paraId="6E6E47FA" w14:textId="77777777" w:rsidR="00011E90" w:rsidRPr="00011E90" w:rsidRDefault="00011E90" w:rsidP="00011E90">
            <w:pPr>
              <w:spacing w:line="240" w:lineRule="auto"/>
            </w:pPr>
            <w:r w:rsidRPr="00011E90">
              <w:rPr>
                <w:lang w:val="en-US"/>
              </w:rPr>
              <w:t>Antibiotics in ED, n (%)</w:t>
            </w:r>
          </w:p>
        </w:tc>
        <w:tc>
          <w:tcPr>
            <w:tcW w:w="1276" w:type="dxa"/>
          </w:tcPr>
          <w:p w14:paraId="17CC465F" w14:textId="1449878F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39 (8</w:t>
            </w:r>
            <w:r w:rsidR="00573F10" w:rsidRPr="00573F10">
              <w:rPr>
                <w:color w:val="000000" w:themeColor="text1"/>
                <w:lang w:val="en-US"/>
              </w:rPr>
              <w:t>7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80" w:type="dxa"/>
          </w:tcPr>
          <w:p w14:paraId="12B46A6E" w14:textId="5CAB3438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1</w:t>
            </w:r>
            <w:r w:rsidR="00573F10" w:rsidRPr="00573F10">
              <w:rPr>
                <w:color w:val="000000" w:themeColor="text1"/>
                <w:lang w:val="en-US"/>
              </w:rPr>
              <w:t>1</w:t>
            </w:r>
            <w:r w:rsidRPr="00573F10">
              <w:rPr>
                <w:color w:val="000000" w:themeColor="text1"/>
                <w:lang w:val="en-US"/>
              </w:rPr>
              <w:t xml:space="preserve"> (7</w:t>
            </w:r>
            <w:r w:rsidR="00573F10" w:rsidRPr="00573F10">
              <w:rPr>
                <w:color w:val="000000" w:themeColor="text1"/>
                <w:lang w:val="en-US"/>
              </w:rPr>
              <w:t>3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5" w:type="dxa"/>
          </w:tcPr>
          <w:p w14:paraId="2E63AF1E" w14:textId="2EFF21CF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</w:t>
            </w:r>
            <w:r w:rsidR="00573F10" w:rsidRPr="00573F10">
              <w:rPr>
                <w:color w:val="000000" w:themeColor="text1"/>
                <w:lang w:val="en-US"/>
              </w:rPr>
              <w:t>8</w:t>
            </w:r>
            <w:r w:rsidRPr="00573F10">
              <w:rPr>
                <w:color w:val="000000" w:themeColor="text1"/>
                <w:lang w:val="en-US"/>
              </w:rPr>
              <w:t xml:space="preserve"> (9</w:t>
            </w:r>
            <w:r w:rsidR="00573F10" w:rsidRPr="00573F10">
              <w:rPr>
                <w:color w:val="000000" w:themeColor="text1"/>
                <w:lang w:val="en-US"/>
              </w:rPr>
              <w:t>3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</w:tr>
      <w:tr w:rsidR="00011E90" w:rsidRPr="00011E90" w14:paraId="3B671765" w14:textId="77777777" w:rsidTr="005B161C">
        <w:tc>
          <w:tcPr>
            <w:tcW w:w="2547" w:type="dxa"/>
          </w:tcPr>
          <w:p w14:paraId="1423BB34" w14:textId="77777777" w:rsidR="00011E90" w:rsidRPr="00011E90" w:rsidRDefault="00011E90" w:rsidP="00011E90">
            <w:pPr>
              <w:spacing w:line="240" w:lineRule="auto"/>
              <w:rPr>
                <w:lang w:val="en-US"/>
              </w:rPr>
            </w:pPr>
            <w:r w:rsidRPr="00011E90">
              <w:rPr>
                <w:lang w:val="en-US"/>
              </w:rPr>
              <w:t>qSOFA in ED, mean (SD)</w:t>
            </w:r>
          </w:p>
        </w:tc>
        <w:tc>
          <w:tcPr>
            <w:tcW w:w="1276" w:type="dxa"/>
          </w:tcPr>
          <w:p w14:paraId="39D17C81" w14:textId="50EDDFFE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1.3 (0.8)</w:t>
            </w:r>
          </w:p>
        </w:tc>
        <w:tc>
          <w:tcPr>
            <w:tcW w:w="2380" w:type="dxa"/>
          </w:tcPr>
          <w:p w14:paraId="34A226B3" w14:textId="2175820F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1.2 (0.</w:t>
            </w:r>
            <w:r w:rsidR="00573F10" w:rsidRPr="00573F10">
              <w:rPr>
                <w:color w:val="000000" w:themeColor="text1"/>
                <w:lang w:val="en-US"/>
              </w:rPr>
              <w:t>9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5" w:type="dxa"/>
          </w:tcPr>
          <w:p w14:paraId="4BB35F98" w14:textId="06C68A50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1.4 (0.8)</w:t>
            </w:r>
          </w:p>
        </w:tc>
      </w:tr>
      <w:tr w:rsidR="00011E90" w:rsidRPr="00011E90" w14:paraId="20032FB5" w14:textId="77777777" w:rsidTr="005B161C">
        <w:tc>
          <w:tcPr>
            <w:tcW w:w="2547" w:type="dxa"/>
          </w:tcPr>
          <w:p w14:paraId="7CF95AF9" w14:textId="77777777" w:rsidR="00011E90" w:rsidRPr="00011E90" w:rsidRDefault="00011E90" w:rsidP="00011E90">
            <w:pPr>
              <w:spacing w:line="240" w:lineRule="auto"/>
              <w:rPr>
                <w:lang w:val="en-US"/>
              </w:rPr>
            </w:pPr>
            <w:r w:rsidRPr="00011E90">
              <w:rPr>
                <w:lang w:val="en-US"/>
              </w:rPr>
              <w:t>SIRS in ED, mean (SD)</w:t>
            </w:r>
          </w:p>
        </w:tc>
        <w:tc>
          <w:tcPr>
            <w:tcW w:w="1276" w:type="dxa"/>
          </w:tcPr>
          <w:p w14:paraId="05240822" w14:textId="48146184" w:rsidR="00011E90" w:rsidRPr="00573F10" w:rsidRDefault="002545E7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</w:t>
            </w:r>
            <w:r w:rsidR="00011E90" w:rsidRPr="00573F10">
              <w:rPr>
                <w:color w:val="000000" w:themeColor="text1"/>
                <w:lang w:val="en-US"/>
              </w:rPr>
              <w:t>.5 (</w:t>
            </w:r>
            <w:r w:rsidR="00573F10" w:rsidRPr="00573F10">
              <w:rPr>
                <w:color w:val="000000" w:themeColor="text1"/>
                <w:lang w:val="en-US"/>
              </w:rPr>
              <w:t>1.0</w:t>
            </w:r>
            <w:r w:rsidR="00011E90"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80" w:type="dxa"/>
          </w:tcPr>
          <w:p w14:paraId="5258B5A0" w14:textId="7744B235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2.4 (0.8)</w:t>
            </w:r>
          </w:p>
        </w:tc>
        <w:tc>
          <w:tcPr>
            <w:tcW w:w="1275" w:type="dxa"/>
          </w:tcPr>
          <w:p w14:paraId="303C9A96" w14:textId="63C8C480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2.</w:t>
            </w:r>
            <w:r w:rsidR="00573F10" w:rsidRPr="00573F10">
              <w:rPr>
                <w:color w:val="000000" w:themeColor="text1"/>
                <w:lang w:val="en-US"/>
              </w:rPr>
              <w:t>6</w:t>
            </w:r>
            <w:r w:rsidRPr="00573F10">
              <w:rPr>
                <w:color w:val="000000" w:themeColor="text1"/>
                <w:lang w:val="en-US"/>
              </w:rPr>
              <w:t xml:space="preserve"> (1.0)</w:t>
            </w:r>
          </w:p>
        </w:tc>
      </w:tr>
      <w:tr w:rsidR="00011E90" w:rsidRPr="00011E90" w14:paraId="62334FB1" w14:textId="77777777" w:rsidTr="005B161C">
        <w:tc>
          <w:tcPr>
            <w:tcW w:w="2547" w:type="dxa"/>
          </w:tcPr>
          <w:p w14:paraId="3549E39C" w14:textId="77777777" w:rsidR="00011E90" w:rsidRPr="00011E90" w:rsidRDefault="00011E90" w:rsidP="00011E90">
            <w:pPr>
              <w:spacing w:line="240" w:lineRule="auto"/>
              <w:rPr>
                <w:lang w:val="en-US"/>
              </w:rPr>
            </w:pPr>
            <w:r w:rsidRPr="00011E90">
              <w:rPr>
                <w:lang w:val="en-US"/>
              </w:rPr>
              <w:t>NEWS in ED, mean (SD)</w:t>
            </w:r>
          </w:p>
        </w:tc>
        <w:tc>
          <w:tcPr>
            <w:tcW w:w="1276" w:type="dxa"/>
          </w:tcPr>
          <w:p w14:paraId="6EAD9BA1" w14:textId="76B2E552" w:rsidR="00011E90" w:rsidRPr="00573F10" w:rsidRDefault="002545E7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8</w:t>
            </w:r>
            <w:r w:rsidR="00011E90" w:rsidRPr="00573F10">
              <w:rPr>
                <w:color w:val="000000" w:themeColor="text1"/>
                <w:lang w:val="en-US"/>
              </w:rPr>
              <w:t>.</w:t>
            </w:r>
            <w:r w:rsidR="00573F10" w:rsidRPr="00573F10">
              <w:rPr>
                <w:color w:val="000000" w:themeColor="text1"/>
                <w:lang w:val="en-US"/>
              </w:rPr>
              <w:t>5</w:t>
            </w:r>
            <w:r w:rsidR="00011E90" w:rsidRPr="00573F10">
              <w:rPr>
                <w:color w:val="000000" w:themeColor="text1"/>
                <w:lang w:val="en-US"/>
              </w:rPr>
              <w:t xml:space="preserve"> (3.</w:t>
            </w:r>
            <w:r w:rsidRPr="00573F10">
              <w:rPr>
                <w:color w:val="000000" w:themeColor="text1"/>
                <w:lang w:val="en-US"/>
              </w:rPr>
              <w:t>8</w:t>
            </w:r>
            <w:r w:rsidR="00011E90"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80" w:type="dxa"/>
          </w:tcPr>
          <w:p w14:paraId="15386607" w14:textId="580C9F36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8.</w:t>
            </w:r>
            <w:r w:rsidR="00573F10" w:rsidRPr="00573F10">
              <w:rPr>
                <w:color w:val="000000" w:themeColor="text1"/>
                <w:lang w:val="en-US"/>
              </w:rPr>
              <w:t>7</w:t>
            </w:r>
            <w:r w:rsidRPr="00573F10">
              <w:rPr>
                <w:color w:val="000000" w:themeColor="text1"/>
                <w:lang w:val="en-US"/>
              </w:rPr>
              <w:t xml:space="preserve"> (3.</w:t>
            </w:r>
            <w:r w:rsidR="00573F10" w:rsidRPr="00573F10">
              <w:rPr>
                <w:color w:val="000000" w:themeColor="text1"/>
                <w:lang w:val="en-US"/>
              </w:rPr>
              <w:t>7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5" w:type="dxa"/>
          </w:tcPr>
          <w:p w14:paraId="2FAEDBCF" w14:textId="5331A0FB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8.3 (</w:t>
            </w:r>
            <w:r w:rsidR="00573F10" w:rsidRPr="00573F10">
              <w:rPr>
                <w:color w:val="000000" w:themeColor="text1"/>
                <w:lang w:val="en-US"/>
              </w:rPr>
              <w:t>4</w:t>
            </w:r>
            <w:r w:rsidRPr="00573F10">
              <w:rPr>
                <w:color w:val="000000" w:themeColor="text1"/>
                <w:lang w:val="en-US"/>
              </w:rPr>
              <w:t>.</w:t>
            </w:r>
            <w:r w:rsidR="00573F10" w:rsidRPr="00573F10">
              <w:rPr>
                <w:color w:val="000000" w:themeColor="text1"/>
                <w:lang w:val="en-US"/>
              </w:rPr>
              <w:t>0)</w:t>
            </w:r>
          </w:p>
        </w:tc>
      </w:tr>
      <w:tr w:rsidR="00011E90" w:rsidRPr="00011E90" w14:paraId="56CC5327" w14:textId="77777777" w:rsidTr="005B161C">
        <w:tc>
          <w:tcPr>
            <w:tcW w:w="2547" w:type="dxa"/>
          </w:tcPr>
          <w:p w14:paraId="65851BAE" w14:textId="6DD6FBEF" w:rsidR="00011E90" w:rsidRPr="00011E90" w:rsidRDefault="00011E90" w:rsidP="00011E90">
            <w:pPr>
              <w:spacing w:line="240" w:lineRule="auto"/>
            </w:pPr>
            <w:r w:rsidRPr="00011E90">
              <w:rPr>
                <w:lang w:val="en-US"/>
              </w:rPr>
              <w:t>ICU</w:t>
            </w:r>
            <w:r w:rsidR="0026250E">
              <w:rPr>
                <w:lang w:val="en-US"/>
              </w:rPr>
              <w:t xml:space="preserve"> admission</w:t>
            </w:r>
            <w:r w:rsidRPr="00011E90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3E83CF02" w14:textId="5BFD3F17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3</w:t>
            </w:r>
            <w:r w:rsidR="00573F10" w:rsidRPr="00573F10">
              <w:rPr>
                <w:color w:val="000000" w:themeColor="text1"/>
                <w:lang w:val="en-US"/>
              </w:rPr>
              <w:t>5</w:t>
            </w:r>
            <w:r w:rsidRPr="00573F10">
              <w:rPr>
                <w:color w:val="000000" w:themeColor="text1"/>
                <w:lang w:val="en-US"/>
              </w:rPr>
              <w:t xml:space="preserve"> (78)</w:t>
            </w:r>
          </w:p>
        </w:tc>
        <w:tc>
          <w:tcPr>
            <w:tcW w:w="2380" w:type="dxa"/>
          </w:tcPr>
          <w:p w14:paraId="61A94FAC" w14:textId="0CC0D765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1</w:t>
            </w:r>
            <w:r w:rsidR="00573F10" w:rsidRPr="00573F10">
              <w:rPr>
                <w:color w:val="000000" w:themeColor="text1"/>
                <w:lang w:val="en-US"/>
              </w:rPr>
              <w:t>4</w:t>
            </w:r>
            <w:r w:rsidRPr="00573F10">
              <w:rPr>
                <w:color w:val="000000" w:themeColor="text1"/>
                <w:lang w:val="en-US"/>
              </w:rPr>
              <w:t xml:space="preserve"> (93)</w:t>
            </w:r>
          </w:p>
        </w:tc>
        <w:tc>
          <w:tcPr>
            <w:tcW w:w="1275" w:type="dxa"/>
          </w:tcPr>
          <w:p w14:paraId="3762726B" w14:textId="5D140552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</w:t>
            </w:r>
            <w:r w:rsidR="00573F10" w:rsidRPr="00573F10">
              <w:rPr>
                <w:color w:val="000000" w:themeColor="text1"/>
                <w:lang w:val="en-US"/>
              </w:rPr>
              <w:t>1</w:t>
            </w:r>
            <w:r w:rsidRPr="00573F10">
              <w:rPr>
                <w:color w:val="000000" w:themeColor="text1"/>
                <w:lang w:val="en-US"/>
              </w:rPr>
              <w:t xml:space="preserve"> (7</w:t>
            </w:r>
            <w:r w:rsidR="00573F10" w:rsidRPr="00573F10">
              <w:rPr>
                <w:color w:val="000000" w:themeColor="text1"/>
                <w:lang w:val="en-US"/>
              </w:rPr>
              <w:t>0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</w:tr>
      <w:tr w:rsidR="00011E90" w:rsidRPr="00011E90" w14:paraId="5B298558" w14:textId="77777777" w:rsidTr="005B161C">
        <w:tc>
          <w:tcPr>
            <w:tcW w:w="2547" w:type="dxa"/>
          </w:tcPr>
          <w:p w14:paraId="779EE8AA" w14:textId="77777777" w:rsidR="00011E90" w:rsidRPr="00011E90" w:rsidRDefault="00011E90" w:rsidP="00011E90">
            <w:pPr>
              <w:spacing w:line="240" w:lineRule="auto"/>
            </w:pPr>
            <w:r w:rsidRPr="00011E90">
              <w:rPr>
                <w:lang w:val="en-US"/>
              </w:rPr>
              <w:t>30 day mortality, n (%)</w:t>
            </w:r>
          </w:p>
        </w:tc>
        <w:tc>
          <w:tcPr>
            <w:tcW w:w="1276" w:type="dxa"/>
          </w:tcPr>
          <w:p w14:paraId="2650B85F" w14:textId="7149EC46" w:rsidR="00011E90" w:rsidRPr="00573F10" w:rsidRDefault="00573F1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3</w:t>
            </w:r>
            <w:r w:rsidR="00011E90" w:rsidRPr="00573F10">
              <w:rPr>
                <w:color w:val="000000" w:themeColor="text1"/>
                <w:lang w:val="en-US"/>
              </w:rPr>
              <w:t xml:space="preserve"> (</w:t>
            </w:r>
            <w:r w:rsidRPr="00573F10">
              <w:rPr>
                <w:color w:val="000000" w:themeColor="text1"/>
                <w:lang w:val="en-US"/>
              </w:rPr>
              <w:t>7</w:t>
            </w:r>
            <w:r w:rsidR="00011E90"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80" w:type="dxa"/>
          </w:tcPr>
          <w:p w14:paraId="01BDDCAC" w14:textId="641D0D81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0 (0)</w:t>
            </w:r>
          </w:p>
        </w:tc>
        <w:tc>
          <w:tcPr>
            <w:tcW w:w="1275" w:type="dxa"/>
          </w:tcPr>
          <w:p w14:paraId="6BC762E3" w14:textId="499BEB39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 (6)</w:t>
            </w:r>
          </w:p>
        </w:tc>
      </w:tr>
      <w:tr w:rsidR="00011E90" w:rsidRPr="00011E90" w14:paraId="72815D37" w14:textId="77777777" w:rsidTr="00075371">
        <w:tc>
          <w:tcPr>
            <w:tcW w:w="2547" w:type="dxa"/>
          </w:tcPr>
          <w:p w14:paraId="62ED5A82" w14:textId="77777777" w:rsidR="00011E90" w:rsidRPr="00011E90" w:rsidRDefault="00011E90" w:rsidP="00011E90">
            <w:pPr>
              <w:spacing w:line="240" w:lineRule="auto"/>
            </w:pPr>
            <w:r w:rsidRPr="00011E90">
              <w:rPr>
                <w:lang w:val="en-US"/>
              </w:rPr>
              <w:t>Causative agent identified, n (%)</w:t>
            </w:r>
          </w:p>
        </w:tc>
        <w:tc>
          <w:tcPr>
            <w:tcW w:w="1276" w:type="dxa"/>
          </w:tcPr>
          <w:p w14:paraId="46B60963" w14:textId="099E8C4F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23 (5</w:t>
            </w:r>
            <w:r w:rsidR="00573F10" w:rsidRPr="00573F10">
              <w:rPr>
                <w:color w:val="000000" w:themeColor="text1"/>
                <w:lang w:val="en-US"/>
              </w:rPr>
              <w:t>1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80" w:type="dxa"/>
          </w:tcPr>
          <w:p w14:paraId="509304D6" w14:textId="7D9BCFFB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0 (0)</w:t>
            </w:r>
          </w:p>
        </w:tc>
        <w:tc>
          <w:tcPr>
            <w:tcW w:w="1275" w:type="dxa"/>
          </w:tcPr>
          <w:p w14:paraId="332D78D5" w14:textId="5D86CE10" w:rsidR="00011E90" w:rsidRPr="00573F10" w:rsidRDefault="00011E9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23 (7</w:t>
            </w:r>
            <w:r w:rsidR="00573F10" w:rsidRPr="00573F10">
              <w:rPr>
                <w:color w:val="000000" w:themeColor="text1"/>
                <w:lang w:val="en-US"/>
              </w:rPr>
              <w:t>7</w:t>
            </w:r>
            <w:r w:rsidRPr="00573F10">
              <w:rPr>
                <w:color w:val="000000" w:themeColor="text1"/>
                <w:lang w:val="en-US"/>
              </w:rPr>
              <w:t>)</w:t>
            </w:r>
          </w:p>
        </w:tc>
      </w:tr>
      <w:tr w:rsidR="00011E90" w:rsidRPr="00011E90" w14:paraId="7A3D0240" w14:textId="77777777" w:rsidTr="00075371">
        <w:tc>
          <w:tcPr>
            <w:tcW w:w="2547" w:type="dxa"/>
            <w:tcBorders>
              <w:bottom w:val="single" w:sz="4" w:space="0" w:color="auto"/>
            </w:tcBorders>
          </w:tcPr>
          <w:p w14:paraId="67E1FF03" w14:textId="1B4D64B6" w:rsidR="00011E90" w:rsidRPr="00011E90" w:rsidRDefault="00011E90" w:rsidP="00011E90">
            <w:pPr>
              <w:spacing w:line="240" w:lineRule="auto"/>
            </w:pPr>
            <w:r w:rsidRPr="00011E90">
              <w:rPr>
                <w:lang w:val="en-US"/>
              </w:rPr>
              <w:t xml:space="preserve">SOFA </w:t>
            </w:r>
            <w:r w:rsidR="00573F10">
              <w:rPr>
                <w:lang w:val="en-US"/>
              </w:rPr>
              <w:t>increase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0115FE" w14:textId="18185556" w:rsidR="00011E90" w:rsidRPr="00573F10" w:rsidRDefault="00573F1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4.5</w:t>
            </w:r>
            <w:r w:rsidR="00011E90" w:rsidRPr="00573F10">
              <w:rPr>
                <w:color w:val="000000" w:themeColor="text1"/>
                <w:lang w:val="en-US"/>
              </w:rPr>
              <w:t xml:space="preserve"> (</w:t>
            </w:r>
            <w:r w:rsidRPr="00573F10">
              <w:rPr>
                <w:color w:val="000000" w:themeColor="text1"/>
                <w:lang w:val="en-US"/>
              </w:rPr>
              <w:t>3.1</w:t>
            </w:r>
            <w:r w:rsidR="00011E90" w:rsidRPr="00573F10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18B58D70" w14:textId="170366BB" w:rsidR="00011E90" w:rsidRPr="00573F10" w:rsidRDefault="00573F1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</w:rPr>
              <w:t>4.5 (3.2)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FFC534" w14:textId="06DEAEFC" w:rsidR="00011E90" w:rsidRPr="00573F10" w:rsidRDefault="00573F10" w:rsidP="00011E90">
            <w:pPr>
              <w:spacing w:line="240" w:lineRule="auto"/>
              <w:jc w:val="center"/>
              <w:rPr>
                <w:color w:val="000000" w:themeColor="text1"/>
              </w:rPr>
            </w:pPr>
            <w:r w:rsidRPr="00573F10">
              <w:rPr>
                <w:color w:val="000000" w:themeColor="text1"/>
                <w:lang w:val="en-US"/>
              </w:rPr>
              <w:t>4.5(3.1</w:t>
            </w:r>
            <w:r w:rsidR="00011E90" w:rsidRPr="00573F10">
              <w:rPr>
                <w:color w:val="000000" w:themeColor="text1"/>
                <w:lang w:val="en-US"/>
              </w:rPr>
              <w:t>)</w:t>
            </w:r>
          </w:p>
        </w:tc>
      </w:tr>
    </w:tbl>
    <w:p w14:paraId="6E6B091E" w14:textId="0940BBF6" w:rsidR="00CB5D88" w:rsidRDefault="00011E90" w:rsidP="00AA1668">
      <w:pPr>
        <w:pStyle w:val="Overskrift3"/>
      </w:pPr>
      <w:bookmarkStart w:id="12" w:name="_Toc109046471"/>
      <w:r w:rsidRPr="00686FC5">
        <w:t xml:space="preserve">Supplementary table </w:t>
      </w:r>
      <w:r w:rsidR="00E70048">
        <w:t>9</w:t>
      </w:r>
      <w:r w:rsidRPr="00686FC5">
        <w:t>.</w:t>
      </w:r>
      <w:r>
        <w:t xml:space="preserve"> Patient characteristics </w:t>
      </w:r>
      <w:r w:rsidR="005B161C">
        <w:t xml:space="preserve">of the patients included for </w:t>
      </w:r>
      <w:r>
        <w:t>follow-up</w:t>
      </w:r>
      <w:r w:rsidR="005B161C">
        <w:t xml:space="preserve"> sampling.</w:t>
      </w:r>
      <w:bookmarkEnd w:id="12"/>
      <w:r w:rsidR="005B161C">
        <w:t xml:space="preserve"> </w:t>
      </w:r>
    </w:p>
    <w:p w14:paraId="7D5D38A5" w14:textId="7C53004F" w:rsidR="00A171F8" w:rsidRDefault="00A171F8">
      <w:pPr>
        <w:spacing w:line="240" w:lineRule="auto"/>
        <w:rPr>
          <w:rFonts w:eastAsia="Calibri"/>
        </w:rPr>
      </w:pPr>
    </w:p>
    <w:p w14:paraId="67995D50" w14:textId="261533D2" w:rsidR="00F02073" w:rsidRDefault="009B00EF" w:rsidP="009B00EF">
      <w:pPr>
        <w:spacing w:line="240" w:lineRule="auto"/>
        <w:jc w:val="center"/>
        <w:rPr>
          <w:rFonts w:eastAsia="Calibri"/>
        </w:rPr>
      </w:pPr>
      <w:r w:rsidRPr="009B00EF">
        <w:rPr>
          <w:rFonts w:eastAsia="Calibri"/>
          <w:noProof/>
          <w:lang w:val="nb-NO" w:eastAsia="nb-NO"/>
        </w:rPr>
        <w:lastRenderedPageBreak/>
        <w:drawing>
          <wp:inline distT="0" distB="0" distL="0" distR="0" wp14:anchorId="1671B757" wp14:editId="239332FD">
            <wp:extent cx="2451100" cy="792480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5DC59" w14:textId="600FCA21" w:rsidR="00AA1668" w:rsidRDefault="004229A9" w:rsidP="00AA1668">
      <w:pPr>
        <w:pStyle w:val="Overskrift3"/>
      </w:pPr>
      <w:bookmarkStart w:id="13" w:name="_Toc109046472"/>
      <w:r w:rsidRPr="00F02073">
        <w:t xml:space="preserve">Supplementary figure </w:t>
      </w:r>
      <w:r w:rsidR="00F91F46">
        <w:t>4</w:t>
      </w:r>
      <w:r>
        <w:t>.</w:t>
      </w:r>
      <w:r w:rsidR="004673F1">
        <w:t xml:space="preserve"> Scatter</w:t>
      </w:r>
      <w:r w:rsidR="00E0482A">
        <w:t xml:space="preserve"> </w:t>
      </w:r>
      <w:r w:rsidR="004673F1">
        <w:t>plots comparing CRP and IL-6 values on different days in patients in the group “Infection” in the follow-up cohort.</w:t>
      </w:r>
      <w:bookmarkEnd w:id="13"/>
      <w:r w:rsidR="004673F1">
        <w:t xml:space="preserve"> </w:t>
      </w:r>
    </w:p>
    <w:p w14:paraId="626BA87A" w14:textId="51549285" w:rsidR="004229A9" w:rsidRPr="00182D93" w:rsidRDefault="004673F1" w:rsidP="005B161C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Axes are </w:t>
      </w:r>
      <w:r w:rsidR="00D57AFD">
        <w:rPr>
          <w:rFonts w:eastAsia="Calibri"/>
        </w:rPr>
        <w:t xml:space="preserve">on a </w:t>
      </w:r>
      <w:r w:rsidRPr="00B176E6">
        <w:rPr>
          <w:rFonts w:eastAsia="Calibri"/>
        </w:rPr>
        <w:t>logarithmic</w:t>
      </w:r>
      <w:r w:rsidR="00D57AFD">
        <w:rPr>
          <w:rFonts w:eastAsia="Calibri"/>
        </w:rPr>
        <w:t xml:space="preserve"> scale</w:t>
      </w:r>
      <w:r w:rsidRPr="00B176E6">
        <w:rPr>
          <w:rFonts w:eastAsia="Calibri"/>
        </w:rPr>
        <w:t xml:space="preserve">. Correlations estimated with Spearman’s Rho, </w:t>
      </w:r>
      <w:r w:rsidRPr="00B176E6">
        <w:rPr>
          <w:color w:val="000000" w:themeColor="text1"/>
        </w:rPr>
        <w:t>asterisks indicate significance; ** p &lt; 0.01, **** p &lt; 0.0001.</w:t>
      </w:r>
      <w:r>
        <w:rPr>
          <w:color w:val="000000" w:themeColor="text1"/>
          <w:sz w:val="22"/>
          <w:szCs w:val="22"/>
        </w:rPr>
        <w:t xml:space="preserve"> </w:t>
      </w:r>
    </w:p>
    <w:sectPr w:rsidR="004229A9" w:rsidRPr="00182D93" w:rsidSect="009601CB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4598" w14:textId="77777777" w:rsidR="00DE3672" w:rsidRDefault="00DE3672" w:rsidP="00232AE1">
      <w:pPr>
        <w:spacing w:line="240" w:lineRule="auto"/>
      </w:pPr>
      <w:r>
        <w:separator/>
      </w:r>
    </w:p>
  </w:endnote>
  <w:endnote w:type="continuationSeparator" w:id="0">
    <w:p w14:paraId="435A029F" w14:textId="77777777" w:rsidR="00DE3672" w:rsidRDefault="00DE3672" w:rsidP="0023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9996266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7DF220B" w14:textId="6C15B540" w:rsidR="00232AE1" w:rsidRDefault="00232AE1" w:rsidP="00E744B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69AB359" w14:textId="77777777" w:rsidR="00232AE1" w:rsidRDefault="00232AE1" w:rsidP="00232AE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1092712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A9A6C1B" w14:textId="19554F3E" w:rsidR="00232AE1" w:rsidRDefault="00232AE1" w:rsidP="00E744B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F0053C4" w14:textId="77777777" w:rsidR="00232AE1" w:rsidRDefault="00232AE1" w:rsidP="00232AE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87CF" w14:textId="77777777" w:rsidR="00DE3672" w:rsidRDefault="00DE3672" w:rsidP="00232AE1">
      <w:pPr>
        <w:spacing w:line="240" w:lineRule="auto"/>
      </w:pPr>
      <w:r>
        <w:separator/>
      </w:r>
    </w:p>
  </w:footnote>
  <w:footnote w:type="continuationSeparator" w:id="0">
    <w:p w14:paraId="527BFB4E" w14:textId="77777777" w:rsidR="00DE3672" w:rsidRDefault="00DE3672" w:rsidP="00232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DAB"/>
    <w:multiLevelType w:val="hybridMultilevel"/>
    <w:tmpl w:val="BD5024AE"/>
    <w:lvl w:ilvl="0" w:tplc="8FF2AB1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0BF4"/>
    <w:multiLevelType w:val="hybridMultilevel"/>
    <w:tmpl w:val="9A86970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D7EC7"/>
    <w:multiLevelType w:val="hybridMultilevel"/>
    <w:tmpl w:val="BEFC4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7280">
    <w:abstractNumId w:val="0"/>
  </w:num>
  <w:num w:numId="2" w16cid:durableId="1447391108">
    <w:abstractNumId w:val="1"/>
  </w:num>
  <w:num w:numId="3" w16cid:durableId="36957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jIxMjA0MbUwNTBV0lEKTi0uzszPAykwqgUAeNJGeywAAAA="/>
  </w:docVars>
  <w:rsids>
    <w:rsidRoot w:val="003D579C"/>
    <w:rsid w:val="00004357"/>
    <w:rsid w:val="000050D5"/>
    <w:rsid w:val="00011E90"/>
    <w:rsid w:val="00012A4E"/>
    <w:rsid w:val="00021C17"/>
    <w:rsid w:val="00025B96"/>
    <w:rsid w:val="00031ECE"/>
    <w:rsid w:val="00033D56"/>
    <w:rsid w:val="00035FCF"/>
    <w:rsid w:val="0003719F"/>
    <w:rsid w:val="0004452D"/>
    <w:rsid w:val="000453AF"/>
    <w:rsid w:val="00057100"/>
    <w:rsid w:val="000602E3"/>
    <w:rsid w:val="00060FA9"/>
    <w:rsid w:val="000666A3"/>
    <w:rsid w:val="0007034C"/>
    <w:rsid w:val="00071D52"/>
    <w:rsid w:val="00073DB5"/>
    <w:rsid w:val="00075371"/>
    <w:rsid w:val="00075F8F"/>
    <w:rsid w:val="00077811"/>
    <w:rsid w:val="000845DB"/>
    <w:rsid w:val="000847CB"/>
    <w:rsid w:val="000929D5"/>
    <w:rsid w:val="000951CC"/>
    <w:rsid w:val="0009631D"/>
    <w:rsid w:val="000A631A"/>
    <w:rsid w:val="000B31EE"/>
    <w:rsid w:val="000B6A34"/>
    <w:rsid w:val="000B7E1D"/>
    <w:rsid w:val="000C3AC7"/>
    <w:rsid w:val="000C48C9"/>
    <w:rsid w:val="000C5DD8"/>
    <w:rsid w:val="000C7C2C"/>
    <w:rsid w:val="000D5226"/>
    <w:rsid w:val="000E7184"/>
    <w:rsid w:val="000F2849"/>
    <w:rsid w:val="000F3122"/>
    <w:rsid w:val="000F4C8A"/>
    <w:rsid w:val="00100CF8"/>
    <w:rsid w:val="001028F0"/>
    <w:rsid w:val="0011016C"/>
    <w:rsid w:val="00110570"/>
    <w:rsid w:val="00115754"/>
    <w:rsid w:val="00121B6C"/>
    <w:rsid w:val="00134F82"/>
    <w:rsid w:val="00135FEE"/>
    <w:rsid w:val="00143D17"/>
    <w:rsid w:val="00145F73"/>
    <w:rsid w:val="00154EAA"/>
    <w:rsid w:val="00154EC9"/>
    <w:rsid w:val="00161F4F"/>
    <w:rsid w:val="001636BD"/>
    <w:rsid w:val="00165359"/>
    <w:rsid w:val="001662C1"/>
    <w:rsid w:val="00173CEC"/>
    <w:rsid w:val="001767E2"/>
    <w:rsid w:val="00181B50"/>
    <w:rsid w:val="00182D93"/>
    <w:rsid w:val="00192715"/>
    <w:rsid w:val="001977F7"/>
    <w:rsid w:val="001A10F6"/>
    <w:rsid w:val="001A141A"/>
    <w:rsid w:val="001B4D07"/>
    <w:rsid w:val="001C13A9"/>
    <w:rsid w:val="001C3EC5"/>
    <w:rsid w:val="001C4ED2"/>
    <w:rsid w:val="001D07F5"/>
    <w:rsid w:val="001D6794"/>
    <w:rsid w:val="001E3B3C"/>
    <w:rsid w:val="001E6A6D"/>
    <w:rsid w:val="001E6BE4"/>
    <w:rsid w:val="001F0998"/>
    <w:rsid w:val="001F0B36"/>
    <w:rsid w:val="001F216B"/>
    <w:rsid w:val="001F7A21"/>
    <w:rsid w:val="00205B7F"/>
    <w:rsid w:val="00216690"/>
    <w:rsid w:val="00222D15"/>
    <w:rsid w:val="002304D4"/>
    <w:rsid w:val="00232AE1"/>
    <w:rsid w:val="002338A2"/>
    <w:rsid w:val="00236D1E"/>
    <w:rsid w:val="00240A73"/>
    <w:rsid w:val="00243C6E"/>
    <w:rsid w:val="00246FDB"/>
    <w:rsid w:val="002545E7"/>
    <w:rsid w:val="002551EB"/>
    <w:rsid w:val="00257C1E"/>
    <w:rsid w:val="00261744"/>
    <w:rsid w:val="0026250E"/>
    <w:rsid w:val="002653D7"/>
    <w:rsid w:val="002679A1"/>
    <w:rsid w:val="00267C35"/>
    <w:rsid w:val="00270B85"/>
    <w:rsid w:val="002749BE"/>
    <w:rsid w:val="00283A7B"/>
    <w:rsid w:val="00290490"/>
    <w:rsid w:val="00290E13"/>
    <w:rsid w:val="00296948"/>
    <w:rsid w:val="002A0811"/>
    <w:rsid w:val="002A1B99"/>
    <w:rsid w:val="002B799A"/>
    <w:rsid w:val="002B7AB8"/>
    <w:rsid w:val="002C3CB2"/>
    <w:rsid w:val="002D03C3"/>
    <w:rsid w:val="002D3E1D"/>
    <w:rsid w:val="002E0B84"/>
    <w:rsid w:val="002E48A0"/>
    <w:rsid w:val="002E4FF2"/>
    <w:rsid w:val="002F01BA"/>
    <w:rsid w:val="002F0954"/>
    <w:rsid w:val="002F33BA"/>
    <w:rsid w:val="002F6E52"/>
    <w:rsid w:val="00306037"/>
    <w:rsid w:val="003064E3"/>
    <w:rsid w:val="003068DE"/>
    <w:rsid w:val="00313CEA"/>
    <w:rsid w:val="00317F26"/>
    <w:rsid w:val="00320893"/>
    <w:rsid w:val="00322F1D"/>
    <w:rsid w:val="0032388A"/>
    <w:rsid w:val="003254E3"/>
    <w:rsid w:val="0032768F"/>
    <w:rsid w:val="00327EF4"/>
    <w:rsid w:val="003343CD"/>
    <w:rsid w:val="0034006C"/>
    <w:rsid w:val="003457B4"/>
    <w:rsid w:val="00346605"/>
    <w:rsid w:val="0034768D"/>
    <w:rsid w:val="003541BB"/>
    <w:rsid w:val="00356AF2"/>
    <w:rsid w:val="0035760B"/>
    <w:rsid w:val="00367EFB"/>
    <w:rsid w:val="0037384F"/>
    <w:rsid w:val="00377DBB"/>
    <w:rsid w:val="00380B0E"/>
    <w:rsid w:val="003833A5"/>
    <w:rsid w:val="003836BD"/>
    <w:rsid w:val="00386B22"/>
    <w:rsid w:val="0039324E"/>
    <w:rsid w:val="00393EE9"/>
    <w:rsid w:val="00396757"/>
    <w:rsid w:val="003A3222"/>
    <w:rsid w:val="003B3AA2"/>
    <w:rsid w:val="003B7707"/>
    <w:rsid w:val="003C441A"/>
    <w:rsid w:val="003C5FD3"/>
    <w:rsid w:val="003D151A"/>
    <w:rsid w:val="003D35E5"/>
    <w:rsid w:val="003D4F83"/>
    <w:rsid w:val="003D579C"/>
    <w:rsid w:val="003D6FDD"/>
    <w:rsid w:val="003E02DA"/>
    <w:rsid w:val="003E0ED7"/>
    <w:rsid w:val="003E2CA3"/>
    <w:rsid w:val="003E4896"/>
    <w:rsid w:val="003F3864"/>
    <w:rsid w:val="003F3E7A"/>
    <w:rsid w:val="00401662"/>
    <w:rsid w:val="00401FD6"/>
    <w:rsid w:val="00402BE5"/>
    <w:rsid w:val="00402EFF"/>
    <w:rsid w:val="004041F5"/>
    <w:rsid w:val="004135D3"/>
    <w:rsid w:val="00421AD3"/>
    <w:rsid w:val="004228FD"/>
    <w:rsid w:val="004229A9"/>
    <w:rsid w:val="00423F01"/>
    <w:rsid w:val="00424577"/>
    <w:rsid w:val="00426104"/>
    <w:rsid w:val="00435771"/>
    <w:rsid w:val="004368B5"/>
    <w:rsid w:val="00437D02"/>
    <w:rsid w:val="00445304"/>
    <w:rsid w:val="00457908"/>
    <w:rsid w:val="004619AF"/>
    <w:rsid w:val="00464E50"/>
    <w:rsid w:val="00467085"/>
    <w:rsid w:val="004673F1"/>
    <w:rsid w:val="00470668"/>
    <w:rsid w:val="00471A96"/>
    <w:rsid w:val="00475A30"/>
    <w:rsid w:val="004828C7"/>
    <w:rsid w:val="00490DEA"/>
    <w:rsid w:val="00491A76"/>
    <w:rsid w:val="004978B6"/>
    <w:rsid w:val="004B0996"/>
    <w:rsid w:val="004D2527"/>
    <w:rsid w:val="004D2CA9"/>
    <w:rsid w:val="004E3B1A"/>
    <w:rsid w:val="004E71EB"/>
    <w:rsid w:val="004F3341"/>
    <w:rsid w:val="005033E0"/>
    <w:rsid w:val="005038BF"/>
    <w:rsid w:val="00511832"/>
    <w:rsid w:val="00513EFE"/>
    <w:rsid w:val="00526C50"/>
    <w:rsid w:val="00533265"/>
    <w:rsid w:val="00533472"/>
    <w:rsid w:val="00535233"/>
    <w:rsid w:val="00537EBA"/>
    <w:rsid w:val="0054271D"/>
    <w:rsid w:val="00547454"/>
    <w:rsid w:val="0055183E"/>
    <w:rsid w:val="00552260"/>
    <w:rsid w:val="00553285"/>
    <w:rsid w:val="00553573"/>
    <w:rsid w:val="005713F0"/>
    <w:rsid w:val="00573F10"/>
    <w:rsid w:val="00574219"/>
    <w:rsid w:val="00575E96"/>
    <w:rsid w:val="00580300"/>
    <w:rsid w:val="00581968"/>
    <w:rsid w:val="00584DB3"/>
    <w:rsid w:val="00585162"/>
    <w:rsid w:val="00591741"/>
    <w:rsid w:val="00595AC7"/>
    <w:rsid w:val="005A10F9"/>
    <w:rsid w:val="005A130F"/>
    <w:rsid w:val="005B161C"/>
    <w:rsid w:val="005B3029"/>
    <w:rsid w:val="005B5B32"/>
    <w:rsid w:val="005C6868"/>
    <w:rsid w:val="005E2AF6"/>
    <w:rsid w:val="005E57FA"/>
    <w:rsid w:val="005F54A8"/>
    <w:rsid w:val="005F74EF"/>
    <w:rsid w:val="00614C62"/>
    <w:rsid w:val="0061552B"/>
    <w:rsid w:val="00621590"/>
    <w:rsid w:val="00627494"/>
    <w:rsid w:val="00637EE9"/>
    <w:rsid w:val="0064285C"/>
    <w:rsid w:val="00643EC7"/>
    <w:rsid w:val="00644DD8"/>
    <w:rsid w:val="0065077B"/>
    <w:rsid w:val="00653547"/>
    <w:rsid w:val="00653D12"/>
    <w:rsid w:val="00655795"/>
    <w:rsid w:val="00656F66"/>
    <w:rsid w:val="00663098"/>
    <w:rsid w:val="00677FD7"/>
    <w:rsid w:val="00686FC5"/>
    <w:rsid w:val="00691C4D"/>
    <w:rsid w:val="00694983"/>
    <w:rsid w:val="00697103"/>
    <w:rsid w:val="006977AF"/>
    <w:rsid w:val="006A1A51"/>
    <w:rsid w:val="006A3E2A"/>
    <w:rsid w:val="006A602D"/>
    <w:rsid w:val="006A7CC2"/>
    <w:rsid w:val="006B1297"/>
    <w:rsid w:val="006B3A64"/>
    <w:rsid w:val="006D4753"/>
    <w:rsid w:val="006D77C2"/>
    <w:rsid w:val="006E024B"/>
    <w:rsid w:val="006E062A"/>
    <w:rsid w:val="006E78A3"/>
    <w:rsid w:val="006E7DC2"/>
    <w:rsid w:val="006F2F3B"/>
    <w:rsid w:val="006F4F50"/>
    <w:rsid w:val="006F6323"/>
    <w:rsid w:val="006F6D36"/>
    <w:rsid w:val="0070460B"/>
    <w:rsid w:val="00704917"/>
    <w:rsid w:val="00720253"/>
    <w:rsid w:val="007238B8"/>
    <w:rsid w:val="00726C84"/>
    <w:rsid w:val="007300FD"/>
    <w:rsid w:val="00731E21"/>
    <w:rsid w:val="0073585D"/>
    <w:rsid w:val="00736FBC"/>
    <w:rsid w:val="007449BD"/>
    <w:rsid w:val="00753925"/>
    <w:rsid w:val="00757177"/>
    <w:rsid w:val="00760C1F"/>
    <w:rsid w:val="00767249"/>
    <w:rsid w:val="0076746D"/>
    <w:rsid w:val="00770E44"/>
    <w:rsid w:val="007754E6"/>
    <w:rsid w:val="00783539"/>
    <w:rsid w:val="00786FAA"/>
    <w:rsid w:val="007909EA"/>
    <w:rsid w:val="0079486D"/>
    <w:rsid w:val="007A34B1"/>
    <w:rsid w:val="007A3B27"/>
    <w:rsid w:val="007C6914"/>
    <w:rsid w:val="007D292B"/>
    <w:rsid w:val="007D5507"/>
    <w:rsid w:val="007D6C04"/>
    <w:rsid w:val="007E0F8F"/>
    <w:rsid w:val="007E7049"/>
    <w:rsid w:val="008001B8"/>
    <w:rsid w:val="00801F4D"/>
    <w:rsid w:val="00803A56"/>
    <w:rsid w:val="00803BA1"/>
    <w:rsid w:val="00805F3F"/>
    <w:rsid w:val="00815EBB"/>
    <w:rsid w:val="0082481A"/>
    <w:rsid w:val="00831726"/>
    <w:rsid w:val="00833ACF"/>
    <w:rsid w:val="00833FFF"/>
    <w:rsid w:val="00836003"/>
    <w:rsid w:val="00842DC2"/>
    <w:rsid w:val="00851102"/>
    <w:rsid w:val="008549A7"/>
    <w:rsid w:val="008558AA"/>
    <w:rsid w:val="00861B0E"/>
    <w:rsid w:val="008646A9"/>
    <w:rsid w:val="008714AE"/>
    <w:rsid w:val="008767D8"/>
    <w:rsid w:val="0087739D"/>
    <w:rsid w:val="008836CF"/>
    <w:rsid w:val="00885B40"/>
    <w:rsid w:val="008917CD"/>
    <w:rsid w:val="00893489"/>
    <w:rsid w:val="008951AD"/>
    <w:rsid w:val="008A1599"/>
    <w:rsid w:val="008A53A6"/>
    <w:rsid w:val="008B4960"/>
    <w:rsid w:val="008B52A8"/>
    <w:rsid w:val="008C2C36"/>
    <w:rsid w:val="008D393E"/>
    <w:rsid w:val="008D404E"/>
    <w:rsid w:val="008D48A2"/>
    <w:rsid w:val="008E0247"/>
    <w:rsid w:val="008E1D4E"/>
    <w:rsid w:val="008E60D7"/>
    <w:rsid w:val="008F0025"/>
    <w:rsid w:val="008F0D96"/>
    <w:rsid w:val="00900C2C"/>
    <w:rsid w:val="00911EAD"/>
    <w:rsid w:val="00914428"/>
    <w:rsid w:val="00917649"/>
    <w:rsid w:val="00932659"/>
    <w:rsid w:val="009329B1"/>
    <w:rsid w:val="00940164"/>
    <w:rsid w:val="00943506"/>
    <w:rsid w:val="00945878"/>
    <w:rsid w:val="009473EC"/>
    <w:rsid w:val="00951DFB"/>
    <w:rsid w:val="009523A2"/>
    <w:rsid w:val="009601CB"/>
    <w:rsid w:val="00963FAE"/>
    <w:rsid w:val="009663AC"/>
    <w:rsid w:val="00970571"/>
    <w:rsid w:val="009714DF"/>
    <w:rsid w:val="00974D27"/>
    <w:rsid w:val="00986F29"/>
    <w:rsid w:val="009A1054"/>
    <w:rsid w:val="009A106A"/>
    <w:rsid w:val="009A14E4"/>
    <w:rsid w:val="009B00EF"/>
    <w:rsid w:val="009B525D"/>
    <w:rsid w:val="009C5BF2"/>
    <w:rsid w:val="009D220C"/>
    <w:rsid w:val="009D317A"/>
    <w:rsid w:val="009D435B"/>
    <w:rsid w:val="009D7F68"/>
    <w:rsid w:val="009E67A9"/>
    <w:rsid w:val="009E71EB"/>
    <w:rsid w:val="009F2E33"/>
    <w:rsid w:val="009F6884"/>
    <w:rsid w:val="009F76EC"/>
    <w:rsid w:val="00A0366F"/>
    <w:rsid w:val="00A040FF"/>
    <w:rsid w:val="00A1586E"/>
    <w:rsid w:val="00A171F8"/>
    <w:rsid w:val="00A24F53"/>
    <w:rsid w:val="00A26CFF"/>
    <w:rsid w:val="00A274C0"/>
    <w:rsid w:val="00A3046A"/>
    <w:rsid w:val="00A31FCF"/>
    <w:rsid w:val="00A321F0"/>
    <w:rsid w:val="00A3564B"/>
    <w:rsid w:val="00A400BD"/>
    <w:rsid w:val="00A41209"/>
    <w:rsid w:val="00A445D8"/>
    <w:rsid w:val="00A47DC5"/>
    <w:rsid w:val="00A52DBA"/>
    <w:rsid w:val="00A65983"/>
    <w:rsid w:val="00A65A7E"/>
    <w:rsid w:val="00A7328E"/>
    <w:rsid w:val="00A7442B"/>
    <w:rsid w:val="00A77A60"/>
    <w:rsid w:val="00A8383C"/>
    <w:rsid w:val="00A84BA6"/>
    <w:rsid w:val="00A9090E"/>
    <w:rsid w:val="00A91EEA"/>
    <w:rsid w:val="00A94004"/>
    <w:rsid w:val="00A955FB"/>
    <w:rsid w:val="00AA0169"/>
    <w:rsid w:val="00AA1668"/>
    <w:rsid w:val="00AA489B"/>
    <w:rsid w:val="00AA51E8"/>
    <w:rsid w:val="00AA7C03"/>
    <w:rsid w:val="00AB3575"/>
    <w:rsid w:val="00AB3FBC"/>
    <w:rsid w:val="00AC1A61"/>
    <w:rsid w:val="00AC3077"/>
    <w:rsid w:val="00AD3324"/>
    <w:rsid w:val="00AE18B3"/>
    <w:rsid w:val="00AE3F72"/>
    <w:rsid w:val="00AE6899"/>
    <w:rsid w:val="00AE6B1E"/>
    <w:rsid w:val="00AE6B9A"/>
    <w:rsid w:val="00B00830"/>
    <w:rsid w:val="00B0387A"/>
    <w:rsid w:val="00B16869"/>
    <w:rsid w:val="00B176E6"/>
    <w:rsid w:val="00B202CC"/>
    <w:rsid w:val="00B208D8"/>
    <w:rsid w:val="00B21EC0"/>
    <w:rsid w:val="00B25B79"/>
    <w:rsid w:val="00B26536"/>
    <w:rsid w:val="00B26BB7"/>
    <w:rsid w:val="00B27BBF"/>
    <w:rsid w:val="00B31150"/>
    <w:rsid w:val="00B3243C"/>
    <w:rsid w:val="00B329CC"/>
    <w:rsid w:val="00B37838"/>
    <w:rsid w:val="00B420EE"/>
    <w:rsid w:val="00B4266E"/>
    <w:rsid w:val="00B44E1E"/>
    <w:rsid w:val="00B47A46"/>
    <w:rsid w:val="00B50C40"/>
    <w:rsid w:val="00B552AE"/>
    <w:rsid w:val="00B61EDA"/>
    <w:rsid w:val="00B76C6E"/>
    <w:rsid w:val="00B849FC"/>
    <w:rsid w:val="00B84C70"/>
    <w:rsid w:val="00B958D1"/>
    <w:rsid w:val="00B96002"/>
    <w:rsid w:val="00B97E01"/>
    <w:rsid w:val="00BA1060"/>
    <w:rsid w:val="00BB15A8"/>
    <w:rsid w:val="00BB20D4"/>
    <w:rsid w:val="00BB22DD"/>
    <w:rsid w:val="00BC1A97"/>
    <w:rsid w:val="00BC3845"/>
    <w:rsid w:val="00BC49BB"/>
    <w:rsid w:val="00BC7545"/>
    <w:rsid w:val="00BD07F0"/>
    <w:rsid w:val="00BD3B5B"/>
    <w:rsid w:val="00BD4CB9"/>
    <w:rsid w:val="00BE17F1"/>
    <w:rsid w:val="00BE69D9"/>
    <w:rsid w:val="00BF101B"/>
    <w:rsid w:val="00BF738B"/>
    <w:rsid w:val="00BF7BF3"/>
    <w:rsid w:val="00C0188E"/>
    <w:rsid w:val="00C1269D"/>
    <w:rsid w:val="00C126D7"/>
    <w:rsid w:val="00C1368E"/>
    <w:rsid w:val="00C13C61"/>
    <w:rsid w:val="00C16AA8"/>
    <w:rsid w:val="00C2005F"/>
    <w:rsid w:val="00C31441"/>
    <w:rsid w:val="00C323AC"/>
    <w:rsid w:val="00C32933"/>
    <w:rsid w:val="00C32EC2"/>
    <w:rsid w:val="00C41D3E"/>
    <w:rsid w:val="00C43564"/>
    <w:rsid w:val="00C46710"/>
    <w:rsid w:val="00C55809"/>
    <w:rsid w:val="00C56B08"/>
    <w:rsid w:val="00C606F4"/>
    <w:rsid w:val="00C63B8A"/>
    <w:rsid w:val="00C6401A"/>
    <w:rsid w:val="00C660AD"/>
    <w:rsid w:val="00C66AF4"/>
    <w:rsid w:val="00C7384B"/>
    <w:rsid w:val="00C85FCD"/>
    <w:rsid w:val="00C941D3"/>
    <w:rsid w:val="00C96FC6"/>
    <w:rsid w:val="00CB2A3B"/>
    <w:rsid w:val="00CB5D88"/>
    <w:rsid w:val="00CB63AC"/>
    <w:rsid w:val="00CC2478"/>
    <w:rsid w:val="00CD0370"/>
    <w:rsid w:val="00CD0612"/>
    <w:rsid w:val="00CE1F90"/>
    <w:rsid w:val="00CE235C"/>
    <w:rsid w:val="00CE5C88"/>
    <w:rsid w:val="00CF1D5C"/>
    <w:rsid w:val="00CF2D26"/>
    <w:rsid w:val="00CF6EE4"/>
    <w:rsid w:val="00D011C1"/>
    <w:rsid w:val="00D04681"/>
    <w:rsid w:val="00D15076"/>
    <w:rsid w:val="00D16769"/>
    <w:rsid w:val="00D2713F"/>
    <w:rsid w:val="00D321CE"/>
    <w:rsid w:val="00D32B8D"/>
    <w:rsid w:val="00D36E6C"/>
    <w:rsid w:val="00D42A47"/>
    <w:rsid w:val="00D45AD7"/>
    <w:rsid w:val="00D464FD"/>
    <w:rsid w:val="00D47407"/>
    <w:rsid w:val="00D47732"/>
    <w:rsid w:val="00D52608"/>
    <w:rsid w:val="00D57AFD"/>
    <w:rsid w:val="00D6094D"/>
    <w:rsid w:val="00D60D4C"/>
    <w:rsid w:val="00D61D46"/>
    <w:rsid w:val="00D6633E"/>
    <w:rsid w:val="00D724CE"/>
    <w:rsid w:val="00D732B6"/>
    <w:rsid w:val="00D76546"/>
    <w:rsid w:val="00D76EBD"/>
    <w:rsid w:val="00D77E6E"/>
    <w:rsid w:val="00D81F0F"/>
    <w:rsid w:val="00D83913"/>
    <w:rsid w:val="00D87278"/>
    <w:rsid w:val="00D94668"/>
    <w:rsid w:val="00DA038E"/>
    <w:rsid w:val="00DA14DD"/>
    <w:rsid w:val="00DB20B4"/>
    <w:rsid w:val="00DB7B8C"/>
    <w:rsid w:val="00DC7B3E"/>
    <w:rsid w:val="00DD2E09"/>
    <w:rsid w:val="00DD3081"/>
    <w:rsid w:val="00DD38CD"/>
    <w:rsid w:val="00DD5558"/>
    <w:rsid w:val="00DE0CB2"/>
    <w:rsid w:val="00DE3672"/>
    <w:rsid w:val="00DE51BA"/>
    <w:rsid w:val="00E0071D"/>
    <w:rsid w:val="00E0482A"/>
    <w:rsid w:val="00E04F32"/>
    <w:rsid w:val="00E07FA9"/>
    <w:rsid w:val="00E15AE5"/>
    <w:rsid w:val="00E225BA"/>
    <w:rsid w:val="00E321F5"/>
    <w:rsid w:val="00E3328E"/>
    <w:rsid w:val="00E33E7B"/>
    <w:rsid w:val="00E40548"/>
    <w:rsid w:val="00E42A37"/>
    <w:rsid w:val="00E44840"/>
    <w:rsid w:val="00E47330"/>
    <w:rsid w:val="00E50AFF"/>
    <w:rsid w:val="00E62588"/>
    <w:rsid w:val="00E63D04"/>
    <w:rsid w:val="00E646E7"/>
    <w:rsid w:val="00E70048"/>
    <w:rsid w:val="00E71A5C"/>
    <w:rsid w:val="00E72754"/>
    <w:rsid w:val="00E74B69"/>
    <w:rsid w:val="00E758AB"/>
    <w:rsid w:val="00E75A67"/>
    <w:rsid w:val="00E8642D"/>
    <w:rsid w:val="00E9679B"/>
    <w:rsid w:val="00E97F10"/>
    <w:rsid w:val="00EB0A91"/>
    <w:rsid w:val="00EB1D0C"/>
    <w:rsid w:val="00EB1D16"/>
    <w:rsid w:val="00EB50FF"/>
    <w:rsid w:val="00EB640A"/>
    <w:rsid w:val="00EB7FC1"/>
    <w:rsid w:val="00EC34F3"/>
    <w:rsid w:val="00ED30C1"/>
    <w:rsid w:val="00ED3699"/>
    <w:rsid w:val="00EE078C"/>
    <w:rsid w:val="00EE77DA"/>
    <w:rsid w:val="00EF381B"/>
    <w:rsid w:val="00EF55C9"/>
    <w:rsid w:val="00EF6B5A"/>
    <w:rsid w:val="00F02073"/>
    <w:rsid w:val="00F03E13"/>
    <w:rsid w:val="00F05BDC"/>
    <w:rsid w:val="00F06A4B"/>
    <w:rsid w:val="00F07CA5"/>
    <w:rsid w:val="00F15DF4"/>
    <w:rsid w:val="00F17441"/>
    <w:rsid w:val="00F2199D"/>
    <w:rsid w:val="00F26614"/>
    <w:rsid w:val="00F30BCC"/>
    <w:rsid w:val="00F30C9D"/>
    <w:rsid w:val="00F35190"/>
    <w:rsid w:val="00F4378E"/>
    <w:rsid w:val="00F54DDF"/>
    <w:rsid w:val="00F660CA"/>
    <w:rsid w:val="00F84D6F"/>
    <w:rsid w:val="00F8681B"/>
    <w:rsid w:val="00F91F46"/>
    <w:rsid w:val="00F960E2"/>
    <w:rsid w:val="00FA568B"/>
    <w:rsid w:val="00FA5E9E"/>
    <w:rsid w:val="00FB263D"/>
    <w:rsid w:val="00FB42DF"/>
    <w:rsid w:val="00FC13B4"/>
    <w:rsid w:val="00FC3414"/>
    <w:rsid w:val="00FE1FD6"/>
    <w:rsid w:val="00FE4A42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BE41"/>
  <w15:docId w15:val="{EEF79A1C-2C12-4A05-B052-8078540A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9C"/>
    <w:pPr>
      <w:spacing w:line="480" w:lineRule="auto"/>
    </w:pPr>
    <w:rPr>
      <w:rFonts w:ascii="Times New Roman" w:hAnsi="Times New Roman" w:cs="Times New Roman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579C"/>
    <w:pPr>
      <w:keepNext/>
      <w:keepLines/>
      <w:spacing w:before="240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38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4D07"/>
    <w:pPr>
      <w:spacing w:line="240" w:lineRule="auto"/>
      <w:outlineLvl w:val="2"/>
    </w:pPr>
    <w:rPr>
      <w:b/>
      <w:bCs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579C"/>
    <w:rPr>
      <w:rFonts w:ascii="Times New Roman" w:eastAsiaTheme="majorEastAsia" w:hAnsi="Times New Roman" w:cs="Times New Roman"/>
      <w:color w:val="000000" w:themeColor="text1"/>
      <w:sz w:val="32"/>
      <w:szCs w:val="32"/>
      <w:lang w:val="en-GB"/>
    </w:rPr>
  </w:style>
  <w:style w:type="table" w:styleId="Tabellrutenett">
    <w:name w:val="Table Grid"/>
    <w:basedOn w:val="Vanligtabell"/>
    <w:uiPriority w:val="39"/>
    <w:rsid w:val="00644D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F01B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977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77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77AF"/>
    <w:rPr>
      <w:rFonts w:ascii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7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7AF"/>
    <w:rPr>
      <w:rFonts w:ascii="Times New Roman" w:hAnsi="Times New Roman" w:cs="Times New Roman"/>
      <w:b/>
      <w:bCs/>
      <w:sz w:val="20"/>
      <w:szCs w:val="20"/>
      <w:lang w:val="en-GB"/>
    </w:rPr>
  </w:style>
  <w:style w:type="table" w:customStyle="1" w:styleId="Tabellrutenett1">
    <w:name w:val="Tabellrutenett1"/>
    <w:basedOn w:val="Vanligtabell"/>
    <w:next w:val="Tabellrutenett"/>
    <w:uiPriority w:val="59"/>
    <w:rsid w:val="00FB42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D464FD"/>
    <w:rPr>
      <w:rFonts w:ascii="Times New Roman" w:hAnsi="Times New Roman" w:cs="Times New Roman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0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62A"/>
    <w:rPr>
      <w:rFonts w:ascii="Segoe UI" w:hAnsi="Segoe UI" w:cs="Segoe UI"/>
      <w:sz w:val="18"/>
      <w:szCs w:val="1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38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232AE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2AE1"/>
    <w:rPr>
      <w:rFonts w:ascii="Times New Roman" w:hAnsi="Times New Roman" w:cs="Times New Roman"/>
      <w:lang w:val="en-GB"/>
    </w:rPr>
  </w:style>
  <w:style w:type="character" w:styleId="Sidetall">
    <w:name w:val="page number"/>
    <w:basedOn w:val="Standardskriftforavsnitt"/>
    <w:uiPriority w:val="99"/>
    <w:semiHidden/>
    <w:unhideWhenUsed/>
    <w:rsid w:val="00232AE1"/>
  </w:style>
  <w:style w:type="paragraph" w:styleId="Undertittel">
    <w:name w:val="Subtitle"/>
    <w:basedOn w:val="Normal"/>
    <w:next w:val="Normal"/>
    <w:link w:val="UndertittelTegn"/>
    <w:uiPriority w:val="11"/>
    <w:qFormat/>
    <w:rsid w:val="001B4D07"/>
    <w:pPr>
      <w:spacing w:line="240" w:lineRule="auto"/>
    </w:pPr>
    <w:rPr>
      <w:rFonts w:eastAsia="Calibri"/>
      <w:b/>
      <w:bCs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4D07"/>
    <w:rPr>
      <w:rFonts w:ascii="Times New Roman" w:eastAsia="Calibri" w:hAnsi="Times New Roman" w:cs="Times New Roman"/>
      <w:b/>
      <w:bCs/>
      <w:lang w:val="en-GB"/>
    </w:rPr>
  </w:style>
  <w:style w:type="paragraph" w:styleId="INNH1">
    <w:name w:val="toc 1"/>
    <w:basedOn w:val="Normal"/>
    <w:next w:val="Normal"/>
    <w:autoRedefine/>
    <w:uiPriority w:val="39"/>
    <w:unhideWhenUsed/>
    <w:rsid w:val="001B4D07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1B4D07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B4D07"/>
    <w:rPr>
      <w:rFonts w:ascii="Times New Roman" w:hAnsi="Times New Roman" w:cs="Times New Roman"/>
      <w:b/>
      <w:bCs/>
      <w:lang w:val="en-US"/>
    </w:rPr>
  </w:style>
  <w:style w:type="paragraph" w:styleId="INNH3">
    <w:name w:val="toc 3"/>
    <w:basedOn w:val="Normal"/>
    <w:next w:val="Normal"/>
    <w:autoRedefine/>
    <w:uiPriority w:val="39"/>
    <w:unhideWhenUsed/>
    <w:rsid w:val="00B16869"/>
    <w:pPr>
      <w:tabs>
        <w:tab w:val="right" w:leader="dot" w:pos="9056"/>
      </w:tabs>
      <w:spacing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8191-0CDD-4596-B64C-9F503910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1991</Words>
  <Characters>10555</Characters>
  <Application>Microsoft Office Word</Application>
  <DocSecurity>0</DocSecurity>
  <Lines>87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Christensen</dc:creator>
  <cp:lastModifiedBy>Erik Christensen</cp:lastModifiedBy>
  <cp:revision>2</cp:revision>
  <cp:lastPrinted>2022-04-20T12:33:00Z</cp:lastPrinted>
  <dcterms:created xsi:type="dcterms:W3CDTF">2022-07-18T12:21:00Z</dcterms:created>
  <dcterms:modified xsi:type="dcterms:W3CDTF">2022-07-18T12:21:00Z</dcterms:modified>
</cp:coreProperties>
</file>