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8E" w:rsidRDefault="003B238E" w:rsidP="003B238E">
      <w:pPr>
        <w:outlineLvl w:val="0"/>
        <w:rPr>
          <w:rFonts w:ascii="Times New Roman" w:hAnsi="Times New Roman"/>
        </w:rPr>
      </w:pPr>
      <w:bookmarkStart w:id="0" w:name="_GoBack"/>
      <w:bookmarkEnd w:id="0"/>
      <w:r w:rsidRPr="003B238E">
        <w:rPr>
          <w:b/>
        </w:rPr>
        <w:t>Supplementary Digital Content 1</w:t>
      </w:r>
      <w:r w:rsidRPr="009E1397">
        <w:rPr>
          <w:rFonts w:ascii="Times New Roman" w:hAnsi="Times New Roman"/>
          <w:b/>
        </w:rPr>
        <w:t xml:space="preserve">: </w:t>
      </w:r>
      <w:r w:rsidRPr="002613A9">
        <w:rPr>
          <w:rFonts w:ascii="Times New Roman" w:hAnsi="Times New Roman"/>
        </w:rPr>
        <w:t xml:space="preserve">Simulation competency domains, </w:t>
      </w:r>
      <w:r>
        <w:rPr>
          <w:rFonts w:ascii="Times New Roman" w:hAnsi="Times New Roman"/>
        </w:rPr>
        <w:t>examples of interventions in the literature</w:t>
      </w:r>
      <w:r w:rsidRPr="002613A9">
        <w:rPr>
          <w:rFonts w:ascii="Times New Roman" w:hAnsi="Times New Roman"/>
        </w:rPr>
        <w:t xml:space="preserve">, and scenario </w:t>
      </w:r>
      <w:r>
        <w:rPr>
          <w:rFonts w:ascii="Times New Roman" w:hAnsi="Times New Roman"/>
        </w:rPr>
        <w:t xml:space="preserve">conditions providing opportunities to practice targeted leadership competencies. Example interventions from the literature are provided because in the design process, it was critical to identify organizational challenges where some form of evidence-based leadership or management strategy existed to remedy the problem. The scenario events / conditions providing opportunities to practice are represented in the simulation as profiles of information on the simulation board, simulated performance data, and breakout session scenarios. </w:t>
      </w:r>
    </w:p>
    <w:p w:rsidR="003B238E" w:rsidRPr="009E1397" w:rsidRDefault="003B238E" w:rsidP="003B238E">
      <w:pPr>
        <w:outlineLvl w:val="0"/>
        <w:rPr>
          <w:rFonts w:ascii="Times New Roman" w:hAnsi="Times New Roma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140"/>
        <w:gridCol w:w="6840"/>
      </w:tblGrid>
      <w:tr w:rsidR="003B238E" w:rsidRPr="00B8707B" w:rsidTr="009E67AC">
        <w:trPr>
          <w:trHeight w:val="824"/>
          <w:tblHeader/>
        </w:trPr>
        <w:tc>
          <w:tcPr>
            <w:tcW w:w="3708" w:type="dxa"/>
            <w:shd w:val="clear" w:color="auto" w:fill="auto"/>
          </w:tcPr>
          <w:p w:rsidR="003B238E" w:rsidRPr="00B8707B" w:rsidRDefault="003B238E" w:rsidP="009E67AC">
            <w:pPr>
              <w:rPr>
                <w:rFonts w:ascii="Times New Roman" w:hAnsi="Times New Roman"/>
                <w:b/>
              </w:rPr>
            </w:pPr>
            <w:r w:rsidRPr="00B8707B">
              <w:rPr>
                <w:rFonts w:ascii="Times New Roman" w:hAnsi="Times New Roman"/>
                <w:b/>
              </w:rPr>
              <w:t>Competency Domain / Organizational Structures and Processes</w:t>
            </w:r>
          </w:p>
        </w:tc>
        <w:tc>
          <w:tcPr>
            <w:tcW w:w="4140" w:type="dxa"/>
            <w:shd w:val="clear" w:color="auto" w:fill="auto"/>
          </w:tcPr>
          <w:p w:rsidR="003B238E" w:rsidRPr="00B8707B" w:rsidRDefault="003B238E" w:rsidP="009E67AC">
            <w:pPr>
              <w:rPr>
                <w:rFonts w:ascii="Times New Roman" w:hAnsi="Times New Roman"/>
                <w:b/>
              </w:rPr>
            </w:pPr>
            <w:r w:rsidRPr="00B8707B">
              <w:rPr>
                <w:rFonts w:ascii="Times New Roman" w:hAnsi="Times New Roman"/>
                <w:b/>
              </w:rPr>
              <w:t>Example interventions and strategies for addressing organizational factors</w:t>
            </w:r>
          </w:p>
        </w:tc>
        <w:tc>
          <w:tcPr>
            <w:tcW w:w="6840" w:type="dxa"/>
            <w:shd w:val="clear" w:color="auto" w:fill="auto"/>
          </w:tcPr>
          <w:p w:rsidR="003B238E" w:rsidRPr="00B8707B" w:rsidRDefault="003B238E" w:rsidP="009E67AC">
            <w:pPr>
              <w:rPr>
                <w:rFonts w:ascii="Times New Roman" w:hAnsi="Times New Roman"/>
                <w:b/>
              </w:rPr>
            </w:pPr>
            <w:r w:rsidRPr="00B8707B">
              <w:rPr>
                <w:rFonts w:ascii="Times New Roman" w:hAnsi="Times New Roman"/>
                <w:b/>
              </w:rPr>
              <w:t xml:space="preserve">Scenario events / conditions providing opportunities to </w:t>
            </w:r>
            <w:r>
              <w:rPr>
                <w:rFonts w:ascii="Times New Roman" w:hAnsi="Times New Roman"/>
                <w:b/>
              </w:rPr>
              <w:t xml:space="preserve">practice and </w:t>
            </w:r>
            <w:r w:rsidRPr="00B8707B">
              <w:rPr>
                <w:rFonts w:ascii="Times New Roman" w:hAnsi="Times New Roman"/>
                <w:b/>
              </w:rPr>
              <w:t>learn</w:t>
            </w:r>
            <w:r>
              <w:rPr>
                <w:rFonts w:ascii="Times New Roman" w:hAnsi="Times New Roman"/>
                <w:b/>
              </w:rPr>
              <w:t xml:space="preserve"> leadership behaviors and strategies</w:t>
            </w:r>
          </w:p>
        </w:tc>
      </w:tr>
      <w:tr w:rsidR="003B238E" w:rsidRPr="00B8707B" w:rsidTr="009E67AC">
        <w:trPr>
          <w:trHeight w:val="2767"/>
        </w:trPr>
        <w:tc>
          <w:tcPr>
            <w:tcW w:w="3708" w:type="dxa"/>
            <w:shd w:val="clear" w:color="auto" w:fill="auto"/>
          </w:tcPr>
          <w:p w:rsidR="003B238E" w:rsidRPr="00B8707B" w:rsidRDefault="003B238E" w:rsidP="009E67AC">
            <w:pPr>
              <w:rPr>
                <w:rFonts w:ascii="Times New Roman" w:hAnsi="Times New Roman"/>
              </w:rPr>
            </w:pPr>
            <w:r w:rsidRPr="00B8707B">
              <w:rPr>
                <w:rFonts w:ascii="Times New Roman" w:hAnsi="Times New Roman"/>
                <w:b/>
              </w:rPr>
              <w:t>Governance Priority</w:t>
            </w:r>
            <w:r w:rsidRPr="00B8707B">
              <w:rPr>
                <w:rFonts w:ascii="Times New Roman" w:hAnsi="Times New Roman"/>
              </w:rPr>
              <w:t>: The ‘visible and determined leadership by CEO and Board’. CEOs and board members steadfastly engage with front-line staff, management, and other organizational leaders to evaluate performance and explore opportunities for improvement which constitute the key ingredient to achieving high-value care.</w:t>
            </w:r>
          </w:p>
        </w:tc>
        <w:tc>
          <w:tcPr>
            <w:tcW w:w="4140" w:type="dxa"/>
            <w:shd w:val="clear" w:color="auto" w:fill="auto"/>
          </w:tcPr>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 xml:space="preserve">Executive Leadership </w:t>
            </w:r>
            <w:r>
              <w:rPr>
                <w:rFonts w:ascii="Times New Roman" w:hAnsi="Times New Roman"/>
              </w:rPr>
              <w:t>Rounding</w:t>
            </w:r>
            <w:r w:rsidRPr="004E760A">
              <w:rPr>
                <w:rFonts w:ascii="Times New Roman" w:hAnsi="Times New Roman"/>
                <w:vertAlign w:val="superscript"/>
              </w:rPr>
              <w:t>1,2,3</w:t>
            </w:r>
          </w:p>
          <w:p w:rsidR="003B238E" w:rsidRPr="004E760A" w:rsidRDefault="003B238E" w:rsidP="003B238E">
            <w:pPr>
              <w:numPr>
                <w:ilvl w:val="0"/>
                <w:numId w:val="1"/>
              </w:numPr>
              <w:spacing w:after="200" w:line="276" w:lineRule="auto"/>
              <w:contextualSpacing/>
              <w:rPr>
                <w:rFonts w:ascii="Times New Roman" w:eastAsia="Times New Roman" w:hAnsi="Times New Roman"/>
                <w:color w:val="000000"/>
              </w:rPr>
            </w:pPr>
            <w:r w:rsidRPr="00B8707B">
              <w:rPr>
                <w:rFonts w:ascii="Times New Roman" w:hAnsi="Times New Roman"/>
              </w:rPr>
              <w:t>Executive Leader ‘adopt a unit’</w:t>
            </w:r>
            <w:r w:rsidRPr="004E760A">
              <w:rPr>
                <w:rFonts w:ascii="Times New Roman" w:hAnsi="Times New Roman"/>
                <w:vertAlign w:val="superscript"/>
              </w:rPr>
              <w:t>4</w:t>
            </w:r>
          </w:p>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Pr>
                <w:rFonts w:ascii="Times New Roman" w:hAnsi="Times New Roman"/>
              </w:rPr>
              <w:t xml:space="preserve">Organizational </w:t>
            </w:r>
            <w:r w:rsidRPr="00B8707B">
              <w:rPr>
                <w:rFonts w:ascii="Times New Roman" w:hAnsi="Times New Roman"/>
              </w:rPr>
              <w:t>Safety Briefings</w:t>
            </w:r>
            <w:r>
              <w:rPr>
                <w:rFonts w:ascii="Times New Roman" w:hAnsi="Times New Roman"/>
              </w:rPr>
              <w:t xml:space="preserve"> / Huddles</w:t>
            </w:r>
            <w:r w:rsidRPr="004E760A">
              <w:rPr>
                <w:rFonts w:ascii="Times New Roman" w:hAnsi="Times New Roman"/>
                <w:vertAlign w:val="superscript"/>
              </w:rPr>
              <w:t>5</w:t>
            </w:r>
          </w:p>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sidRPr="00B8707B">
              <w:rPr>
                <w:rFonts w:ascii="Times New Roman" w:hAnsi="Times New Roman"/>
              </w:rPr>
              <w:t>Patient Safety Strategic Plan</w:t>
            </w:r>
            <w:r w:rsidRPr="004E760A">
              <w:rPr>
                <w:rFonts w:ascii="Times New Roman" w:hAnsi="Times New Roman"/>
                <w:vertAlign w:val="superscript"/>
              </w:rPr>
              <w:t>6</w:t>
            </w:r>
          </w:p>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sidRPr="00B8707B">
              <w:rPr>
                <w:rFonts w:ascii="Times New Roman" w:hAnsi="Times New Roman"/>
              </w:rPr>
              <w:t>Leadership Styles</w:t>
            </w:r>
            <w:r w:rsidRPr="0021203F">
              <w:rPr>
                <w:rFonts w:ascii="Times New Roman" w:hAnsi="Times New Roman"/>
                <w:vertAlign w:val="superscript"/>
              </w:rPr>
              <w:t>6,</w:t>
            </w:r>
            <w:r w:rsidRPr="004E760A">
              <w:rPr>
                <w:rFonts w:ascii="Times New Roman" w:hAnsi="Times New Roman"/>
                <w:vertAlign w:val="superscript"/>
              </w:rPr>
              <w:t>7</w:t>
            </w:r>
          </w:p>
          <w:p w:rsidR="003B238E" w:rsidRPr="00B8707B" w:rsidRDefault="003B238E" w:rsidP="009E67AC">
            <w:pPr>
              <w:rPr>
                <w:rFonts w:ascii="Times New Roman" w:eastAsia="Times New Roman" w:hAnsi="Times New Roman"/>
                <w:color w:val="000000"/>
              </w:rPr>
            </w:pPr>
          </w:p>
        </w:tc>
        <w:tc>
          <w:tcPr>
            <w:tcW w:w="6840" w:type="dxa"/>
            <w:shd w:val="clear" w:color="auto" w:fill="auto"/>
          </w:tcPr>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The hospital has n</w:t>
            </w:r>
            <w:r w:rsidRPr="00B8707B">
              <w:rPr>
                <w:rFonts w:ascii="Times New Roman" w:eastAsia="Times New Roman" w:hAnsi="Times New Roman"/>
                <w:color w:val="000000"/>
              </w:rPr>
              <w:t>o efficient goal setting and goal communication structures</w:t>
            </w:r>
            <w:r>
              <w:rPr>
                <w:rFonts w:ascii="Times New Roman" w:eastAsia="Times New Roman" w:hAnsi="Times New Roman"/>
                <w:color w:val="000000"/>
              </w:rPr>
              <w:t xml:space="preserve"> in place</w:t>
            </w:r>
            <w:r w:rsidRPr="00B8707B">
              <w:rPr>
                <w:rFonts w:ascii="Times New Roman" w:eastAsia="Times New Roman" w:hAnsi="Times New Roman"/>
                <w:color w:val="000000"/>
              </w:rPr>
              <w:t xml:space="preserve">. </w:t>
            </w:r>
          </w:p>
          <w:p w:rsidR="003B238E" w:rsidRDefault="003B238E" w:rsidP="003B238E">
            <w:pPr>
              <w:numPr>
                <w:ilvl w:val="0"/>
                <w:numId w:val="1"/>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 xml:space="preserve">General organizational goals </w:t>
            </w:r>
            <w:r>
              <w:rPr>
                <w:rFonts w:ascii="Times New Roman" w:eastAsia="Times New Roman" w:hAnsi="Times New Roman"/>
                <w:color w:val="000000"/>
              </w:rPr>
              <w:t xml:space="preserve">are set, but focus primarily on financial measures and </w:t>
            </w:r>
            <w:r w:rsidRPr="00B8707B">
              <w:rPr>
                <w:rFonts w:ascii="Times New Roman" w:eastAsia="Times New Roman" w:hAnsi="Times New Roman"/>
                <w:color w:val="000000"/>
              </w:rPr>
              <w:t>do not directly address safety</w:t>
            </w:r>
            <w:r>
              <w:rPr>
                <w:rFonts w:ascii="Times New Roman" w:eastAsia="Times New Roman" w:hAnsi="Times New Roman"/>
                <w:color w:val="000000"/>
              </w:rPr>
              <w:t xml:space="preserve">. </w:t>
            </w:r>
          </w:p>
          <w:p w:rsidR="003B238E" w:rsidRDefault="003B238E" w:rsidP="003B238E">
            <w:pPr>
              <w:numPr>
                <w:ilvl w:val="0"/>
                <w:numId w:val="1"/>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 xml:space="preserve">Leaders repeatedly express the attitude that they are in an organization in crisis by saying that they are </w:t>
            </w:r>
            <w:r w:rsidRPr="00B8707B">
              <w:rPr>
                <w:rFonts w:ascii="Times New Roman" w:eastAsia="Times New Roman" w:hAnsi="Times New Roman"/>
                <w:color w:val="000000"/>
              </w:rPr>
              <w:t xml:space="preserve">‘just </w:t>
            </w:r>
            <w:r>
              <w:rPr>
                <w:rFonts w:ascii="Times New Roman" w:eastAsia="Times New Roman" w:hAnsi="Times New Roman"/>
                <w:color w:val="000000"/>
              </w:rPr>
              <w:t xml:space="preserve">trying to keep the doors open.’ </w:t>
            </w:r>
          </w:p>
          <w:p w:rsidR="003B238E" w:rsidRPr="00B8707B" w:rsidRDefault="003B238E" w:rsidP="003B238E">
            <w:pPr>
              <w:numPr>
                <w:ilvl w:val="0"/>
                <w:numId w:val="1"/>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Leaders provide</w:t>
            </w:r>
            <w:r w:rsidRPr="00B8707B">
              <w:rPr>
                <w:rFonts w:ascii="Times New Roman" w:eastAsia="Times New Roman" w:hAnsi="Times New Roman"/>
                <w:color w:val="000000"/>
              </w:rPr>
              <w:t xml:space="preserve"> no specific </w:t>
            </w:r>
            <w:r>
              <w:rPr>
                <w:rFonts w:ascii="Times New Roman" w:eastAsia="Times New Roman" w:hAnsi="Times New Roman"/>
                <w:color w:val="000000"/>
              </w:rPr>
              <w:t>goals or actionable guidance related to safety or quality to people a</w:t>
            </w:r>
            <w:r w:rsidRPr="00B8707B">
              <w:rPr>
                <w:rFonts w:ascii="Times New Roman" w:eastAsia="Times New Roman" w:hAnsi="Times New Roman"/>
                <w:color w:val="000000"/>
              </w:rPr>
              <w:t>cross levels of the organization.</w:t>
            </w:r>
          </w:p>
        </w:tc>
      </w:tr>
      <w:tr w:rsidR="003B238E" w:rsidRPr="00B8707B" w:rsidTr="009E67AC">
        <w:trPr>
          <w:trHeight w:val="953"/>
        </w:trPr>
        <w:tc>
          <w:tcPr>
            <w:tcW w:w="3708" w:type="dxa"/>
            <w:shd w:val="clear" w:color="auto" w:fill="auto"/>
          </w:tcPr>
          <w:p w:rsidR="003B238E" w:rsidRPr="00B8707B" w:rsidRDefault="003B238E" w:rsidP="009E67AC">
            <w:pPr>
              <w:rPr>
                <w:rFonts w:ascii="Times New Roman" w:eastAsia="Times New Roman" w:hAnsi="Times New Roman"/>
                <w:color w:val="000000"/>
              </w:rPr>
            </w:pPr>
            <w:r w:rsidRPr="00B8707B">
              <w:rPr>
                <w:rFonts w:ascii="Times New Roman" w:eastAsia="Times New Roman" w:hAnsi="Times New Roman"/>
                <w:b/>
                <w:color w:val="000000"/>
              </w:rPr>
              <w:t>Culture of Continuous Improvement</w:t>
            </w:r>
            <w:r w:rsidRPr="00B8707B">
              <w:rPr>
                <w:rFonts w:ascii="Times New Roman" w:eastAsia="Times New Roman" w:hAnsi="Times New Roman"/>
                <w:color w:val="000000"/>
              </w:rPr>
              <w:t xml:space="preserve">: CEOs and Boards’ </w:t>
            </w:r>
            <w:r w:rsidRPr="00B8707B">
              <w:rPr>
                <w:rFonts w:ascii="Times New Roman" w:hAnsi="Times New Roman"/>
              </w:rPr>
              <w:t>commitment to ongoing real-time learning.</w:t>
            </w:r>
          </w:p>
        </w:tc>
        <w:tc>
          <w:tcPr>
            <w:tcW w:w="4140" w:type="dxa"/>
            <w:shd w:val="clear" w:color="auto" w:fill="auto"/>
          </w:tcPr>
          <w:p w:rsidR="003B238E" w:rsidRDefault="003B238E" w:rsidP="003B238E">
            <w:pPr>
              <w:numPr>
                <w:ilvl w:val="0"/>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Local, unit-based improvement teams</w:t>
            </w:r>
          </w:p>
          <w:p w:rsidR="003B238E" w:rsidRDefault="003B238E" w:rsidP="003B238E">
            <w:pPr>
              <w:numPr>
                <w:ilvl w:val="1"/>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Comprehensive Unit-based Safety Program (CUSP)</w:t>
            </w:r>
            <w:r w:rsidRPr="0021203F">
              <w:rPr>
                <w:rFonts w:ascii="Times New Roman" w:eastAsia="Times New Roman" w:hAnsi="Times New Roman"/>
                <w:color w:val="000000"/>
                <w:vertAlign w:val="superscript"/>
              </w:rPr>
              <w:t>8</w:t>
            </w:r>
          </w:p>
          <w:p w:rsidR="003B238E" w:rsidRPr="00B8707B" w:rsidRDefault="003B238E" w:rsidP="003B238E">
            <w:pPr>
              <w:numPr>
                <w:ilvl w:val="1"/>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 xml:space="preserve">Rapid Adoption </w:t>
            </w:r>
            <w:r>
              <w:rPr>
                <w:rFonts w:ascii="Times New Roman" w:eastAsia="Times New Roman" w:hAnsi="Times New Roman"/>
                <w:color w:val="000000"/>
              </w:rPr>
              <w:t>Network (RAN)</w:t>
            </w:r>
            <w:r w:rsidRPr="0021203F">
              <w:rPr>
                <w:rFonts w:ascii="Times New Roman" w:eastAsia="Times New Roman" w:hAnsi="Times New Roman"/>
                <w:color w:val="000000"/>
                <w:vertAlign w:val="superscript"/>
              </w:rPr>
              <w:t>9</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Lean Six Sigma and related process improvement methodologies</w:t>
            </w:r>
            <w:r w:rsidRPr="0021203F">
              <w:rPr>
                <w:rFonts w:ascii="Times New Roman" w:eastAsia="Times New Roman" w:hAnsi="Times New Roman"/>
                <w:color w:val="000000"/>
                <w:vertAlign w:val="superscript"/>
              </w:rPr>
              <w:t>10</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Board Engagement</w:t>
            </w:r>
            <w:r w:rsidRPr="0021203F">
              <w:rPr>
                <w:rFonts w:ascii="Times New Roman" w:eastAsia="Times New Roman" w:hAnsi="Times New Roman"/>
                <w:color w:val="000000"/>
                <w:vertAlign w:val="superscript"/>
              </w:rPr>
              <w:t>11</w:t>
            </w:r>
            <w:r>
              <w:rPr>
                <w:rFonts w:ascii="Times New Roman" w:eastAsia="Times New Roman" w:hAnsi="Times New Roman"/>
                <w:color w:val="000000"/>
                <w:vertAlign w:val="superscript"/>
              </w:rPr>
              <w:t>,12</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Teamwork Training</w:t>
            </w:r>
            <w:r w:rsidRPr="0021203F">
              <w:rPr>
                <w:rFonts w:ascii="Times New Roman" w:eastAsia="Times New Roman" w:hAnsi="Times New Roman"/>
                <w:color w:val="000000"/>
                <w:vertAlign w:val="superscript"/>
              </w:rPr>
              <w:t>1</w:t>
            </w:r>
            <w:r>
              <w:rPr>
                <w:rFonts w:ascii="Times New Roman" w:eastAsia="Times New Roman" w:hAnsi="Times New Roman"/>
                <w:color w:val="000000"/>
                <w:vertAlign w:val="superscript"/>
              </w:rPr>
              <w:t>3</w:t>
            </w:r>
          </w:p>
        </w:tc>
        <w:tc>
          <w:tcPr>
            <w:tcW w:w="6840" w:type="dxa"/>
            <w:shd w:val="clear" w:color="auto" w:fill="auto"/>
          </w:tcPr>
          <w:p w:rsidR="003B238E" w:rsidRPr="00B8707B" w:rsidRDefault="003B238E" w:rsidP="009E67AC">
            <w:pPr>
              <w:rPr>
                <w:rFonts w:ascii="Times New Roman" w:eastAsia="Times New Roman" w:hAnsi="Times New Roman"/>
                <w:b/>
                <w:color w:val="000000"/>
              </w:rPr>
            </w:pPr>
            <w:r>
              <w:rPr>
                <w:rFonts w:ascii="Times New Roman" w:eastAsia="Times New Roman" w:hAnsi="Times New Roman"/>
                <w:b/>
                <w:color w:val="000000"/>
              </w:rPr>
              <w:t>What happens w</w:t>
            </w:r>
            <w:r w:rsidRPr="00B8707B">
              <w:rPr>
                <w:rFonts w:ascii="Times New Roman" w:eastAsia="Times New Roman" w:hAnsi="Times New Roman"/>
                <w:b/>
                <w:color w:val="000000"/>
              </w:rPr>
              <w:t xml:space="preserve">hen Goals are </w:t>
            </w:r>
            <w:r w:rsidRPr="00B8707B">
              <w:rPr>
                <w:rFonts w:ascii="Times New Roman" w:eastAsia="Times New Roman" w:hAnsi="Times New Roman"/>
                <w:b/>
                <w:color w:val="000000"/>
                <w:u w:val="single"/>
              </w:rPr>
              <w:t>not</w:t>
            </w:r>
            <w:r w:rsidRPr="00B8707B">
              <w:rPr>
                <w:rFonts w:ascii="Times New Roman" w:eastAsia="Times New Roman" w:hAnsi="Times New Roman"/>
                <w:b/>
                <w:color w:val="000000"/>
              </w:rPr>
              <w:t xml:space="preserve"> met</w:t>
            </w:r>
          </w:p>
          <w:p w:rsidR="003B238E" w:rsidRDefault="003B238E" w:rsidP="003B238E">
            <w:pPr>
              <w:numPr>
                <w:ilvl w:val="0"/>
                <w:numId w:val="2"/>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When the organization fails to meet a goal, n</w:t>
            </w:r>
            <w:r w:rsidRPr="00B8707B">
              <w:rPr>
                <w:rFonts w:ascii="Times New Roman" w:eastAsia="Times New Roman" w:hAnsi="Times New Roman"/>
                <w:color w:val="000000"/>
              </w:rPr>
              <w:t xml:space="preserve">o information </w:t>
            </w:r>
            <w:r>
              <w:rPr>
                <w:rFonts w:ascii="Times New Roman" w:eastAsia="Times New Roman" w:hAnsi="Times New Roman"/>
                <w:color w:val="000000"/>
              </w:rPr>
              <w:t xml:space="preserve">is provided to </w:t>
            </w:r>
            <w:r w:rsidRPr="00B8707B">
              <w:rPr>
                <w:rFonts w:ascii="Times New Roman" w:eastAsia="Times New Roman" w:hAnsi="Times New Roman"/>
                <w:color w:val="000000"/>
              </w:rPr>
              <w:t>frontline staff</w:t>
            </w:r>
            <w:r>
              <w:rPr>
                <w:rFonts w:ascii="Times New Roman" w:eastAsia="Times New Roman" w:hAnsi="Times New Roman"/>
                <w:color w:val="000000"/>
              </w:rPr>
              <w:t xml:space="preserve"> about why. </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 xml:space="preserve">Frontline staff </w:t>
            </w:r>
            <w:r w:rsidRPr="00B8707B">
              <w:rPr>
                <w:rFonts w:ascii="Times New Roman" w:eastAsia="Times New Roman" w:hAnsi="Times New Roman"/>
                <w:color w:val="000000"/>
              </w:rPr>
              <w:t xml:space="preserve">just </w:t>
            </w:r>
            <w:r>
              <w:rPr>
                <w:rFonts w:ascii="Times New Roman" w:eastAsia="Times New Roman" w:hAnsi="Times New Roman"/>
                <w:color w:val="000000"/>
              </w:rPr>
              <w:t xml:space="preserve">receives </w:t>
            </w:r>
            <w:r w:rsidRPr="00B8707B">
              <w:rPr>
                <w:rFonts w:ascii="Times New Roman" w:eastAsia="Times New Roman" w:hAnsi="Times New Roman"/>
                <w:color w:val="000000"/>
              </w:rPr>
              <w:t>consequences</w:t>
            </w:r>
            <w:r>
              <w:rPr>
                <w:rFonts w:ascii="Times New Roman" w:eastAsia="Times New Roman" w:hAnsi="Times New Roman"/>
                <w:color w:val="000000"/>
              </w:rPr>
              <w:t xml:space="preserve"> from failure to meet goals</w:t>
            </w:r>
            <w:r w:rsidRPr="00B8707B">
              <w:rPr>
                <w:rFonts w:ascii="Times New Roman" w:eastAsia="Times New Roman" w:hAnsi="Times New Roman"/>
                <w:color w:val="000000"/>
              </w:rPr>
              <w:t>, which are punitive in nature, resulting in low morale and high turnover.</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Leaders have established a b</w:t>
            </w:r>
            <w:r w:rsidRPr="00B8707B">
              <w:rPr>
                <w:rFonts w:ascii="Times New Roman" w:eastAsia="Times New Roman" w:hAnsi="Times New Roman"/>
                <w:color w:val="000000"/>
              </w:rPr>
              <w:t>lame culture</w:t>
            </w:r>
            <w:r>
              <w:rPr>
                <w:rFonts w:ascii="Times New Roman" w:eastAsia="Times New Roman" w:hAnsi="Times New Roman"/>
                <w:color w:val="000000"/>
              </w:rPr>
              <w:t xml:space="preserve"> by repeatedly being p</w:t>
            </w:r>
            <w:r w:rsidRPr="00B8707B">
              <w:rPr>
                <w:rFonts w:ascii="Times New Roman" w:eastAsia="Times New Roman" w:hAnsi="Times New Roman"/>
                <w:color w:val="000000"/>
              </w:rPr>
              <w:t xml:space="preserve">erson focused rather than system focused </w:t>
            </w:r>
            <w:r>
              <w:rPr>
                <w:rFonts w:ascii="Times New Roman" w:eastAsia="Times New Roman" w:hAnsi="Times New Roman"/>
                <w:color w:val="000000"/>
              </w:rPr>
              <w:t xml:space="preserve">in </w:t>
            </w:r>
            <w:r w:rsidRPr="00B8707B">
              <w:rPr>
                <w:rFonts w:ascii="Times New Roman" w:eastAsia="Times New Roman" w:hAnsi="Times New Roman"/>
                <w:color w:val="000000"/>
              </w:rPr>
              <w:t>addressing errors</w:t>
            </w:r>
            <w:r>
              <w:rPr>
                <w:rFonts w:ascii="Times New Roman" w:eastAsia="Times New Roman" w:hAnsi="Times New Roman"/>
                <w:color w:val="000000"/>
              </w:rPr>
              <w:t>.</w:t>
            </w:r>
          </w:p>
          <w:p w:rsidR="003B238E" w:rsidRPr="00B8707B" w:rsidRDefault="003B238E" w:rsidP="003B238E">
            <w:pPr>
              <w:numPr>
                <w:ilvl w:val="0"/>
                <w:numId w:val="2"/>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 xml:space="preserve">Leaders do not engage staff at unit and frontline levels in an </w:t>
            </w:r>
            <w:r w:rsidRPr="00B8707B">
              <w:rPr>
                <w:rFonts w:ascii="Times New Roman" w:eastAsia="Times New Roman" w:hAnsi="Times New Roman"/>
                <w:color w:val="000000"/>
              </w:rPr>
              <w:t>exploration of what prevented organizational goals being met</w:t>
            </w:r>
            <w:r>
              <w:rPr>
                <w:rFonts w:ascii="Times New Roman" w:eastAsia="Times New Roman" w:hAnsi="Times New Roman"/>
                <w:color w:val="000000"/>
              </w:rPr>
              <w:t>.</w:t>
            </w:r>
          </w:p>
          <w:p w:rsidR="003B238E" w:rsidRPr="00B8707B" w:rsidRDefault="003B238E" w:rsidP="009E67AC">
            <w:pPr>
              <w:rPr>
                <w:rFonts w:ascii="Times New Roman" w:eastAsia="Times New Roman" w:hAnsi="Times New Roman"/>
                <w:b/>
                <w:color w:val="000000"/>
              </w:rPr>
            </w:pPr>
            <w:r w:rsidRPr="00B8707B">
              <w:rPr>
                <w:rFonts w:ascii="Times New Roman" w:eastAsia="Times New Roman" w:hAnsi="Times New Roman"/>
                <w:b/>
                <w:color w:val="000000"/>
              </w:rPr>
              <w:t>When Goals are met</w:t>
            </w:r>
          </w:p>
          <w:p w:rsidR="003B238E" w:rsidRPr="00B8707B" w:rsidRDefault="003B238E" w:rsidP="003B238E">
            <w:pPr>
              <w:numPr>
                <w:ilvl w:val="0"/>
                <w:numId w:val="4"/>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When the organization does meet it’s financial goals leadership engages in r</w:t>
            </w:r>
            <w:r w:rsidRPr="00B8707B">
              <w:rPr>
                <w:rFonts w:ascii="Times New Roman" w:eastAsia="Times New Roman" w:hAnsi="Times New Roman"/>
                <w:color w:val="000000"/>
              </w:rPr>
              <w:t xml:space="preserve">einforcement of status quo </w:t>
            </w:r>
            <w:r>
              <w:rPr>
                <w:rFonts w:ascii="Times New Roman" w:eastAsia="Times New Roman" w:hAnsi="Times New Roman"/>
                <w:color w:val="000000"/>
              </w:rPr>
              <w:t xml:space="preserve">at higher levels of the organization through retreats and bonuses for upper level leaders. </w:t>
            </w:r>
          </w:p>
          <w:p w:rsidR="003B238E" w:rsidRPr="00B8707B" w:rsidRDefault="003B238E" w:rsidP="003B238E">
            <w:pPr>
              <w:numPr>
                <w:ilvl w:val="0"/>
                <w:numId w:val="4"/>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There are n</w:t>
            </w:r>
            <w:r w:rsidRPr="00B8707B">
              <w:rPr>
                <w:rFonts w:ascii="Times New Roman" w:eastAsia="Times New Roman" w:hAnsi="Times New Roman"/>
                <w:color w:val="000000"/>
              </w:rPr>
              <w:t xml:space="preserve">o formal reward, recognition, or incentive systems in </w:t>
            </w:r>
            <w:r w:rsidRPr="00B8707B">
              <w:rPr>
                <w:rFonts w:ascii="Times New Roman" w:eastAsia="Times New Roman" w:hAnsi="Times New Roman"/>
                <w:color w:val="000000"/>
              </w:rPr>
              <w:lastRenderedPageBreak/>
              <w:t>place that bridge all levels of the organization.</w:t>
            </w:r>
          </w:p>
          <w:p w:rsidR="003B238E" w:rsidRPr="00B8707B" w:rsidRDefault="003B238E" w:rsidP="003B238E">
            <w:pPr>
              <w:numPr>
                <w:ilvl w:val="0"/>
                <w:numId w:val="4"/>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 xml:space="preserve">When a goal is met, leaders do not engage in </w:t>
            </w:r>
            <w:r w:rsidRPr="00B8707B">
              <w:rPr>
                <w:rFonts w:ascii="Times New Roman" w:eastAsia="Times New Roman" w:hAnsi="Times New Roman"/>
                <w:color w:val="000000"/>
              </w:rPr>
              <w:t>exploration o</w:t>
            </w:r>
            <w:r>
              <w:rPr>
                <w:rFonts w:ascii="Times New Roman" w:eastAsia="Times New Roman" w:hAnsi="Times New Roman"/>
                <w:color w:val="000000"/>
              </w:rPr>
              <w:t>f</w:t>
            </w:r>
            <w:r w:rsidRPr="00B8707B">
              <w:rPr>
                <w:rFonts w:ascii="Times New Roman" w:eastAsia="Times New Roman" w:hAnsi="Times New Roman"/>
                <w:color w:val="000000"/>
              </w:rPr>
              <w:t xml:space="preserve"> how to improve or maintain success</w:t>
            </w:r>
            <w:r>
              <w:rPr>
                <w:rFonts w:ascii="Times New Roman" w:eastAsia="Times New Roman" w:hAnsi="Times New Roman"/>
                <w:color w:val="000000"/>
              </w:rPr>
              <w:t>.</w:t>
            </w:r>
            <w:r w:rsidRPr="00B8707B">
              <w:rPr>
                <w:rFonts w:ascii="Times New Roman" w:eastAsia="Times New Roman" w:hAnsi="Times New Roman"/>
                <w:color w:val="000000"/>
              </w:rPr>
              <w:t xml:space="preserve"> </w:t>
            </w:r>
          </w:p>
        </w:tc>
      </w:tr>
      <w:tr w:rsidR="003B238E" w:rsidRPr="00B8707B" w:rsidTr="009E67AC">
        <w:trPr>
          <w:trHeight w:val="3262"/>
        </w:trPr>
        <w:tc>
          <w:tcPr>
            <w:tcW w:w="3708" w:type="dxa"/>
            <w:shd w:val="clear" w:color="auto" w:fill="auto"/>
          </w:tcPr>
          <w:p w:rsidR="003B238E" w:rsidRPr="00B8707B" w:rsidRDefault="003B238E" w:rsidP="009E67AC">
            <w:pPr>
              <w:rPr>
                <w:rFonts w:ascii="Times New Roman" w:eastAsia="Times New Roman" w:hAnsi="Times New Roman"/>
                <w:b/>
                <w:color w:val="000000"/>
              </w:rPr>
            </w:pPr>
            <w:r w:rsidRPr="00B8707B">
              <w:rPr>
                <w:rFonts w:ascii="Times New Roman" w:eastAsia="Times New Roman" w:hAnsi="Times New Roman"/>
                <w:b/>
                <w:color w:val="000000"/>
              </w:rPr>
              <w:lastRenderedPageBreak/>
              <w:t xml:space="preserve">Internal Transparency and Feedback: </w:t>
            </w:r>
            <w:r w:rsidRPr="00B8707B">
              <w:rPr>
                <w:rFonts w:ascii="Times New Roman" w:eastAsia="Times New Roman" w:hAnsi="Times New Roman"/>
              </w:rPr>
              <w:t>Internal transparency</w:t>
            </w:r>
            <w:r w:rsidRPr="00B8707B">
              <w:rPr>
                <w:rFonts w:ascii="Times New Roman" w:eastAsia="Times New Roman" w:hAnsi="Times New Roman"/>
                <w:b/>
              </w:rPr>
              <w:t xml:space="preserve"> </w:t>
            </w:r>
            <w:r w:rsidRPr="00B8707B">
              <w:rPr>
                <w:rFonts w:ascii="Times New Roman" w:eastAsia="Times New Roman" w:hAnsi="Times New Roman"/>
              </w:rPr>
              <w:t>is visible progress in performance, outcomes, and cost. It increases provider awareness of variations in practice, and their performance against internal and external benchmarks, thereby helping to guide providers’ behavior toward improved value.</w:t>
            </w:r>
          </w:p>
        </w:tc>
        <w:tc>
          <w:tcPr>
            <w:tcW w:w="4140" w:type="dxa"/>
            <w:shd w:val="clear" w:color="auto" w:fill="auto"/>
          </w:tcPr>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Web-based business intelligence tools</w:t>
            </w:r>
            <w:r w:rsidRPr="0026355C">
              <w:rPr>
                <w:rFonts w:ascii="Times New Roman" w:eastAsia="Times New Roman" w:hAnsi="Times New Roman"/>
                <w:color w:val="000000"/>
                <w:vertAlign w:val="superscript"/>
              </w:rPr>
              <w:t>14</w:t>
            </w:r>
          </w:p>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sidRPr="00B8707B">
              <w:rPr>
                <w:rFonts w:ascii="Times New Roman" w:eastAsia="Times New Roman" w:hAnsi="Times New Roman"/>
                <w:color w:val="000000"/>
              </w:rPr>
              <w:t>Error reporting and near-miss reporting</w:t>
            </w:r>
            <w:r w:rsidRPr="0026355C">
              <w:rPr>
                <w:rFonts w:ascii="Times New Roman" w:eastAsia="Times New Roman" w:hAnsi="Times New Roman"/>
                <w:color w:val="000000"/>
                <w:vertAlign w:val="superscript"/>
              </w:rPr>
              <w:t>15</w:t>
            </w:r>
          </w:p>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Data dashboards and s</w:t>
            </w:r>
            <w:r w:rsidRPr="00B8707B">
              <w:rPr>
                <w:rFonts w:ascii="Times New Roman" w:eastAsia="Times New Roman" w:hAnsi="Times New Roman"/>
                <w:color w:val="000000"/>
              </w:rPr>
              <w:t>core cards</w:t>
            </w:r>
            <w:r w:rsidRPr="0026355C">
              <w:rPr>
                <w:rFonts w:ascii="Times New Roman" w:eastAsia="Times New Roman" w:hAnsi="Times New Roman"/>
                <w:color w:val="000000"/>
                <w:vertAlign w:val="superscript"/>
              </w:rPr>
              <w:t>16</w:t>
            </w:r>
          </w:p>
        </w:tc>
        <w:tc>
          <w:tcPr>
            <w:tcW w:w="6840" w:type="dxa"/>
            <w:shd w:val="clear" w:color="auto" w:fill="auto"/>
          </w:tcPr>
          <w:p w:rsidR="003B238E" w:rsidRDefault="003B238E" w:rsidP="003B238E">
            <w:pPr>
              <w:numPr>
                <w:ilvl w:val="0"/>
                <w:numId w:val="3"/>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 xml:space="preserve">The organization does not have </w:t>
            </w:r>
            <w:r w:rsidRPr="00B8707B">
              <w:rPr>
                <w:rFonts w:ascii="Times New Roman" w:eastAsia="Times New Roman" w:hAnsi="Times New Roman"/>
                <w:color w:val="000000"/>
              </w:rPr>
              <w:t>proactive data collection</w:t>
            </w:r>
            <w:r>
              <w:rPr>
                <w:rFonts w:ascii="Times New Roman" w:eastAsia="Times New Roman" w:hAnsi="Times New Roman"/>
                <w:color w:val="000000"/>
              </w:rPr>
              <w:t xml:space="preserve"> processes in place for monitoring safety and quality beyond meeting required reporting. </w:t>
            </w:r>
          </w:p>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Safety and quality d</w:t>
            </w:r>
            <w:r w:rsidRPr="00B8707B">
              <w:rPr>
                <w:rFonts w:ascii="Times New Roman" w:eastAsia="Times New Roman" w:hAnsi="Times New Roman"/>
                <w:color w:val="000000"/>
              </w:rPr>
              <w:t xml:space="preserve">ata </w:t>
            </w:r>
            <w:r>
              <w:rPr>
                <w:rFonts w:ascii="Times New Roman" w:eastAsia="Times New Roman" w:hAnsi="Times New Roman"/>
                <w:color w:val="000000"/>
              </w:rPr>
              <w:t xml:space="preserve">is </w:t>
            </w:r>
            <w:r w:rsidRPr="00B8707B">
              <w:rPr>
                <w:rFonts w:ascii="Times New Roman" w:eastAsia="Times New Roman" w:hAnsi="Times New Roman"/>
                <w:color w:val="000000"/>
              </w:rPr>
              <w:t>collected passively thr</w:t>
            </w:r>
            <w:r>
              <w:rPr>
                <w:rFonts w:ascii="Times New Roman" w:eastAsia="Times New Roman" w:hAnsi="Times New Roman"/>
                <w:color w:val="000000"/>
              </w:rPr>
              <w:t>ough billing system.</w:t>
            </w:r>
          </w:p>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G</w:t>
            </w:r>
            <w:r w:rsidRPr="00B8707B">
              <w:rPr>
                <w:rFonts w:ascii="Times New Roman" w:eastAsia="Times New Roman" w:hAnsi="Times New Roman"/>
                <w:color w:val="000000"/>
              </w:rPr>
              <w:t xml:space="preserve">oal setting </w:t>
            </w:r>
            <w:r>
              <w:rPr>
                <w:rFonts w:ascii="Times New Roman" w:eastAsia="Times New Roman" w:hAnsi="Times New Roman"/>
                <w:color w:val="000000"/>
              </w:rPr>
              <w:t xml:space="preserve">does not involve </w:t>
            </w:r>
            <w:r w:rsidRPr="00B8707B">
              <w:rPr>
                <w:rFonts w:ascii="Times New Roman" w:eastAsia="Times New Roman" w:hAnsi="Times New Roman"/>
                <w:color w:val="000000"/>
              </w:rPr>
              <w:t>patients/families or lower levels of the organization</w:t>
            </w:r>
          </w:p>
          <w:p w:rsidR="003B238E" w:rsidRPr="00B8707B" w:rsidRDefault="003B238E" w:rsidP="003B238E">
            <w:pPr>
              <w:numPr>
                <w:ilvl w:val="0"/>
                <w:numId w:val="3"/>
              </w:numPr>
              <w:spacing w:after="200" w:line="276" w:lineRule="auto"/>
              <w:contextualSpacing/>
              <w:rPr>
                <w:rFonts w:ascii="Times New Roman" w:eastAsia="Times New Roman" w:hAnsi="Times New Roman"/>
                <w:color w:val="000000"/>
              </w:rPr>
            </w:pPr>
            <w:r>
              <w:rPr>
                <w:rFonts w:ascii="Times New Roman" w:eastAsia="Times New Roman" w:hAnsi="Times New Roman"/>
                <w:color w:val="000000"/>
              </w:rPr>
              <w:t>There is n</w:t>
            </w:r>
            <w:r w:rsidRPr="00B8707B">
              <w:rPr>
                <w:rFonts w:ascii="Times New Roman" w:eastAsia="Times New Roman" w:hAnsi="Times New Roman"/>
                <w:color w:val="000000"/>
              </w:rPr>
              <w:t>o feedback linked to clear organizational goals</w:t>
            </w:r>
            <w:r>
              <w:rPr>
                <w:rFonts w:ascii="Times New Roman" w:eastAsia="Times New Roman" w:hAnsi="Times New Roman"/>
                <w:color w:val="000000"/>
              </w:rPr>
              <w:t xml:space="preserve"> for unit level or frontline staff</w:t>
            </w:r>
            <w:r w:rsidRPr="00B8707B">
              <w:rPr>
                <w:rFonts w:ascii="Times New Roman" w:eastAsia="Times New Roman" w:hAnsi="Times New Roman"/>
                <w:color w:val="000000"/>
              </w:rPr>
              <w:t>.</w:t>
            </w:r>
          </w:p>
        </w:tc>
      </w:tr>
    </w:tbl>
    <w:p w:rsidR="003B238E" w:rsidRDefault="003B238E" w:rsidP="003B238E"/>
    <w:p w:rsidR="003B238E" w:rsidRDefault="003B238E" w:rsidP="003B238E"/>
    <w:p w:rsidR="003B238E" w:rsidRPr="003B238E" w:rsidRDefault="003B238E" w:rsidP="003B238E">
      <w:pPr>
        <w:rPr>
          <w:b/>
        </w:rPr>
      </w:pPr>
      <w:r>
        <w:br w:type="page"/>
      </w:r>
      <w:r w:rsidRPr="003B238E">
        <w:rPr>
          <w:b/>
        </w:rPr>
        <w:lastRenderedPageBreak/>
        <w:t>Supplementary Digital Content 1 References</w:t>
      </w:r>
    </w:p>
    <w:p w:rsidR="003B238E" w:rsidRDefault="003B238E" w:rsidP="003B238E"/>
    <w:p w:rsidR="003B238E" w:rsidRDefault="003B238E" w:rsidP="003B238E">
      <w:pPr>
        <w:pStyle w:val="ListParagraph"/>
        <w:numPr>
          <w:ilvl w:val="0"/>
          <w:numId w:val="5"/>
        </w:numPr>
      </w:pPr>
      <w:r w:rsidRPr="004E760A">
        <w:t>Yee, P. L., Edwards, M. L., Dixon, J., &amp; Gleason, N. S. (2009). Implementation of patient safety rounds in a children's hospital. Nursing administration quarterly, 33(1), 48-53.</w:t>
      </w:r>
    </w:p>
    <w:p w:rsidR="003B238E" w:rsidRPr="004E760A" w:rsidRDefault="003B238E" w:rsidP="003B238E">
      <w:pPr>
        <w:pStyle w:val="ListParagraph"/>
        <w:numPr>
          <w:ilvl w:val="0"/>
          <w:numId w:val="5"/>
        </w:numPr>
      </w:pPr>
      <w:r w:rsidRPr="004E760A">
        <w:t xml:space="preserve">Thomas, E. J., Sexton, J. B., </w:t>
      </w:r>
      <w:proofErr w:type="spellStart"/>
      <w:r w:rsidRPr="004E760A">
        <w:t>Neilands</w:t>
      </w:r>
      <w:proofErr w:type="spellEnd"/>
      <w:r w:rsidRPr="004E760A">
        <w:t xml:space="preserve">, T. B., Frankel, A., &amp; </w:t>
      </w:r>
      <w:proofErr w:type="spellStart"/>
      <w:r w:rsidRPr="004E760A">
        <w:t>Helmreich</w:t>
      </w:r>
      <w:proofErr w:type="spellEnd"/>
      <w:r w:rsidRPr="004E760A">
        <w:t>, R. L. (2005). The effect of executive walk rounds on nurse safety climate attitudes: a randomized trial of clinical units. BMC health services research, 5(1), 28.</w:t>
      </w:r>
    </w:p>
    <w:p w:rsidR="003B238E" w:rsidRPr="004E760A" w:rsidRDefault="003B238E" w:rsidP="003B238E">
      <w:pPr>
        <w:pStyle w:val="ListParagraph"/>
        <w:numPr>
          <w:ilvl w:val="0"/>
          <w:numId w:val="5"/>
        </w:numPr>
      </w:pPr>
      <w:r w:rsidRPr="004E760A">
        <w:t xml:space="preserve">Burnett, S., </w:t>
      </w:r>
      <w:proofErr w:type="spellStart"/>
      <w:r w:rsidRPr="004E760A">
        <w:t>Parand</w:t>
      </w:r>
      <w:proofErr w:type="spellEnd"/>
      <w:r w:rsidRPr="004E760A">
        <w:t xml:space="preserve">, A., Benn, J., Pinto, A., </w:t>
      </w:r>
      <w:proofErr w:type="spellStart"/>
      <w:r w:rsidRPr="004E760A">
        <w:t>Iskander</w:t>
      </w:r>
      <w:proofErr w:type="spellEnd"/>
      <w:r w:rsidRPr="004E760A">
        <w:t xml:space="preserve">, S., &amp; Vincent, C. (2008). Learning about leadership from Patient Safety </w:t>
      </w:r>
      <w:proofErr w:type="spellStart"/>
      <w:r w:rsidRPr="004E760A">
        <w:t>WalkRounds</w:t>
      </w:r>
      <w:r w:rsidRPr="004E760A">
        <w:rPr>
          <w:vertAlign w:val="superscript"/>
        </w:rPr>
        <w:t>TM</w:t>
      </w:r>
      <w:proofErr w:type="spellEnd"/>
      <w:r w:rsidRPr="004E760A">
        <w:t>. The International Journal of Clinical Leadership, 16(4), 185-192.</w:t>
      </w:r>
    </w:p>
    <w:p w:rsidR="003B238E" w:rsidRPr="005C1703" w:rsidRDefault="003B238E" w:rsidP="003B238E">
      <w:pPr>
        <w:pStyle w:val="ListParagraph"/>
        <w:numPr>
          <w:ilvl w:val="0"/>
          <w:numId w:val="5"/>
        </w:numPr>
      </w:pPr>
      <w:proofErr w:type="spellStart"/>
      <w:r w:rsidRPr="005C1703">
        <w:t>Pronovost</w:t>
      </w:r>
      <w:proofErr w:type="spellEnd"/>
      <w:r w:rsidRPr="005C1703">
        <w:t xml:space="preserve">, P. J., </w:t>
      </w:r>
      <w:proofErr w:type="spellStart"/>
      <w:r w:rsidRPr="005C1703">
        <w:t>Weast</w:t>
      </w:r>
      <w:proofErr w:type="spellEnd"/>
      <w:r w:rsidRPr="005C1703">
        <w:t>, B., Bishop, K., Paine, L., Griffith, R., Rosenstein, B. J., ... &amp; Davis, R. (2004). Senior executive adopt-a-work unit: a model for safety improvement. Joint Commission Journal on Quality and Patient Safety, 30(2), 59-68.</w:t>
      </w:r>
    </w:p>
    <w:p w:rsidR="003B238E" w:rsidRPr="005C1703" w:rsidRDefault="003B238E" w:rsidP="003B238E">
      <w:pPr>
        <w:pStyle w:val="ListParagraph"/>
        <w:numPr>
          <w:ilvl w:val="0"/>
          <w:numId w:val="5"/>
        </w:numPr>
      </w:pPr>
      <w:proofErr w:type="spellStart"/>
      <w:r w:rsidRPr="005C1703">
        <w:t>Goldenhar</w:t>
      </w:r>
      <w:proofErr w:type="spellEnd"/>
      <w:r w:rsidRPr="005C1703">
        <w:t xml:space="preserve">, L. M., Brady, P. W., Sutcliffe, K. M., &amp; </w:t>
      </w:r>
      <w:proofErr w:type="spellStart"/>
      <w:r w:rsidRPr="005C1703">
        <w:t>Muething</w:t>
      </w:r>
      <w:proofErr w:type="spellEnd"/>
      <w:r w:rsidRPr="005C1703">
        <w:t>, S. E. (2013). Huddling for high reliability and situation awareness. BMJ quality &amp; safety</w:t>
      </w:r>
      <w:proofErr w:type="gramStart"/>
      <w:r w:rsidRPr="005C1703">
        <w:t>,22</w:t>
      </w:r>
      <w:proofErr w:type="gramEnd"/>
      <w:r w:rsidRPr="005C1703">
        <w:t>(11), 899-906.</w:t>
      </w:r>
    </w:p>
    <w:p w:rsidR="003B238E" w:rsidRPr="005C1703" w:rsidRDefault="003B238E" w:rsidP="003B238E">
      <w:pPr>
        <w:pStyle w:val="ListParagraph"/>
        <w:numPr>
          <w:ilvl w:val="0"/>
          <w:numId w:val="5"/>
        </w:numPr>
      </w:pPr>
      <w:proofErr w:type="spellStart"/>
      <w:r w:rsidRPr="005C1703">
        <w:t>Keroack</w:t>
      </w:r>
      <w:proofErr w:type="spellEnd"/>
      <w:r w:rsidRPr="005C1703">
        <w:t xml:space="preserve">, M. A., Youngberg, B. J., </w:t>
      </w:r>
      <w:proofErr w:type="spellStart"/>
      <w:r w:rsidRPr="005C1703">
        <w:t>Cerese</w:t>
      </w:r>
      <w:proofErr w:type="spellEnd"/>
      <w:r w:rsidRPr="005C1703">
        <w:t xml:space="preserve">, J. L., </w:t>
      </w:r>
      <w:proofErr w:type="spellStart"/>
      <w:r w:rsidRPr="005C1703">
        <w:t>Krsek</w:t>
      </w:r>
      <w:proofErr w:type="spellEnd"/>
      <w:r w:rsidRPr="005C1703">
        <w:t xml:space="preserve">, C., </w:t>
      </w:r>
      <w:proofErr w:type="spellStart"/>
      <w:r w:rsidRPr="005C1703">
        <w:t>Prellwitz</w:t>
      </w:r>
      <w:proofErr w:type="spellEnd"/>
      <w:r w:rsidRPr="005C1703">
        <w:t>, L. W., &amp; Trevelyan, E. W. (2007). Organizational factors associated with high performance in quality and safety in academic medical centers. Academic Medicine, 82(12), 1178-1186.</w:t>
      </w:r>
    </w:p>
    <w:p w:rsidR="003B238E" w:rsidRPr="005C1703" w:rsidRDefault="003B238E" w:rsidP="003B238E">
      <w:pPr>
        <w:pStyle w:val="ListParagraph"/>
        <w:numPr>
          <w:ilvl w:val="0"/>
          <w:numId w:val="5"/>
        </w:numPr>
      </w:pPr>
      <w:r w:rsidRPr="005C1703">
        <w:t xml:space="preserve">Lukas, C. V., Holmes, S. K., Cohen, A. B., </w:t>
      </w:r>
      <w:proofErr w:type="spellStart"/>
      <w:r w:rsidRPr="005C1703">
        <w:t>Restuccia</w:t>
      </w:r>
      <w:proofErr w:type="spellEnd"/>
      <w:r w:rsidRPr="005C1703">
        <w:t xml:space="preserve">, J., Cramer, I. E., </w:t>
      </w:r>
      <w:proofErr w:type="spellStart"/>
      <w:r w:rsidRPr="005C1703">
        <w:t>Shwartz</w:t>
      </w:r>
      <w:proofErr w:type="spellEnd"/>
      <w:r w:rsidRPr="005C1703">
        <w:t xml:space="preserve">, M., &amp; </w:t>
      </w:r>
      <w:proofErr w:type="spellStart"/>
      <w:r w:rsidRPr="005C1703">
        <w:t>Charns</w:t>
      </w:r>
      <w:proofErr w:type="spellEnd"/>
      <w:r w:rsidRPr="005C1703">
        <w:t>, M. P. (2007). Transformational change in health care systems: an organizational model. Health care management review, 32(4), 309-320.</w:t>
      </w:r>
    </w:p>
    <w:p w:rsidR="003B238E" w:rsidRPr="005C1703" w:rsidRDefault="003B238E" w:rsidP="003B238E">
      <w:pPr>
        <w:pStyle w:val="ListParagraph"/>
        <w:numPr>
          <w:ilvl w:val="0"/>
          <w:numId w:val="5"/>
        </w:numPr>
      </w:pPr>
      <w:proofErr w:type="spellStart"/>
      <w:r w:rsidRPr="005C1703">
        <w:t>Timmel</w:t>
      </w:r>
      <w:proofErr w:type="spellEnd"/>
      <w:r w:rsidRPr="005C1703">
        <w:t xml:space="preserve">, J., Kent, P. S., </w:t>
      </w:r>
      <w:proofErr w:type="spellStart"/>
      <w:r w:rsidRPr="005C1703">
        <w:t>Holzmueller</w:t>
      </w:r>
      <w:proofErr w:type="spellEnd"/>
      <w:r w:rsidRPr="005C1703">
        <w:t xml:space="preserve">, C. G., Paine, L., </w:t>
      </w:r>
      <w:proofErr w:type="spellStart"/>
      <w:r w:rsidRPr="005C1703">
        <w:t>Schulick</w:t>
      </w:r>
      <w:proofErr w:type="spellEnd"/>
      <w:r w:rsidRPr="005C1703">
        <w:t xml:space="preserve">, R. D., &amp; </w:t>
      </w:r>
      <w:proofErr w:type="spellStart"/>
      <w:r w:rsidRPr="005C1703">
        <w:t>Pronovost</w:t>
      </w:r>
      <w:proofErr w:type="spellEnd"/>
      <w:r w:rsidRPr="005C1703">
        <w:t>, P. J. (2010). Impact of the Comprehensive Unit-based Safety Program (CUSP) on safety culture in a surgical inpatient unit. Joint Commission Journal on Quality and Patient Safety, 36(6), 252-260.</w:t>
      </w:r>
    </w:p>
    <w:p w:rsidR="003B238E" w:rsidRPr="005C1703" w:rsidRDefault="003B238E" w:rsidP="003B238E">
      <w:pPr>
        <w:pStyle w:val="ListParagraph"/>
        <w:numPr>
          <w:ilvl w:val="0"/>
          <w:numId w:val="5"/>
        </w:numPr>
      </w:pPr>
      <w:proofErr w:type="spellStart"/>
      <w:r w:rsidRPr="005C1703">
        <w:t>Kosel</w:t>
      </w:r>
      <w:proofErr w:type="spellEnd"/>
      <w:r w:rsidRPr="005C1703">
        <w:t xml:space="preserve">, K. C., Clark, T., Haywood, T. T., &amp; </w:t>
      </w:r>
      <w:proofErr w:type="spellStart"/>
      <w:r w:rsidRPr="005C1703">
        <w:t>Lonappan</w:t>
      </w:r>
      <w:proofErr w:type="spellEnd"/>
      <w:r w:rsidRPr="005C1703">
        <w:t>, M. (2012). VHA Blueprints Redefining the Way Clinical Knowledge Is Transferred. American Journal of Medical Quality, 27(3), 226-232.</w:t>
      </w:r>
    </w:p>
    <w:p w:rsidR="003B238E" w:rsidRPr="005C1703" w:rsidRDefault="003B238E" w:rsidP="003B238E">
      <w:pPr>
        <w:pStyle w:val="ListParagraph"/>
        <w:numPr>
          <w:ilvl w:val="0"/>
          <w:numId w:val="5"/>
        </w:numPr>
      </w:pPr>
      <w:r w:rsidRPr="005C1703">
        <w:t xml:space="preserve">De </w:t>
      </w:r>
      <w:proofErr w:type="spellStart"/>
      <w:r w:rsidRPr="005C1703">
        <w:t>Koning</w:t>
      </w:r>
      <w:proofErr w:type="spellEnd"/>
      <w:r w:rsidRPr="005C1703">
        <w:t xml:space="preserve">, H., </w:t>
      </w:r>
      <w:proofErr w:type="spellStart"/>
      <w:r w:rsidRPr="005C1703">
        <w:t>Verver</w:t>
      </w:r>
      <w:proofErr w:type="spellEnd"/>
      <w:r w:rsidRPr="005C1703">
        <w:t xml:space="preserve">, J. P., van den </w:t>
      </w:r>
      <w:proofErr w:type="spellStart"/>
      <w:r w:rsidRPr="005C1703">
        <w:t>Heuvel</w:t>
      </w:r>
      <w:proofErr w:type="spellEnd"/>
      <w:r w:rsidRPr="005C1703">
        <w:t xml:space="preserve">, J., </w:t>
      </w:r>
      <w:proofErr w:type="spellStart"/>
      <w:r w:rsidRPr="005C1703">
        <w:t>Bisgaard</w:t>
      </w:r>
      <w:proofErr w:type="spellEnd"/>
      <w:r w:rsidRPr="005C1703">
        <w:t xml:space="preserve">, S., &amp; Does, R. J. M. M. (2006). Lean </w:t>
      </w:r>
      <w:proofErr w:type="gramStart"/>
      <w:r w:rsidRPr="005C1703">
        <w:t>six sigma</w:t>
      </w:r>
      <w:proofErr w:type="gramEnd"/>
      <w:r w:rsidRPr="005C1703">
        <w:t xml:space="preserve"> in healthcare. Journal for Healthcare Quality, 28(2), 4.</w:t>
      </w:r>
    </w:p>
    <w:p w:rsidR="003B238E" w:rsidRPr="005C1703" w:rsidRDefault="003B238E" w:rsidP="003B238E">
      <w:pPr>
        <w:pStyle w:val="ListParagraph"/>
        <w:numPr>
          <w:ilvl w:val="0"/>
          <w:numId w:val="5"/>
        </w:numPr>
      </w:pPr>
      <w:proofErr w:type="spellStart"/>
      <w:r w:rsidRPr="005C1703">
        <w:t>Bohmer</w:t>
      </w:r>
      <w:proofErr w:type="spellEnd"/>
      <w:r w:rsidRPr="005C1703">
        <w:t xml:space="preserve">, R. M., Bloom, J. D., Mort, E. A., </w:t>
      </w:r>
      <w:proofErr w:type="spellStart"/>
      <w:r w:rsidRPr="005C1703">
        <w:t>Demehin</w:t>
      </w:r>
      <w:proofErr w:type="spellEnd"/>
      <w:r w:rsidRPr="005C1703">
        <w:t>, A. A., &amp; Meyer, G. S. (2009). Restructuring within an academic health center to support quality and safety: the development of the center for quality and safety at the Massachusetts General Hospital. Academic Medicine, 84(12), 1663-1671.</w:t>
      </w:r>
    </w:p>
    <w:p w:rsidR="003B238E" w:rsidRPr="005C1703" w:rsidRDefault="003B238E" w:rsidP="003B238E">
      <w:pPr>
        <w:pStyle w:val="ListParagraph"/>
        <w:numPr>
          <w:ilvl w:val="0"/>
          <w:numId w:val="5"/>
        </w:numPr>
      </w:pPr>
      <w:r w:rsidRPr="005C1703">
        <w:t xml:space="preserve">Jiang, H. J., </w:t>
      </w:r>
      <w:proofErr w:type="spellStart"/>
      <w:r w:rsidRPr="005C1703">
        <w:t>Lockee</w:t>
      </w:r>
      <w:proofErr w:type="spellEnd"/>
      <w:r w:rsidRPr="005C1703">
        <w:t>, C., Bass, K., &amp; Fraser, I. (2007). Board engagement in quality: findings of a survey of hospital and system leaders. Journal of healthcare management/American College of Healthcare Executives, 53(2), 121-34.</w:t>
      </w:r>
    </w:p>
    <w:p w:rsidR="003B238E" w:rsidRPr="005C1703" w:rsidRDefault="003B238E" w:rsidP="003B238E">
      <w:pPr>
        <w:pStyle w:val="ListParagraph"/>
        <w:numPr>
          <w:ilvl w:val="0"/>
          <w:numId w:val="5"/>
        </w:numPr>
      </w:pPr>
      <w:r w:rsidRPr="005C1703">
        <w:t xml:space="preserve">Weaver, S. J., </w:t>
      </w:r>
      <w:proofErr w:type="spellStart"/>
      <w:r w:rsidRPr="005C1703">
        <w:t>Dy</w:t>
      </w:r>
      <w:proofErr w:type="spellEnd"/>
      <w:r w:rsidRPr="005C1703">
        <w:t>, S. M., &amp; Rosen, M. A. (2014). Team-training in healthcare: a narrative synthesis of the literature. BMJ quality &amp; safety, 23(5), 359-372.</w:t>
      </w:r>
    </w:p>
    <w:p w:rsidR="003B238E" w:rsidRPr="005C1703" w:rsidRDefault="003B238E" w:rsidP="003B238E">
      <w:pPr>
        <w:pStyle w:val="ListParagraph"/>
        <w:numPr>
          <w:ilvl w:val="0"/>
          <w:numId w:val="5"/>
        </w:numPr>
      </w:pPr>
      <w:r w:rsidRPr="005C1703">
        <w:t xml:space="preserve">Ferranti, J. M., </w:t>
      </w:r>
      <w:proofErr w:type="spellStart"/>
      <w:r w:rsidRPr="005C1703">
        <w:t>Langman</w:t>
      </w:r>
      <w:proofErr w:type="spellEnd"/>
      <w:r w:rsidRPr="005C1703">
        <w:t>, M. K., Tanaka, D., McCall, J., &amp; Ahmad, A. (2010). Bridging the gap: leveraging business intelligence tools in support of patient safety and financial effectiveness. Journal of the American Medical Informatics Association, 17(2), 136-143.</w:t>
      </w:r>
    </w:p>
    <w:p w:rsidR="003B238E" w:rsidRPr="005C1703" w:rsidRDefault="003B238E" w:rsidP="003B238E">
      <w:pPr>
        <w:pStyle w:val="ListParagraph"/>
        <w:numPr>
          <w:ilvl w:val="0"/>
          <w:numId w:val="5"/>
        </w:numPr>
      </w:pPr>
      <w:r w:rsidRPr="005C1703">
        <w:t xml:space="preserve">Harris, C. B., Krauss, M. J., </w:t>
      </w:r>
      <w:proofErr w:type="spellStart"/>
      <w:r w:rsidRPr="005C1703">
        <w:t>Coopersmith</w:t>
      </w:r>
      <w:proofErr w:type="spellEnd"/>
      <w:r w:rsidRPr="005C1703">
        <w:t xml:space="preserve">, C. M., </w:t>
      </w:r>
      <w:proofErr w:type="spellStart"/>
      <w:r w:rsidRPr="005C1703">
        <w:t>Avidan</w:t>
      </w:r>
      <w:proofErr w:type="spellEnd"/>
      <w:r w:rsidRPr="005C1703">
        <w:t xml:space="preserve">, M., Nast, P. A., </w:t>
      </w:r>
      <w:proofErr w:type="spellStart"/>
      <w:r w:rsidRPr="005C1703">
        <w:t>Kollef</w:t>
      </w:r>
      <w:proofErr w:type="spellEnd"/>
      <w:r w:rsidRPr="005C1703">
        <w:t>, M. H., ... &amp; Fraser, V. J. (2007). Patient safety event reporting in critical care: A study of three intensive care units*. Critical care medicine, 35(4), 1068-1076.</w:t>
      </w:r>
    </w:p>
    <w:p w:rsidR="003B238E" w:rsidRPr="005C1703" w:rsidRDefault="003B238E" w:rsidP="003B238E">
      <w:pPr>
        <w:pStyle w:val="ListParagraph"/>
        <w:numPr>
          <w:ilvl w:val="0"/>
          <w:numId w:val="5"/>
        </w:numPr>
      </w:pPr>
      <w:proofErr w:type="spellStart"/>
      <w:r w:rsidRPr="005C1703">
        <w:t>Inamdar</w:t>
      </w:r>
      <w:proofErr w:type="spellEnd"/>
      <w:r w:rsidRPr="005C1703">
        <w:t>, N., Kaplan, R. S., Bower, M., &amp; Reynolds, K. (2002). Applying the balanced scorecard in healthcare provider organizations. Journal of healthcare management, 47(3), 179-196.</w:t>
      </w:r>
    </w:p>
    <w:p w:rsidR="00D70DA7" w:rsidRDefault="00D70DA7" w:rsidP="003B238E"/>
    <w:sectPr w:rsidR="00D70DA7" w:rsidSect="003B23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CF5"/>
    <w:multiLevelType w:val="hybridMultilevel"/>
    <w:tmpl w:val="99CA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1382F"/>
    <w:multiLevelType w:val="hybridMultilevel"/>
    <w:tmpl w:val="2EE8E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A66B89"/>
    <w:multiLevelType w:val="hybridMultilevel"/>
    <w:tmpl w:val="6368F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BA044D"/>
    <w:multiLevelType w:val="hybridMultilevel"/>
    <w:tmpl w:val="2DE63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663108"/>
    <w:multiLevelType w:val="hybridMultilevel"/>
    <w:tmpl w:val="F5344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8E"/>
    <w:rsid w:val="003B238E"/>
    <w:rsid w:val="003E2B52"/>
    <w:rsid w:val="00D7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Armstrong</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Rosen</dc:creator>
  <cp:lastModifiedBy>Funk, Shannon</cp:lastModifiedBy>
  <cp:revision>2</cp:revision>
  <dcterms:created xsi:type="dcterms:W3CDTF">2015-10-06T15:06:00Z</dcterms:created>
  <dcterms:modified xsi:type="dcterms:W3CDTF">2015-10-06T15:06:00Z</dcterms:modified>
</cp:coreProperties>
</file>