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ED758" w14:textId="470AA5C1" w:rsidR="00293EA5" w:rsidRDefault="001C3B6D" w:rsidP="00293EA5">
      <w:r>
        <w:t>Supplemental Digital Content 2</w:t>
      </w:r>
      <w:bookmarkStart w:id="0" w:name="_GoBack"/>
      <w:bookmarkEnd w:id="0"/>
    </w:p>
    <w:p w14:paraId="454018F7" w14:textId="77777777" w:rsidR="001C3B6D" w:rsidRDefault="001C3B6D" w:rsidP="00293EA5"/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3168"/>
        <w:gridCol w:w="10507"/>
      </w:tblGrid>
      <w:tr w:rsidR="00A466A7" w14:paraId="17F7D3E6" w14:textId="77777777" w:rsidTr="0064593C">
        <w:trPr>
          <w:trHeight w:val="1610"/>
        </w:trPr>
        <w:tc>
          <w:tcPr>
            <w:tcW w:w="3168" w:type="dxa"/>
          </w:tcPr>
          <w:p w14:paraId="63D10873" w14:textId="703474AC" w:rsidR="00A466A7" w:rsidRPr="00A466A7" w:rsidRDefault="00A466A7" w:rsidP="0064593C">
            <w:pPr>
              <w:spacing w:before="100" w:beforeAutospacing="1" w:after="100" w:afterAutospacing="1"/>
              <w:ind w:left="180"/>
              <w:rPr>
                <w:rFonts w:ascii="Times New Roman" w:hAnsi="Times New Roman" w:cs="Times New Roman"/>
                <w:b/>
                <w:color w:val="000000"/>
              </w:rPr>
            </w:pPr>
            <w:r w:rsidRPr="00A466A7">
              <w:rPr>
                <w:rFonts w:ascii="Times New Roman" w:hAnsi="Times New Roman"/>
                <w:b/>
              </w:rPr>
              <w:t>Agency for Healthcare Research and Qu</w:t>
            </w:r>
            <w:r w:rsidR="008D7020">
              <w:rPr>
                <w:rFonts w:ascii="Times New Roman" w:hAnsi="Times New Roman"/>
                <w:b/>
              </w:rPr>
              <w:t>ality</w:t>
            </w:r>
            <w:r>
              <w:rPr>
                <w:rFonts w:ascii="Times New Roman" w:hAnsi="Times New Roman"/>
                <w:b/>
              </w:rPr>
              <w:t xml:space="preserve">  (2011)</w:t>
            </w:r>
          </w:p>
        </w:tc>
        <w:tc>
          <w:tcPr>
            <w:tcW w:w="10507" w:type="dxa"/>
          </w:tcPr>
          <w:p w14:paraId="24B23760" w14:textId="77777777" w:rsidR="00A466A7" w:rsidRDefault="00A466A7" w:rsidP="001A72EA">
            <w:p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AHRQ facilitator notes for “Before the Training Session” reference </w:t>
            </w:r>
          </w:p>
          <w:p w14:paraId="7613642C" w14:textId="5A36E7B3" w:rsidR="00A466A7" w:rsidRDefault="00A466A7" w:rsidP="00A466A7">
            <w:pPr>
              <w:pStyle w:val="ListParagraph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introduction, </w:t>
            </w:r>
            <w:r w:rsidRPr="00A466A7">
              <w:rPr>
                <w:rFonts w:ascii="Times New Roman" w:hAnsi="Times New Roman" w:cs="Times New Roman"/>
                <w:color w:val="000000"/>
              </w:rPr>
              <w:t>objectiv</w:t>
            </w:r>
            <w:r>
              <w:rPr>
                <w:rFonts w:ascii="Times New Roman" w:hAnsi="Times New Roman" w:cs="Times New Roman"/>
                <w:color w:val="000000"/>
              </w:rPr>
              <w:t>es, agenda, expectations (p.1</w:t>
            </w:r>
            <w:r w:rsidR="0069198D">
              <w:rPr>
                <w:rFonts w:ascii="Times New Roman" w:hAnsi="Times New Roman" w:cs="Times New Roman"/>
                <w:color w:val="000000"/>
              </w:rPr>
              <w:t>-2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77CAAD7B" w14:textId="77777777" w:rsidR="00A466A7" w:rsidRDefault="00A466A7" w:rsidP="00A466A7">
            <w:pPr>
              <w:pStyle w:val="ListParagraph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466A7">
              <w:rPr>
                <w:rFonts w:ascii="Times New Roman" w:hAnsi="Times New Roman" w:cs="Times New Roman"/>
                <w:color w:val="000000"/>
              </w:rPr>
              <w:t>communication</w:t>
            </w:r>
            <w:proofErr w:type="gramEnd"/>
            <w:r w:rsidRPr="00A466A7">
              <w:rPr>
                <w:rFonts w:ascii="Times New Roman" w:hAnsi="Times New Roman" w:cs="Times New Roman"/>
                <w:color w:val="000000"/>
              </w:rPr>
              <w:t xml:space="preserve"> and logistics (p.2)</w:t>
            </w:r>
          </w:p>
          <w:p w14:paraId="653E094E" w14:textId="2FE9FAE5" w:rsidR="00A466A7" w:rsidRPr="00A466A7" w:rsidRDefault="00A466A7" w:rsidP="00A466A7">
            <w:pPr>
              <w:pStyle w:val="ListParagraph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evaluation, safe learning environment, debriefing (p.3</w:t>
            </w:r>
            <w:r w:rsidR="00F03236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A466A7" w14:paraId="0C165DFF" w14:textId="77777777" w:rsidTr="0064593C">
        <w:trPr>
          <w:trHeight w:val="1610"/>
        </w:trPr>
        <w:tc>
          <w:tcPr>
            <w:tcW w:w="3168" w:type="dxa"/>
          </w:tcPr>
          <w:p w14:paraId="71E0BF26" w14:textId="60F6D15C" w:rsidR="00A466A7" w:rsidRDefault="00A466A7" w:rsidP="0064593C">
            <w:pPr>
              <w:spacing w:before="100" w:beforeAutospacing="1" w:after="100" w:afterAutospacing="1"/>
              <w:ind w:left="180"/>
              <w:rPr>
                <w:rFonts w:ascii="Times New Roman" w:hAnsi="Times New Roman" w:cs="Times New Roman"/>
                <w:b/>
                <w:color w:val="000000"/>
              </w:rPr>
            </w:pPr>
            <w:r w:rsidRPr="00780AD3">
              <w:rPr>
                <w:rFonts w:ascii="Times New Roman" w:hAnsi="Times New Roman" w:cs="Times New Roman"/>
                <w:b/>
              </w:rPr>
              <w:t>Association for S</w:t>
            </w:r>
            <w:r>
              <w:rPr>
                <w:rFonts w:ascii="Times New Roman" w:hAnsi="Times New Roman" w:cs="Times New Roman"/>
                <w:b/>
              </w:rPr>
              <w:t>imulated Practice in Healthcare</w:t>
            </w:r>
            <w:r w:rsidRPr="00780AD3">
              <w:rPr>
                <w:rFonts w:ascii="Times New Roman" w:hAnsi="Times New Roman" w:cs="Times New Roman"/>
                <w:b/>
              </w:rPr>
              <w:t xml:space="preserve"> (2016)</w:t>
            </w:r>
          </w:p>
        </w:tc>
        <w:tc>
          <w:tcPr>
            <w:tcW w:w="10507" w:type="dxa"/>
          </w:tcPr>
          <w:p w14:paraId="0E51C9B1" w14:textId="77777777" w:rsidR="00A466A7" w:rsidRPr="00025545" w:rsidRDefault="00A466A7" w:rsidP="00297139">
            <w:pPr>
              <w:pStyle w:val="Default"/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025545">
              <w:rPr>
                <w:rFonts w:ascii="Times New Roman" w:hAnsi="Times New Roman" w:cs="Times New Roman"/>
              </w:rPr>
              <w:t>Ensure that a pre-simulation brief takes place where learning objectives are set beforehand and discussed as part of the debriefing process which takes place after completing a simulated scenario, or in feedback on completing a practical skill.</w:t>
            </w:r>
          </w:p>
          <w:p w14:paraId="72B33662" w14:textId="77777777" w:rsidR="00A466A7" w:rsidRDefault="00A466A7" w:rsidP="00297139">
            <w:pPr>
              <w:pStyle w:val="Default"/>
              <w:spacing w:before="100" w:beforeAutospacing="1"/>
              <w:ind w:left="1440"/>
              <w:contextualSpacing/>
              <w:rPr>
                <w:rFonts w:ascii="Times New Roman" w:hAnsi="Times New Roman" w:cs="Times New Roman"/>
              </w:rPr>
            </w:pPr>
          </w:p>
          <w:p w14:paraId="603A3873" w14:textId="77777777" w:rsidR="00A466A7" w:rsidRPr="00BA390E" w:rsidRDefault="00A466A7" w:rsidP="00297139">
            <w:pPr>
              <w:pStyle w:val="Default"/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  <w:r w:rsidRPr="00025545">
              <w:rPr>
                <w:rFonts w:ascii="Times New Roman" w:hAnsi="Times New Roman" w:cs="Times New Roman"/>
              </w:rPr>
              <w:t>The pre-simulation brief should include elements such as expectations regarding professionalism, etiquette, confidentiality and roles, together with an introductio</w:t>
            </w:r>
            <w:r>
              <w:rPr>
                <w:rFonts w:ascii="Times New Roman" w:hAnsi="Times New Roman" w:cs="Times New Roman"/>
              </w:rPr>
              <w:t>n to the simulated environment” (p. 9).</w:t>
            </w:r>
          </w:p>
          <w:p w14:paraId="56120353" w14:textId="77777777" w:rsidR="00A466A7" w:rsidRDefault="00A466A7" w:rsidP="001A72EA">
            <w:p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66A7" w14:paraId="17B10094" w14:textId="77777777" w:rsidTr="0064593C">
        <w:trPr>
          <w:trHeight w:val="1610"/>
        </w:trPr>
        <w:tc>
          <w:tcPr>
            <w:tcW w:w="3168" w:type="dxa"/>
          </w:tcPr>
          <w:p w14:paraId="36C1DFEA" w14:textId="45520188" w:rsidR="00A466A7" w:rsidRDefault="00A466A7" w:rsidP="0064593C">
            <w:pPr>
              <w:spacing w:before="100" w:beforeAutospacing="1" w:after="100" w:afterAutospacing="1"/>
              <w:ind w:left="180"/>
              <w:rPr>
                <w:rFonts w:ascii="Times New Roman" w:hAnsi="Times New Roman" w:cs="Times New Roman"/>
                <w:b/>
                <w:color w:val="000000"/>
              </w:rPr>
            </w:pPr>
            <w:r w:rsidRPr="00780AD3">
              <w:rPr>
                <w:rFonts w:ascii="Times New Roman" w:hAnsi="Times New Roman" w:cs="Times New Roman"/>
                <w:b/>
              </w:rPr>
              <w:t xml:space="preserve">Association of </w:t>
            </w:r>
            <w:r>
              <w:rPr>
                <w:rFonts w:ascii="Times New Roman" w:hAnsi="Times New Roman" w:cs="Times New Roman"/>
                <w:b/>
              </w:rPr>
              <w:t xml:space="preserve">Standardized Patient Educators </w:t>
            </w:r>
            <w:r w:rsidRPr="00780AD3">
              <w:rPr>
                <w:rFonts w:ascii="Times New Roman" w:hAnsi="Times New Roman" w:cs="Times New Roman"/>
                <w:b/>
              </w:rPr>
              <w:t>Standards of Best Practice (</w:t>
            </w:r>
            <w:r>
              <w:rPr>
                <w:rFonts w:ascii="Times New Roman" w:hAnsi="Times New Roman" w:cs="Times New Roman"/>
                <w:b/>
              </w:rPr>
              <w:t xml:space="preserve">Lewis et al., </w:t>
            </w:r>
            <w:r w:rsidRPr="00780AD3">
              <w:rPr>
                <w:rFonts w:ascii="Times New Roman" w:hAnsi="Times New Roman" w:cs="Times New Roman"/>
                <w:b/>
              </w:rPr>
              <w:t>2017)</w:t>
            </w:r>
          </w:p>
        </w:tc>
        <w:tc>
          <w:tcPr>
            <w:tcW w:w="10507" w:type="dxa"/>
          </w:tcPr>
          <w:p w14:paraId="62377A70" w14:textId="77777777" w:rsidR="00A466A7" w:rsidRDefault="00A466A7" w:rsidP="00297139">
            <w:pPr>
              <w:pStyle w:val="Default"/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“Domain 1: Safe work environment:</w:t>
            </w:r>
          </w:p>
          <w:p w14:paraId="0561102E" w14:textId="77777777" w:rsidR="00A466A7" w:rsidRDefault="00A466A7" w:rsidP="00297139">
            <w:pPr>
              <w:pStyle w:val="Default"/>
              <w:numPr>
                <w:ilvl w:val="0"/>
                <w:numId w:val="3"/>
              </w:num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 Safe work practices</w:t>
            </w:r>
          </w:p>
          <w:p w14:paraId="77B660FE" w14:textId="77777777" w:rsidR="00A466A7" w:rsidRDefault="00A466A7" w:rsidP="00297139">
            <w:pPr>
              <w:pStyle w:val="Default"/>
              <w:numPr>
                <w:ilvl w:val="0"/>
                <w:numId w:val="4"/>
              </w:num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1.1.5- Brief SPs so they are clear about the guidelines and parameters of a simulation activity (p. 4). </w:t>
            </w:r>
          </w:p>
          <w:p w14:paraId="2AB3D787" w14:textId="77777777" w:rsidR="00A466A7" w:rsidRDefault="00A466A7" w:rsidP="00297139">
            <w:pPr>
              <w:pStyle w:val="Default"/>
              <w:numPr>
                <w:ilvl w:val="0"/>
                <w:numId w:val="4"/>
              </w:num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1.1.7- Inform SPs and clients about the criteria and processes for terminating a simulation if they deem it harmful (p. 4).</w:t>
            </w:r>
          </w:p>
          <w:p w14:paraId="50601535" w14:textId="77777777" w:rsidR="00A466A7" w:rsidRDefault="00A466A7" w:rsidP="00297139">
            <w:pPr>
              <w:pStyle w:val="Default"/>
              <w:numPr>
                <w:ilvl w:val="0"/>
                <w:numId w:val="4"/>
              </w:num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1.1.13- Work with clients to clearly define the expected scope of SP involvement in work assignments (p. 4).</w:t>
            </w:r>
          </w:p>
          <w:p w14:paraId="111A70D1" w14:textId="77777777" w:rsidR="00A466A7" w:rsidRDefault="00A466A7" w:rsidP="00297139">
            <w:pPr>
              <w:pStyle w:val="Default"/>
              <w:numPr>
                <w:ilvl w:val="0"/>
                <w:numId w:val="3"/>
              </w:num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Confidentiality</w:t>
            </w:r>
          </w:p>
          <w:p w14:paraId="3E66BE3E" w14:textId="77777777" w:rsidR="00A466A7" w:rsidRDefault="00A466A7" w:rsidP="00297139">
            <w:pPr>
              <w:pStyle w:val="Default"/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1.2.1- Ensure that SPs understand and maintain the principles of confidentiality related to specific simulation events (p. 4).</w:t>
            </w:r>
          </w:p>
          <w:p w14:paraId="069D32D5" w14:textId="77777777" w:rsidR="00A466A7" w:rsidRDefault="00A466A7" w:rsidP="00297139">
            <w:pPr>
              <w:pStyle w:val="Default"/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Domain 2: Case development:</w:t>
            </w:r>
          </w:p>
          <w:p w14:paraId="57B3D4D8" w14:textId="77777777" w:rsidR="00A466A7" w:rsidRDefault="00A466A7" w:rsidP="00297139">
            <w:pPr>
              <w:pStyle w:val="Default"/>
              <w:numPr>
                <w:ilvl w:val="0"/>
                <w:numId w:val="3"/>
              </w:num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Case components</w:t>
            </w:r>
          </w:p>
          <w:p w14:paraId="46B7E3F5" w14:textId="28F9368A" w:rsidR="00A466A7" w:rsidRDefault="00A466A7" w:rsidP="001A72EA">
            <w:p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2.2.8- Briefing instructions, time frames, instructions to learners” (p. 5).</w:t>
            </w:r>
            <w:proofErr w:type="gramEnd"/>
          </w:p>
        </w:tc>
      </w:tr>
      <w:tr w:rsidR="00A466A7" w14:paraId="5D002759" w14:textId="77777777" w:rsidTr="0064593C">
        <w:trPr>
          <w:trHeight w:val="1610"/>
        </w:trPr>
        <w:tc>
          <w:tcPr>
            <w:tcW w:w="3168" w:type="dxa"/>
          </w:tcPr>
          <w:p w14:paraId="79C441BB" w14:textId="2E5AE1F2" w:rsidR="00A466A7" w:rsidRDefault="00A466A7" w:rsidP="0064593C">
            <w:pPr>
              <w:spacing w:before="100" w:beforeAutospacing="1" w:after="100" w:afterAutospacing="1"/>
              <w:ind w:left="18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International Nursing Association for Clinical Simulation and Learning Standards of Best Practice: Simulation Facilitation (2016)</w:t>
            </w:r>
          </w:p>
          <w:p w14:paraId="4A7FCFFB" w14:textId="77777777" w:rsidR="00A466A7" w:rsidRDefault="00A466A7" w:rsidP="001A72EA">
            <w:pPr>
              <w:spacing w:before="100" w:beforeAutospacing="1" w:after="100" w:afterAutospacing="1"/>
              <w:ind w:left="180"/>
            </w:pPr>
          </w:p>
        </w:tc>
        <w:tc>
          <w:tcPr>
            <w:tcW w:w="10507" w:type="dxa"/>
          </w:tcPr>
          <w:p w14:paraId="06857FCE" w14:textId="53F3EAC1" w:rsidR="00A466A7" w:rsidRDefault="00A466A7" w:rsidP="001A72EA">
            <w:p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INACSL Standards of Best Practice: Simulation Facilitation (p. S17-18).</w:t>
            </w:r>
          </w:p>
          <w:p w14:paraId="7A6A13E9" w14:textId="6AB461BD" w:rsidR="00A466A7" w:rsidRPr="00B2068E" w:rsidRDefault="00A466A7" w:rsidP="001A72EA">
            <w:pPr>
              <w:spacing w:before="100" w:beforeAutospacing="1" w:after="100" w:afterAutospacing="1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“Criterion 3: </w:t>
            </w:r>
            <w:r w:rsidRPr="00B2068E">
              <w:rPr>
                <w:rFonts w:ascii="Times New Roman" w:hAnsi="Times New Roman" w:cs="Times New Roman"/>
                <w:color w:val="000000"/>
              </w:rPr>
              <w:t>Facilitation methods prior to the simulation-based experience include preparatory activities and a prebriefing to prepare participants for the simulation-based experience.</w:t>
            </w:r>
          </w:p>
          <w:p w14:paraId="6A111AFF" w14:textId="3D239101" w:rsidR="00A466A7" w:rsidRDefault="00A466A7" w:rsidP="001A72EA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293EA5">
              <w:rPr>
                <w:rFonts w:ascii="Times New Roman" w:hAnsi="Times New Roman" w:cs="Times New Roman"/>
                <w:color w:val="000000"/>
              </w:rPr>
              <w:t>Required elements: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325B1C7" w14:textId="54660D17" w:rsidR="00A466A7" w:rsidRPr="001A72EA" w:rsidRDefault="00A466A7" w:rsidP="001A72EA">
            <w:pPr>
              <w:pStyle w:val="ListParagraph"/>
              <w:numPr>
                <w:ilvl w:val="3"/>
                <w:numId w:val="1"/>
              </w:numPr>
              <w:spacing w:before="100" w:beforeAutospacing="1"/>
              <w:ind w:left="766" w:hanging="450"/>
              <w:rPr>
                <w:rFonts w:ascii="Times New Roman" w:hAnsi="Times New Roman" w:cs="Times New Roman"/>
              </w:rPr>
            </w:pPr>
            <w:r w:rsidRPr="001A72EA">
              <w:rPr>
                <w:rFonts w:ascii="Times New Roman" w:hAnsi="Times New Roman" w:cs="Times New Roman"/>
                <w:color w:val="000000"/>
              </w:rPr>
              <w:t>Provide participants with information and/or preparatory activities, skills review, and practice time before the simulation-based experience.</w:t>
            </w:r>
          </w:p>
          <w:p w14:paraId="1821F3D1" w14:textId="77777777" w:rsidR="00A466A7" w:rsidRDefault="00A466A7" w:rsidP="00293EA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93EA5">
              <w:rPr>
                <w:rFonts w:ascii="Times New Roman" w:hAnsi="Times New Roman" w:cs="Times New Roman"/>
                <w:color w:val="000000"/>
              </w:rPr>
              <w:t>Discuss ground rules to create and maintain a safe</w:t>
            </w:r>
            <w:r w:rsidRPr="00293EA5">
              <w:rPr>
                <w:rFonts w:ascii="Times New Roman" w:hAnsi="Times New Roman" w:cs="Times New Roman"/>
              </w:rPr>
              <w:t xml:space="preserve"> </w:t>
            </w:r>
            <w:r w:rsidRPr="00293EA5">
              <w:rPr>
                <w:rFonts w:ascii="Times New Roman" w:hAnsi="Times New Roman" w:cs="Times New Roman"/>
                <w:color w:val="000000"/>
              </w:rPr>
              <w:t>learning environment and noncompetitive environment</w:t>
            </w:r>
          </w:p>
          <w:p w14:paraId="69934834" w14:textId="77777777" w:rsidR="00A466A7" w:rsidRDefault="00A466A7" w:rsidP="00293EA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93EA5">
              <w:rPr>
                <w:rFonts w:ascii="Times New Roman" w:hAnsi="Times New Roman" w:cs="Times New Roman"/>
                <w:color w:val="000000"/>
              </w:rPr>
              <w:t>Acknowledge that mistakes may happen and will be reflected upon during the debriefing.</w:t>
            </w:r>
          </w:p>
          <w:p w14:paraId="5245E455" w14:textId="77777777" w:rsidR="00A466A7" w:rsidRDefault="00A466A7" w:rsidP="00293EA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93EA5">
              <w:rPr>
                <w:rFonts w:ascii="Times New Roman" w:hAnsi="Times New Roman" w:cs="Times New Roman"/>
                <w:color w:val="000000"/>
              </w:rPr>
              <w:t>Acknowledge the simulated nature of the learning environment, the differences in learning in a simulated environment, and discuss the concept of a fiction contract.</w:t>
            </w:r>
          </w:p>
          <w:p w14:paraId="5E556ADE" w14:textId="77777777" w:rsidR="00A466A7" w:rsidRPr="00293EA5" w:rsidRDefault="00A466A7" w:rsidP="00293EA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93EA5">
              <w:rPr>
                <w:rFonts w:ascii="Times New Roman" w:hAnsi="Times New Roman" w:cs="Times New Roman"/>
                <w:color w:val="000000"/>
              </w:rPr>
              <w:t>Hold a prebriefing at a designated time before the simulation-based experience in which the amount of time may vary depending on the modality and complexity of the simulation-based experience.</w:t>
            </w:r>
            <w:r w:rsidRPr="00293EA5">
              <w:rPr>
                <w:rFonts w:ascii="Times New Roman" w:hAnsi="Times New Roman" w:cs="Times New Roman"/>
                <w:color w:val="2197D2"/>
              </w:rPr>
              <w:t xml:space="preserve"> </w:t>
            </w:r>
            <w:r w:rsidRPr="00293EA5">
              <w:rPr>
                <w:rFonts w:ascii="Times New Roman" w:hAnsi="Times New Roman" w:cs="Times New Roman"/>
                <w:color w:val="000000"/>
              </w:rPr>
              <w:t xml:space="preserve"> Minimally, the prebriefing should include:</w:t>
            </w:r>
          </w:p>
          <w:p w14:paraId="0DF1A643" w14:textId="77777777" w:rsidR="00A466A7" w:rsidRDefault="00A466A7" w:rsidP="00293EA5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972" w:hanging="270"/>
              <w:rPr>
                <w:rFonts w:ascii="Times New Roman" w:hAnsi="Times New Roman" w:cs="Times New Roman"/>
              </w:rPr>
            </w:pPr>
            <w:r w:rsidRPr="00293EA5">
              <w:rPr>
                <w:rFonts w:ascii="Times New Roman" w:hAnsi="Times New Roman" w:cs="Times New Roman"/>
                <w:color w:val="000000"/>
              </w:rPr>
              <w:t>Discussing the detail and expectations of the simulation-based experience. The level of detail revealed depends on the purpose, goal, and/or objectives of the simulation-based experience.</w:t>
            </w:r>
          </w:p>
          <w:p w14:paraId="0A840321" w14:textId="77777777" w:rsidR="00A466A7" w:rsidRDefault="00A466A7" w:rsidP="00293EA5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972" w:hanging="270"/>
              <w:rPr>
                <w:rFonts w:ascii="Times New Roman" w:hAnsi="Times New Roman" w:cs="Times New Roman"/>
              </w:rPr>
            </w:pPr>
            <w:r w:rsidRPr="00293EA5">
              <w:rPr>
                <w:rFonts w:ascii="Times New Roman" w:hAnsi="Times New Roman" w:cs="Times New Roman"/>
                <w:color w:val="000000"/>
              </w:rPr>
              <w:t>Providing participants necessary background information about the simulation-based experience.</w:t>
            </w:r>
          </w:p>
          <w:p w14:paraId="0578B19A" w14:textId="77777777" w:rsidR="00A466A7" w:rsidRDefault="00A466A7" w:rsidP="00293EA5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972" w:hanging="270"/>
              <w:rPr>
                <w:rFonts w:ascii="Times New Roman" w:hAnsi="Times New Roman" w:cs="Times New Roman"/>
              </w:rPr>
            </w:pPr>
            <w:r w:rsidRPr="00293EA5">
              <w:rPr>
                <w:rFonts w:ascii="Times New Roman" w:hAnsi="Times New Roman" w:cs="Times New Roman"/>
                <w:color w:val="000000"/>
              </w:rPr>
              <w:t>An orientation of participants to the simulation environment, modality for delivery of the simulation, manikins, and the equipment that can be used or not used.</w:t>
            </w:r>
          </w:p>
          <w:p w14:paraId="024225A9" w14:textId="77777777" w:rsidR="00A466A7" w:rsidRDefault="00A466A7" w:rsidP="00293EA5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972" w:hanging="270"/>
              <w:rPr>
                <w:rFonts w:ascii="Times New Roman" w:hAnsi="Times New Roman" w:cs="Times New Roman"/>
              </w:rPr>
            </w:pPr>
            <w:r w:rsidRPr="00293EA5">
              <w:rPr>
                <w:rFonts w:ascii="Times New Roman" w:hAnsi="Times New Roman" w:cs="Times New Roman"/>
                <w:color w:val="000000"/>
              </w:rPr>
              <w:t>Providing clear descriptions of assigned roles for the scenario, whether as a direct care provider, as an observer, or as other assigned role characters.</w:t>
            </w:r>
          </w:p>
          <w:p w14:paraId="3EAB6729" w14:textId="77777777" w:rsidR="00A466A7" w:rsidRDefault="00A466A7" w:rsidP="00293EA5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972" w:hanging="270"/>
              <w:rPr>
                <w:rFonts w:ascii="Times New Roman" w:hAnsi="Times New Roman" w:cs="Times New Roman"/>
              </w:rPr>
            </w:pPr>
            <w:r w:rsidRPr="00293EA5">
              <w:rPr>
                <w:rFonts w:ascii="Times New Roman" w:hAnsi="Times New Roman" w:cs="Times New Roman"/>
                <w:color w:val="000000"/>
              </w:rPr>
              <w:t>Discussing the process to contact others (as needed) during the simulation, and if appropriate, ways to seek further information.</w:t>
            </w:r>
          </w:p>
          <w:p w14:paraId="50A17486" w14:textId="6BA04D61" w:rsidR="00A466A7" w:rsidRPr="00293EA5" w:rsidRDefault="00A466A7" w:rsidP="00293EA5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972" w:hanging="270"/>
              <w:rPr>
                <w:rFonts w:ascii="Times New Roman" w:hAnsi="Times New Roman" w:cs="Times New Roman"/>
              </w:rPr>
            </w:pPr>
            <w:r w:rsidRPr="00293EA5">
              <w:rPr>
                <w:rFonts w:ascii="Times New Roman" w:hAnsi="Times New Roman" w:cs="Times New Roman"/>
                <w:color w:val="000000"/>
              </w:rPr>
              <w:t>As appropriate, providing time for participants to prepare</w:t>
            </w:r>
            <w:r w:rsidRPr="00293EA5">
              <w:rPr>
                <w:rFonts w:ascii="Times New Roman" w:hAnsi="Times New Roman" w:cs="Times New Roman"/>
              </w:rPr>
              <w:t xml:space="preserve"> </w:t>
            </w:r>
            <w:r w:rsidRPr="00293EA5">
              <w:rPr>
                <w:rFonts w:ascii="Times New Roman" w:hAnsi="Times New Roman" w:cs="Times New Roman"/>
                <w:color w:val="000000"/>
              </w:rPr>
              <w:t>before the start of the simulation experience.</w:t>
            </w:r>
            <w:r>
              <w:rPr>
                <w:rFonts w:ascii="Times New Roman" w:hAnsi="Times New Roman" w:cs="Times New Roman"/>
                <w:color w:val="000000"/>
              </w:rPr>
              <w:t>”</w:t>
            </w:r>
          </w:p>
        </w:tc>
      </w:tr>
      <w:tr w:rsidR="00A466A7" w14:paraId="65074997" w14:textId="77777777" w:rsidTr="0064593C">
        <w:trPr>
          <w:trHeight w:val="1610"/>
        </w:trPr>
        <w:tc>
          <w:tcPr>
            <w:tcW w:w="3168" w:type="dxa"/>
          </w:tcPr>
          <w:p w14:paraId="7DA91913" w14:textId="01F05849" w:rsidR="00A466A7" w:rsidRDefault="00A466A7" w:rsidP="008F600F">
            <w:pPr>
              <w:ind w:left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National Council of</w:t>
            </w:r>
            <w:r w:rsidRPr="00780AD3">
              <w:rPr>
                <w:rFonts w:ascii="Times New Roman" w:hAnsi="Times New Roman" w:cs="Times New Roman"/>
                <w:b/>
              </w:rPr>
              <w:t xml:space="preserve"> State Boards of Nursing</w:t>
            </w:r>
            <w:r>
              <w:rPr>
                <w:rFonts w:ascii="Times New Roman" w:hAnsi="Times New Roman" w:cs="Times New Roman"/>
                <w:b/>
              </w:rPr>
              <w:t xml:space="preserve">: NCSBN Simulation guidelines for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prelicensure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nursing programs (2016</w:t>
            </w:r>
            <w:r w:rsidRPr="00780AD3">
              <w:rPr>
                <w:rFonts w:ascii="Times New Roman" w:hAnsi="Times New Roman" w:cs="Times New Roman"/>
                <w:b/>
              </w:rPr>
              <w:t>)</w:t>
            </w:r>
          </w:p>
          <w:p w14:paraId="7EC31B0E" w14:textId="54849731" w:rsidR="00A466A7" w:rsidRPr="00780AD3" w:rsidRDefault="00A466A7" w:rsidP="008F600F">
            <w:pPr>
              <w:ind w:left="18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507" w:type="dxa"/>
          </w:tcPr>
          <w:p w14:paraId="57416D94" w14:textId="2E4F5146" w:rsidR="00A466A7" w:rsidRPr="008F600F" w:rsidRDefault="00A466A7" w:rsidP="008F600F">
            <w:pPr>
              <w:rPr>
                <w:rFonts w:ascii="Times New Roman" w:hAnsi="Times New Roman" w:cs="Times New Roman"/>
              </w:rPr>
            </w:pPr>
            <w:r w:rsidRPr="008F600F">
              <w:rPr>
                <w:rFonts w:ascii="Times New Roman" w:hAnsi="Times New Roman" w:cs="Times New Roman"/>
              </w:rPr>
              <w:t xml:space="preserve">“The program curriculum sets clear objectives and expected outcomes for each simulation-based experience, which are communicated to students prior to </w:t>
            </w:r>
            <w:r>
              <w:rPr>
                <w:rFonts w:ascii="Times New Roman" w:hAnsi="Times New Roman" w:cs="Times New Roman"/>
              </w:rPr>
              <w:t>each simulation activity” (p. 8).</w:t>
            </w:r>
          </w:p>
          <w:p w14:paraId="1DF1EC69" w14:textId="77777777" w:rsidR="00A466A7" w:rsidRPr="00293EA5" w:rsidRDefault="00A466A7" w:rsidP="008F600F">
            <w:pPr>
              <w:ind w:left="1800" w:hanging="163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66A7" w14:paraId="5D967507" w14:textId="77777777" w:rsidTr="0064593C">
        <w:trPr>
          <w:trHeight w:val="1610"/>
        </w:trPr>
        <w:tc>
          <w:tcPr>
            <w:tcW w:w="3168" w:type="dxa"/>
          </w:tcPr>
          <w:p w14:paraId="1DCA3767" w14:textId="55295BBB" w:rsidR="00A466A7" w:rsidRPr="00780AD3" w:rsidRDefault="00A466A7" w:rsidP="008F600F">
            <w:pPr>
              <w:ind w:left="180"/>
              <w:rPr>
                <w:rFonts w:ascii="Times New Roman" w:hAnsi="Times New Roman" w:cs="Times New Roman"/>
                <w:b/>
              </w:rPr>
            </w:pPr>
            <w:r w:rsidRPr="00780AD3">
              <w:rPr>
                <w:rFonts w:ascii="Times New Roman" w:hAnsi="Times New Roman" w:cs="Times New Roman"/>
                <w:b/>
              </w:rPr>
              <w:t>Socie</w:t>
            </w:r>
            <w:r>
              <w:rPr>
                <w:rFonts w:ascii="Times New Roman" w:hAnsi="Times New Roman" w:cs="Times New Roman"/>
                <w:b/>
              </w:rPr>
              <w:t>ty for Simulation in Healthcare</w:t>
            </w:r>
            <w:r w:rsidRPr="00780AD3">
              <w:rPr>
                <w:rFonts w:ascii="Times New Roman" w:hAnsi="Times New Roman" w:cs="Times New Roman"/>
                <w:b/>
              </w:rPr>
              <w:t xml:space="preserve"> (2016)</w:t>
            </w:r>
          </w:p>
        </w:tc>
        <w:tc>
          <w:tcPr>
            <w:tcW w:w="10507" w:type="dxa"/>
          </w:tcPr>
          <w:p w14:paraId="71BC3DA9" w14:textId="10590146" w:rsidR="00A466A7" w:rsidRPr="008F600F" w:rsidRDefault="00A466A7" w:rsidP="008F600F">
            <w:pPr>
              <w:pStyle w:val="NormalWeb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2437">
              <w:rPr>
                <w:rFonts w:ascii="Times New Roman" w:hAnsi="Times New Roman"/>
                <w:sz w:val="24"/>
                <w:szCs w:val="24"/>
              </w:rPr>
              <w:t xml:space="preserve">A Certified Healthcare Simulation Educator </w:t>
            </w:r>
            <w:r>
              <w:rPr>
                <w:rFonts w:ascii="Times New Roman" w:hAnsi="Times New Roman"/>
                <w:sz w:val="24"/>
                <w:szCs w:val="24"/>
              </w:rPr>
              <w:t>“h</w:t>
            </w:r>
            <w:r w:rsidRPr="00DC2437">
              <w:rPr>
                <w:rFonts w:ascii="Times New Roman" w:hAnsi="Times New Roman"/>
                <w:sz w:val="24"/>
                <w:szCs w:val="24"/>
              </w:rPr>
              <w:t>as knowledge of the basic concepts behind instructional design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(p. 3), and simulation centers </w:t>
            </w:r>
            <w:r w:rsidRPr="00DC2437">
              <w:rPr>
                <w:rFonts w:ascii="Times New Roman" w:hAnsi="Times New Roman"/>
                <w:sz w:val="24"/>
                <w:szCs w:val="24"/>
              </w:rPr>
              <w:t>apply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ing for accreditation must </w:t>
            </w:r>
            <w:r w:rsidRPr="00DC2437">
              <w:rPr>
                <w:rFonts w:ascii="Times New Roman" w:hAnsi="Times New Roman"/>
                <w:sz w:val="24"/>
                <w:szCs w:val="24"/>
              </w:rPr>
              <w:t>demonstrate, “how simulation specific items such as briefing and debriefing are designed and developed as well as the normal educational elements such as goa</w:t>
            </w:r>
            <w:r>
              <w:rPr>
                <w:rFonts w:ascii="Times New Roman" w:hAnsi="Times New Roman"/>
                <w:sz w:val="24"/>
                <w:szCs w:val="24"/>
              </w:rPr>
              <w:t>ls and objectives” (p. 5).</w:t>
            </w:r>
          </w:p>
        </w:tc>
      </w:tr>
    </w:tbl>
    <w:p w14:paraId="69F26609" w14:textId="2475A4DB" w:rsidR="00293EA5" w:rsidRDefault="00293EA5" w:rsidP="00780AD3"/>
    <w:sectPr w:rsidR="00293EA5" w:rsidSect="00780AD3"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313"/>
    <w:multiLevelType w:val="hybridMultilevel"/>
    <w:tmpl w:val="E6DE6A96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28981491"/>
    <w:multiLevelType w:val="hybridMultilevel"/>
    <w:tmpl w:val="AC76DB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45625F"/>
    <w:multiLevelType w:val="hybridMultilevel"/>
    <w:tmpl w:val="290C1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A0531"/>
    <w:multiLevelType w:val="multilevel"/>
    <w:tmpl w:val="BCB4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534634"/>
    <w:multiLevelType w:val="hybridMultilevel"/>
    <w:tmpl w:val="A248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20B22"/>
    <w:multiLevelType w:val="hybridMultilevel"/>
    <w:tmpl w:val="0B70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B6E6C"/>
    <w:multiLevelType w:val="hybridMultilevel"/>
    <w:tmpl w:val="9978F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3C3D25"/>
    <w:multiLevelType w:val="hybridMultilevel"/>
    <w:tmpl w:val="C90ED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F0292"/>
    <w:multiLevelType w:val="hybridMultilevel"/>
    <w:tmpl w:val="A088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5D"/>
    <w:rsid w:val="00096E10"/>
    <w:rsid w:val="000F6D5D"/>
    <w:rsid w:val="001A3C3E"/>
    <w:rsid w:val="001A72EA"/>
    <w:rsid w:val="001C3B6D"/>
    <w:rsid w:val="00293EA5"/>
    <w:rsid w:val="002F431C"/>
    <w:rsid w:val="006155E5"/>
    <w:rsid w:val="006212B9"/>
    <w:rsid w:val="0064593C"/>
    <w:rsid w:val="0069198D"/>
    <w:rsid w:val="006C07CF"/>
    <w:rsid w:val="006C7686"/>
    <w:rsid w:val="007638AB"/>
    <w:rsid w:val="00780AD3"/>
    <w:rsid w:val="00897CCD"/>
    <w:rsid w:val="008D7020"/>
    <w:rsid w:val="008F600F"/>
    <w:rsid w:val="00990470"/>
    <w:rsid w:val="00A466A7"/>
    <w:rsid w:val="00A479D4"/>
    <w:rsid w:val="00AC6F72"/>
    <w:rsid w:val="00BE2965"/>
    <w:rsid w:val="00CB4CC7"/>
    <w:rsid w:val="00D65654"/>
    <w:rsid w:val="00DA208D"/>
    <w:rsid w:val="00E551BD"/>
    <w:rsid w:val="00E60ED7"/>
    <w:rsid w:val="00EB462F"/>
    <w:rsid w:val="00F03236"/>
    <w:rsid w:val="00FC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2398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EA5"/>
    <w:pPr>
      <w:ind w:left="720"/>
      <w:contextualSpacing/>
    </w:pPr>
  </w:style>
  <w:style w:type="table" w:styleId="TableGrid">
    <w:name w:val="Table Grid"/>
    <w:basedOn w:val="TableNormal"/>
    <w:uiPriority w:val="59"/>
    <w:rsid w:val="00293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F60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8F600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EA5"/>
    <w:pPr>
      <w:ind w:left="720"/>
      <w:contextualSpacing/>
    </w:pPr>
  </w:style>
  <w:style w:type="table" w:styleId="TableGrid">
    <w:name w:val="Table Grid"/>
    <w:basedOn w:val="TableNormal"/>
    <w:uiPriority w:val="59"/>
    <w:rsid w:val="00293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F60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8F600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3619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Rutherford-Hemming</dc:creator>
  <cp:keywords/>
  <dc:description/>
  <cp:lastModifiedBy>Tonya Rutherford-Hemming</cp:lastModifiedBy>
  <cp:revision>8</cp:revision>
  <dcterms:created xsi:type="dcterms:W3CDTF">2018-10-19T20:44:00Z</dcterms:created>
  <dcterms:modified xsi:type="dcterms:W3CDTF">2019-03-23T00:41:00Z</dcterms:modified>
</cp:coreProperties>
</file>