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23520" w14:textId="77777777" w:rsidR="00FF24BC" w:rsidRPr="00704BC4" w:rsidRDefault="00FF24BC" w:rsidP="00FF24BC">
      <w:pPr>
        <w:spacing w:after="0"/>
        <w:outlineLvl w:val="0"/>
        <w:rPr>
          <w:b/>
        </w:rPr>
      </w:pPr>
      <w:r w:rsidRPr="00704BC4">
        <w:rPr>
          <w:b/>
        </w:rPr>
        <w:t xml:space="preserve">Supplemental Table 1: Characteristics and outcomes in the extended biomarker subgroup. </w:t>
      </w:r>
    </w:p>
    <w:p w14:paraId="7105EC49" w14:textId="77777777" w:rsidR="00FF24BC" w:rsidRPr="00DF2447" w:rsidRDefault="00FF24BC" w:rsidP="00FF24BC">
      <w:pPr>
        <w:spacing w:after="0"/>
        <w:rPr>
          <w:sz w:val="21"/>
        </w:rPr>
      </w:pPr>
    </w:p>
    <w:tbl>
      <w:tblPr>
        <w:tblW w:w="141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2070"/>
        <w:gridCol w:w="2340"/>
        <w:gridCol w:w="2520"/>
        <w:gridCol w:w="2340"/>
        <w:gridCol w:w="2116"/>
      </w:tblGrid>
      <w:tr w:rsidR="00FF24BC" w:rsidRPr="00DF2447" w14:paraId="7ADF078F" w14:textId="77777777" w:rsidTr="00FF24BC">
        <w:trPr>
          <w:trHeight w:val="510"/>
          <w:jc w:val="center"/>
        </w:trPr>
        <w:tc>
          <w:tcPr>
            <w:tcW w:w="2790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10C18BB5" w14:textId="77777777" w:rsidR="00FF24BC" w:rsidRPr="00DF2447" w:rsidRDefault="00FF24BC" w:rsidP="00EB2692">
            <w:pPr>
              <w:spacing w:after="0"/>
              <w:rPr>
                <w:sz w:val="26"/>
                <w:szCs w:val="26"/>
              </w:rPr>
            </w:pPr>
          </w:p>
          <w:p w14:paraId="6C194B7C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Number of Patients</w:t>
            </w:r>
          </w:p>
        </w:tc>
        <w:tc>
          <w:tcPr>
            <w:tcW w:w="2070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171BEBF" w14:textId="77777777" w:rsidR="00FF24BC" w:rsidRPr="00DF2447" w:rsidRDefault="00FF24BC" w:rsidP="00EB2692">
            <w:pPr>
              <w:spacing w:after="0"/>
              <w:rPr>
                <w:b/>
              </w:rPr>
            </w:pPr>
            <w:r w:rsidRPr="00DF2447">
              <w:rPr>
                <w:b/>
                <w:bCs/>
              </w:rPr>
              <w:t>ML</w:t>
            </w:r>
            <w:r w:rsidRPr="00DF2447">
              <w:rPr>
                <w:b/>
                <w:bCs/>
                <w:vertAlign w:val="subscript"/>
              </w:rPr>
              <w:t>NORMAL</w:t>
            </w:r>
          </w:p>
          <w:p w14:paraId="23AF720A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68</w:t>
            </w:r>
          </w:p>
        </w:tc>
        <w:tc>
          <w:tcPr>
            <w:tcW w:w="2340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CB6BC82" w14:textId="77777777" w:rsidR="00FF24BC" w:rsidRPr="00DF2447" w:rsidRDefault="00FF24BC" w:rsidP="00EB2692">
            <w:pPr>
              <w:spacing w:after="0"/>
              <w:rPr>
                <w:b/>
              </w:rPr>
            </w:pPr>
            <w:r w:rsidRPr="00DF2447">
              <w:rPr>
                <w:b/>
                <w:bCs/>
              </w:rPr>
              <w:t>ML</w:t>
            </w:r>
            <w:r w:rsidRPr="00DF2447">
              <w:rPr>
                <w:b/>
                <w:bCs/>
                <w:vertAlign w:val="subscript"/>
              </w:rPr>
              <w:t>LOW</w:t>
            </w:r>
            <w:r w:rsidRPr="00DF2447">
              <w:rPr>
                <w:b/>
                <w:bCs/>
              </w:rPr>
              <w:t xml:space="preserve"> + DD</w:t>
            </w:r>
            <w:r w:rsidRPr="00DF2447">
              <w:rPr>
                <w:b/>
                <w:bCs/>
                <w:vertAlign w:val="subscript"/>
              </w:rPr>
              <w:t>LOW</w:t>
            </w:r>
          </w:p>
          <w:p w14:paraId="296A76A8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51</w:t>
            </w:r>
          </w:p>
        </w:tc>
        <w:tc>
          <w:tcPr>
            <w:tcW w:w="2520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456E40B" w14:textId="77777777" w:rsidR="00FF24BC" w:rsidRPr="00DF2447" w:rsidRDefault="00FF24BC" w:rsidP="00EB2692">
            <w:pPr>
              <w:spacing w:after="0"/>
              <w:rPr>
                <w:b/>
              </w:rPr>
            </w:pPr>
            <w:r w:rsidRPr="00DF2447">
              <w:rPr>
                <w:b/>
                <w:bCs/>
              </w:rPr>
              <w:t>ML</w:t>
            </w:r>
            <w:r w:rsidRPr="00DF2447">
              <w:rPr>
                <w:b/>
                <w:bCs/>
                <w:vertAlign w:val="subscript"/>
              </w:rPr>
              <w:t>LOW</w:t>
            </w:r>
            <w:r w:rsidRPr="00DF2447">
              <w:rPr>
                <w:b/>
                <w:bCs/>
              </w:rPr>
              <w:t xml:space="preserve"> + DD</w:t>
            </w:r>
            <w:r w:rsidRPr="00DF2447">
              <w:rPr>
                <w:b/>
                <w:bCs/>
                <w:vertAlign w:val="subscript"/>
              </w:rPr>
              <w:t>HIGH</w:t>
            </w:r>
          </w:p>
          <w:p w14:paraId="4477721B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45</w:t>
            </w:r>
          </w:p>
        </w:tc>
        <w:tc>
          <w:tcPr>
            <w:tcW w:w="2340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561563E" w14:textId="77777777" w:rsidR="00FF24BC" w:rsidRPr="00DF2447" w:rsidRDefault="00FF24BC" w:rsidP="00EB2692">
            <w:pPr>
              <w:spacing w:after="0"/>
              <w:rPr>
                <w:b/>
              </w:rPr>
            </w:pPr>
            <w:r w:rsidRPr="00DF2447">
              <w:rPr>
                <w:b/>
                <w:bCs/>
              </w:rPr>
              <w:t>ML</w:t>
            </w:r>
            <w:r w:rsidRPr="00DF2447">
              <w:rPr>
                <w:b/>
                <w:bCs/>
                <w:vertAlign w:val="subscript"/>
              </w:rPr>
              <w:t>HIGH</w:t>
            </w:r>
            <w:r w:rsidRPr="00DF2447">
              <w:rPr>
                <w:b/>
                <w:bCs/>
              </w:rPr>
              <w:t xml:space="preserve"> + DD</w:t>
            </w:r>
            <w:r w:rsidRPr="00DF2447">
              <w:rPr>
                <w:b/>
                <w:bCs/>
                <w:vertAlign w:val="subscript"/>
              </w:rPr>
              <w:t>LOW</w:t>
            </w:r>
          </w:p>
          <w:p w14:paraId="72365998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8</w:t>
            </w:r>
          </w:p>
        </w:tc>
        <w:tc>
          <w:tcPr>
            <w:tcW w:w="2116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A180A97" w14:textId="77777777" w:rsidR="00FF24BC" w:rsidRPr="00DF2447" w:rsidRDefault="00FF24BC" w:rsidP="00EB2692">
            <w:pPr>
              <w:spacing w:after="0"/>
              <w:rPr>
                <w:b/>
              </w:rPr>
            </w:pPr>
            <w:r w:rsidRPr="00DF2447">
              <w:rPr>
                <w:b/>
                <w:bCs/>
              </w:rPr>
              <w:t>ML</w:t>
            </w:r>
            <w:r w:rsidRPr="00DF2447">
              <w:rPr>
                <w:b/>
                <w:bCs/>
                <w:vertAlign w:val="subscript"/>
              </w:rPr>
              <w:t>HIGH</w:t>
            </w:r>
            <w:r w:rsidRPr="00DF2447">
              <w:rPr>
                <w:b/>
                <w:bCs/>
              </w:rPr>
              <w:t xml:space="preserve"> + DD</w:t>
            </w:r>
            <w:r w:rsidRPr="00DF2447">
              <w:rPr>
                <w:b/>
                <w:bCs/>
                <w:vertAlign w:val="subscript"/>
              </w:rPr>
              <w:t>HIGH</w:t>
            </w:r>
          </w:p>
          <w:p w14:paraId="775B0BC2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7</w:t>
            </w:r>
          </w:p>
        </w:tc>
      </w:tr>
      <w:tr w:rsidR="00FF24BC" w:rsidRPr="00DF2447" w14:paraId="21B54F36" w14:textId="77777777" w:rsidTr="00FF24BC">
        <w:trPr>
          <w:trHeight w:val="255"/>
          <w:jc w:val="center"/>
        </w:trPr>
        <w:tc>
          <w:tcPr>
            <w:tcW w:w="2790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9320357" w14:textId="77777777" w:rsidR="00FF24BC" w:rsidRPr="00DF2447" w:rsidRDefault="00FF24BC" w:rsidP="00EB2692">
            <w:pPr>
              <w:spacing w:after="0"/>
              <w:rPr>
                <w:b/>
                <w:sz w:val="18"/>
                <w:szCs w:val="18"/>
              </w:rPr>
            </w:pPr>
            <w:r w:rsidRPr="00DF2447">
              <w:rPr>
                <w:b/>
                <w:bCs/>
                <w:sz w:val="18"/>
                <w:szCs w:val="18"/>
              </w:rPr>
              <w:t>Admission characteristics</w:t>
            </w:r>
          </w:p>
        </w:tc>
        <w:tc>
          <w:tcPr>
            <w:tcW w:w="2070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EB70D53" w14:textId="77777777" w:rsidR="00FF24BC" w:rsidRPr="00DF2447" w:rsidRDefault="00FF24BC" w:rsidP="00EB2692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F87187E" w14:textId="77777777" w:rsidR="00FF24BC" w:rsidRPr="00DF2447" w:rsidRDefault="00FF24BC" w:rsidP="00EB2692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CC396FA" w14:textId="77777777" w:rsidR="00FF24BC" w:rsidRPr="00DF2447" w:rsidRDefault="00FF24BC" w:rsidP="00EB2692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683E2BD" w14:textId="77777777" w:rsidR="00FF24BC" w:rsidRPr="00DF2447" w:rsidRDefault="00FF24BC" w:rsidP="00EB2692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C9E587C" w14:textId="77777777" w:rsidR="00FF24BC" w:rsidRPr="00DF2447" w:rsidRDefault="00FF24BC" w:rsidP="00EB2692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FF24BC" w:rsidRPr="00DF2447" w14:paraId="3DB83767" w14:textId="77777777" w:rsidTr="00FF24BC">
        <w:trPr>
          <w:trHeight w:val="25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3AC8D01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Age, years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4DAA36A7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28 (23-45)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15FF95F6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 xml:space="preserve">38 (27- </w:t>
            </w:r>
            <w:proofErr w:type="gramStart"/>
            <w:r w:rsidRPr="00DF2447">
              <w:rPr>
                <w:sz w:val="18"/>
                <w:szCs w:val="18"/>
              </w:rPr>
              <w:t>50)^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0928CA6C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50 (34-</w:t>
            </w:r>
            <w:proofErr w:type="gramStart"/>
            <w:r w:rsidRPr="00DF2447">
              <w:rPr>
                <w:sz w:val="18"/>
                <w:szCs w:val="18"/>
              </w:rPr>
              <w:t>62)*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CEA52B8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27 (23-45)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4474539B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58 (24-59)</w:t>
            </w:r>
          </w:p>
        </w:tc>
      </w:tr>
      <w:tr w:rsidR="00FF24BC" w:rsidRPr="00DF2447" w14:paraId="443DFB5F" w14:textId="77777777" w:rsidTr="00FF24BC">
        <w:trPr>
          <w:trHeight w:val="25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F3238F1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Male, n (%)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24BF5D2E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58 (85%)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C666934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44 (86%)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FDED245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34 (76%)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02358DDE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7 (88%)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B90273B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6 (86%)</w:t>
            </w:r>
          </w:p>
        </w:tc>
      </w:tr>
      <w:tr w:rsidR="00FF24BC" w:rsidRPr="00DF2447" w14:paraId="198F058C" w14:textId="77777777" w:rsidTr="00FF24BC">
        <w:trPr>
          <w:trHeight w:val="25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8E13C70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GCS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13D84EC3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15 (14-15)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C52398C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15 (14-15)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29769E3B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11 (4-</w:t>
            </w:r>
            <w:proofErr w:type="gramStart"/>
            <w:r w:rsidRPr="00DF2447">
              <w:rPr>
                <w:sz w:val="18"/>
                <w:szCs w:val="18"/>
              </w:rPr>
              <w:t>15)*</w:t>
            </w:r>
            <w:proofErr w:type="gramEnd"/>
            <w:r w:rsidRPr="00DF2447">
              <w:rPr>
                <w:sz w:val="18"/>
                <w:szCs w:val="18"/>
              </w:rPr>
              <w:t>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46A10657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15 (13-15)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2A7D0755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8 (4-12)</w:t>
            </w:r>
          </w:p>
        </w:tc>
      </w:tr>
      <w:tr w:rsidR="00FF24BC" w:rsidRPr="00DF2447" w14:paraId="330FBE7D" w14:textId="77777777" w:rsidTr="00FF24BC">
        <w:trPr>
          <w:trHeight w:val="25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ED49225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SBP, mmHg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BF75774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138 (116-154)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3AE2D7F4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138 (118-151)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2B838B2D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128 (99-164)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07F0786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131 (120-175)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4509923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120 (78-162)</w:t>
            </w:r>
          </w:p>
        </w:tc>
      </w:tr>
      <w:tr w:rsidR="00FF24BC" w:rsidRPr="00DF2447" w14:paraId="303FBC0C" w14:textId="77777777" w:rsidTr="00FF24BC">
        <w:trPr>
          <w:trHeight w:val="25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E0B9507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 xml:space="preserve">BD, </w:t>
            </w:r>
            <w:proofErr w:type="spellStart"/>
            <w:r w:rsidRPr="00DF2447">
              <w:rPr>
                <w:sz w:val="18"/>
                <w:szCs w:val="18"/>
              </w:rPr>
              <w:t>mmol</w:t>
            </w:r>
            <w:proofErr w:type="spellEnd"/>
            <w:r w:rsidRPr="00DF2447">
              <w:rPr>
                <w:sz w:val="18"/>
                <w:szCs w:val="18"/>
              </w:rPr>
              <w:t>/L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1D6122A9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0 (-1-1)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327B5D46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1.5 (-1-</w:t>
            </w:r>
            <w:proofErr w:type="gramStart"/>
            <w:r w:rsidRPr="00DF2447">
              <w:rPr>
                <w:sz w:val="18"/>
                <w:szCs w:val="18"/>
              </w:rPr>
              <w:t>4)^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41B622E4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2.5 (-1-</w:t>
            </w:r>
            <w:proofErr w:type="gramStart"/>
            <w:r w:rsidRPr="00DF2447">
              <w:rPr>
                <w:sz w:val="18"/>
                <w:szCs w:val="18"/>
              </w:rPr>
              <w:t>5)*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03656437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 (-2-16)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3C24E39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17 (9-</w:t>
            </w:r>
            <w:proofErr w:type="gramStart"/>
            <w:r w:rsidRPr="00DF2447">
              <w:rPr>
                <w:sz w:val="18"/>
                <w:szCs w:val="18"/>
              </w:rPr>
              <w:t>23)</w:t>
            </w:r>
            <w:r w:rsidRPr="00DF2447">
              <w:rPr>
                <w:b/>
                <w:sz w:val="18"/>
                <w:szCs w:val="18"/>
                <w:vertAlign w:val="superscript"/>
              </w:rPr>
              <w:t>+</w:t>
            </w:r>
            <w:proofErr w:type="gramEnd"/>
            <w:r w:rsidRPr="00DF2447">
              <w:rPr>
                <w:b/>
                <w:sz w:val="18"/>
                <w:szCs w:val="18"/>
                <w:vertAlign w:val="superscript"/>
              </w:rPr>
              <w:t>+</w:t>
            </w:r>
          </w:p>
        </w:tc>
      </w:tr>
      <w:tr w:rsidR="00FF24BC" w:rsidRPr="00DF2447" w14:paraId="08F5315B" w14:textId="77777777" w:rsidTr="00FF24BC">
        <w:trPr>
          <w:trHeight w:val="25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81DDBF3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INR &gt; 1.2, n (%)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4C8BA69C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3 (1%)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24838464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0 (0%)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47AC25F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10 (24%)**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47FB2BE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 (13%)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41F90302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3 (43%)</w:t>
            </w:r>
          </w:p>
        </w:tc>
      </w:tr>
      <w:tr w:rsidR="00FF24BC" w:rsidRPr="00DF2447" w14:paraId="7DDF2F09" w14:textId="77777777" w:rsidTr="00FF24BC">
        <w:trPr>
          <w:trHeight w:val="291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1732A6E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EXTEM ML, 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A2F848A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7 (6-10)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0BFCA662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3 (2-</w:t>
            </w:r>
            <w:proofErr w:type="gramStart"/>
            <w:r w:rsidRPr="00DF2447">
              <w:rPr>
                <w:sz w:val="18"/>
                <w:szCs w:val="18"/>
              </w:rPr>
              <w:t>4)^</w:t>
            </w:r>
            <w:proofErr w:type="gramEnd"/>
            <w:r w:rsidRPr="00DF2447">
              <w:rPr>
                <w:sz w:val="18"/>
                <w:szCs w:val="18"/>
              </w:rPr>
              <w:t>^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687C801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3 (2-4)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210B65D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17 (16-96)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630EC1E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100 (23-100)</w:t>
            </w:r>
          </w:p>
        </w:tc>
      </w:tr>
      <w:tr w:rsidR="00FF24BC" w:rsidRPr="00DF2447" w14:paraId="61A86631" w14:textId="77777777" w:rsidTr="00FF24BC">
        <w:trPr>
          <w:trHeight w:val="25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61C5AF0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D-Dimer, ng/ml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38D98DF8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4124 (664 – 11356)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0D282269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4224 (1041 – 11260)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7BCDC47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 xml:space="preserve">91700 (59388 – </w:t>
            </w:r>
            <w:proofErr w:type="gramStart"/>
            <w:r w:rsidRPr="00DF2447">
              <w:rPr>
                <w:sz w:val="18"/>
                <w:szCs w:val="18"/>
              </w:rPr>
              <w:t>140173)*</w:t>
            </w:r>
            <w:proofErr w:type="gramEnd"/>
            <w:r w:rsidRPr="00DF2447">
              <w:rPr>
                <w:sz w:val="18"/>
                <w:szCs w:val="18"/>
              </w:rPr>
              <w:t>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035B6A3C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2824 (689 – 1658)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5073C7D" w14:textId="77777777" w:rsidR="00FF24BC" w:rsidRPr="00DF2447" w:rsidRDefault="00FF24BC" w:rsidP="00EB2692">
            <w:pPr>
              <w:spacing w:after="0"/>
              <w:rPr>
                <w:sz w:val="18"/>
                <w:szCs w:val="18"/>
                <w:vertAlign w:val="superscript"/>
              </w:rPr>
            </w:pPr>
            <w:r w:rsidRPr="00DF2447">
              <w:rPr>
                <w:sz w:val="18"/>
                <w:szCs w:val="18"/>
              </w:rPr>
              <w:t>109193 (46600 – 336490)</w:t>
            </w:r>
          </w:p>
        </w:tc>
      </w:tr>
      <w:tr w:rsidR="00FF24BC" w:rsidRPr="00DF2447" w14:paraId="0CCD7CA9" w14:textId="77777777" w:rsidTr="00FF24BC">
        <w:trPr>
          <w:trHeight w:val="25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14655D64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Injury t</w:t>
            </w:r>
            <w:r w:rsidRPr="00DF2447">
              <w:rPr>
                <w:sz w:val="18"/>
                <w:szCs w:val="18"/>
              </w:rPr>
              <w:t>o sample</w:t>
            </w:r>
            <w:r>
              <w:rPr>
                <w:sz w:val="18"/>
                <w:szCs w:val="18"/>
              </w:rPr>
              <w:t xml:space="preserve"> time</w:t>
            </w:r>
            <w:r w:rsidRPr="00DF2447">
              <w:rPr>
                <w:sz w:val="18"/>
                <w:szCs w:val="18"/>
              </w:rPr>
              <w:t>, minutes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0FBC74E9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83 (62-99)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4BDDCF3B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88 (67-103)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1763FA4E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98 (82-</w:t>
            </w:r>
            <w:proofErr w:type="gramStart"/>
            <w:r w:rsidRPr="00DF2447">
              <w:rPr>
                <w:sz w:val="18"/>
                <w:szCs w:val="18"/>
              </w:rPr>
              <w:t>110)*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1863D14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85 (73-115)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45E211B1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104 (85-106)</w:t>
            </w:r>
          </w:p>
        </w:tc>
      </w:tr>
      <w:tr w:rsidR="00FF24BC" w:rsidRPr="00DF2447" w14:paraId="29E24247" w14:textId="77777777" w:rsidTr="00FF24BC">
        <w:trPr>
          <w:trHeight w:val="25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2340C34" w14:textId="77777777" w:rsidR="00FF24BC" w:rsidRPr="00DF2447" w:rsidRDefault="00FF24BC" w:rsidP="00EB2692">
            <w:pPr>
              <w:spacing w:after="0"/>
              <w:rPr>
                <w:b/>
                <w:sz w:val="18"/>
                <w:szCs w:val="18"/>
              </w:rPr>
            </w:pPr>
            <w:r w:rsidRPr="00DF2447">
              <w:rPr>
                <w:b/>
                <w:bCs/>
                <w:sz w:val="18"/>
                <w:szCs w:val="18"/>
              </w:rPr>
              <w:t>Injury characteristics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1C4F231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B8C30B1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2C34EFE9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05E48FEB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2C71EEC8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</w:p>
        </w:tc>
      </w:tr>
      <w:tr w:rsidR="00FF24BC" w:rsidRPr="00DF2447" w14:paraId="5E4D2013" w14:textId="77777777" w:rsidTr="00FF24BC">
        <w:trPr>
          <w:trHeight w:val="25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8156C8A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Blunt, n (%)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18F1E6AB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47 (69%)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132ADD41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40 (78%)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E76C3C1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44 (98%)*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D40A558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6 (75%)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1413FFE8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7 (100%)</w:t>
            </w:r>
          </w:p>
        </w:tc>
      </w:tr>
      <w:tr w:rsidR="00FF24BC" w:rsidRPr="00DF2447" w14:paraId="026B06A5" w14:textId="77777777" w:rsidTr="00FF24BC">
        <w:trPr>
          <w:trHeight w:val="25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FD46CF7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ISS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2365276F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10 (5-21)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AA68FC8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10 (4-17)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2E6F047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29 (20-</w:t>
            </w:r>
            <w:proofErr w:type="gramStart"/>
            <w:r w:rsidRPr="00DF2447">
              <w:rPr>
                <w:sz w:val="18"/>
                <w:szCs w:val="18"/>
              </w:rPr>
              <w:t>38)*</w:t>
            </w:r>
            <w:proofErr w:type="gramEnd"/>
            <w:r w:rsidRPr="00DF2447">
              <w:rPr>
                <w:sz w:val="18"/>
                <w:szCs w:val="18"/>
              </w:rPr>
              <w:t>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09CC11D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9 (5-29)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28A94FE7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27 (25-41)</w:t>
            </w:r>
          </w:p>
        </w:tc>
      </w:tr>
      <w:tr w:rsidR="00FF24BC" w:rsidRPr="00DF2447" w14:paraId="314B3EAB" w14:textId="77777777" w:rsidTr="00FF24BC">
        <w:trPr>
          <w:trHeight w:val="25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EEAA47B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AIS Head &amp; Neck ≥ 3, n (%)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AB4F9E5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0 (0-1)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3BE3B6A9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0 (0-2)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29E33D86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4 (0-</w:t>
            </w:r>
            <w:proofErr w:type="gramStart"/>
            <w:r w:rsidRPr="00DF2447">
              <w:rPr>
                <w:sz w:val="18"/>
                <w:szCs w:val="18"/>
              </w:rPr>
              <w:t>5)*</w:t>
            </w:r>
            <w:proofErr w:type="gramEnd"/>
            <w:r w:rsidRPr="00DF2447">
              <w:rPr>
                <w:sz w:val="18"/>
                <w:szCs w:val="18"/>
              </w:rPr>
              <w:t>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0DBC0624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0 (0-0)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014438FF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0 (0-5)</w:t>
            </w:r>
          </w:p>
        </w:tc>
      </w:tr>
      <w:tr w:rsidR="00FF24BC" w:rsidRPr="00DF2447" w14:paraId="75A6CD67" w14:textId="77777777" w:rsidTr="00FF24BC">
        <w:trPr>
          <w:trHeight w:val="25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EAFEA29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AIS Thorax ≥ 3, n (%)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2DB6E32D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0 (0-3)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C3600FD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0 (0-3)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1ED0BE9E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3 (1-</w:t>
            </w:r>
            <w:proofErr w:type="gramStart"/>
            <w:r w:rsidRPr="00DF2447">
              <w:rPr>
                <w:sz w:val="18"/>
                <w:szCs w:val="18"/>
              </w:rPr>
              <w:t>4)*</w:t>
            </w:r>
            <w:proofErr w:type="gramEnd"/>
            <w:r w:rsidRPr="00DF2447">
              <w:rPr>
                <w:sz w:val="18"/>
                <w:szCs w:val="18"/>
              </w:rPr>
              <w:t>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492D8751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0 (0-3)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2AD190C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3 (0-4)</w:t>
            </w:r>
          </w:p>
        </w:tc>
      </w:tr>
      <w:tr w:rsidR="00FF24BC" w:rsidRPr="00DF2447" w14:paraId="37532D1F" w14:textId="77777777" w:rsidTr="00FF24BC">
        <w:trPr>
          <w:trHeight w:val="25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B22E5ED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 xml:space="preserve">AIS </w:t>
            </w:r>
            <w:proofErr w:type="spellStart"/>
            <w:r w:rsidRPr="00DF2447">
              <w:rPr>
                <w:sz w:val="18"/>
                <w:szCs w:val="18"/>
              </w:rPr>
              <w:t>Abdo</w:t>
            </w:r>
            <w:proofErr w:type="spellEnd"/>
            <w:r w:rsidRPr="00DF2447">
              <w:rPr>
                <w:sz w:val="18"/>
                <w:szCs w:val="18"/>
              </w:rPr>
              <w:t>/pelvis ≥ 3, n (%)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24DB722B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0 (0-2)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11B79086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0 (0-0)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4A30214C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0 (0-2)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337A386D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0 (0-2)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2D382F0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0 (0-1)</w:t>
            </w:r>
          </w:p>
        </w:tc>
      </w:tr>
      <w:tr w:rsidR="00FF24BC" w:rsidRPr="00DF2447" w14:paraId="773FD064" w14:textId="77777777" w:rsidTr="00FF24BC">
        <w:trPr>
          <w:trHeight w:val="25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CF6C286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AIS Extremity ≥ 3, n (%)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191545C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 (0-2)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F5E4AC6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 (0-2)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0F6789CA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2 (0-3)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121DC79A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2 (0-3)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1B7F21C9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0 (0-4)</w:t>
            </w:r>
          </w:p>
        </w:tc>
      </w:tr>
      <w:tr w:rsidR="00FF24BC" w:rsidRPr="00DF2447" w14:paraId="7F3D04B6" w14:textId="77777777" w:rsidTr="00FF24BC">
        <w:trPr>
          <w:trHeight w:val="25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62A8B41" w14:textId="77777777" w:rsidR="00FF24BC" w:rsidRPr="00DF2447" w:rsidRDefault="00FF24BC" w:rsidP="00EB2692">
            <w:pPr>
              <w:spacing w:after="0"/>
              <w:rPr>
                <w:b/>
                <w:sz w:val="18"/>
                <w:szCs w:val="18"/>
              </w:rPr>
            </w:pPr>
            <w:r w:rsidRPr="00DF2447">
              <w:rPr>
                <w:b/>
                <w:bCs/>
                <w:sz w:val="18"/>
                <w:szCs w:val="18"/>
              </w:rPr>
              <w:t>Fluid &amp; Blood product totals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092D316E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25CE0342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B5FBA97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28614DC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CDB2C3C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</w:p>
        </w:tc>
      </w:tr>
      <w:tr w:rsidR="00FF24BC" w:rsidRPr="00DF2447" w14:paraId="47680AA0" w14:textId="77777777" w:rsidTr="00FF24BC">
        <w:trPr>
          <w:trHeight w:val="25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2EAB154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Pre-baseline crystalloid, ml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0A1BD0E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0 (0-0)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37DE9E40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0 (0-</w:t>
            </w:r>
            <w:proofErr w:type="gramStart"/>
            <w:r w:rsidRPr="00DF2447">
              <w:rPr>
                <w:sz w:val="18"/>
                <w:szCs w:val="18"/>
              </w:rPr>
              <w:t>250)^</w:t>
            </w:r>
            <w:proofErr w:type="gramEnd"/>
            <w:r w:rsidRPr="00DF2447">
              <w:rPr>
                <w:sz w:val="18"/>
                <w:szCs w:val="18"/>
              </w:rPr>
              <w:t>^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269C0C2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225 (0-</w:t>
            </w:r>
            <w:proofErr w:type="gramStart"/>
            <w:r w:rsidRPr="00DF2447">
              <w:rPr>
                <w:sz w:val="18"/>
                <w:szCs w:val="18"/>
              </w:rPr>
              <w:t>500)*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E14C591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0 (0-450)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DEC2583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500 (250-1500)</w:t>
            </w:r>
          </w:p>
        </w:tc>
      </w:tr>
      <w:tr w:rsidR="00FF24BC" w:rsidRPr="00DF2447" w14:paraId="4619BC71" w14:textId="77777777" w:rsidTr="00FF24BC">
        <w:trPr>
          <w:trHeight w:val="25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D6C7583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Pre-baseline PRBC, units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44E5172E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0 (0-0)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23B70B77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0 (0-0)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403FA035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0 (0-0)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3F1F222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0 (0-0)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3E2FD3C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0 (0-0)</w:t>
            </w:r>
          </w:p>
        </w:tc>
      </w:tr>
      <w:tr w:rsidR="00FF24BC" w:rsidRPr="00DF2447" w14:paraId="0D9733D4" w14:textId="77777777" w:rsidTr="00FF24BC">
        <w:trPr>
          <w:trHeight w:val="25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45F0621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12hr Crystalloid, ml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2C7AF9FB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100 (0-2075)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04D4CB6F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250 (0-1500)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28D0C1B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1500 (400-</w:t>
            </w:r>
            <w:proofErr w:type="gramStart"/>
            <w:r w:rsidRPr="00DF2447">
              <w:rPr>
                <w:sz w:val="18"/>
                <w:szCs w:val="18"/>
              </w:rPr>
              <w:t>2900)*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28165D26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0 (0-2000)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D003FA9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1250 (500-4900)</w:t>
            </w:r>
          </w:p>
        </w:tc>
      </w:tr>
      <w:tr w:rsidR="00FF24BC" w:rsidRPr="00DF2447" w14:paraId="1C24600E" w14:textId="77777777" w:rsidTr="00FF24BC">
        <w:trPr>
          <w:trHeight w:val="25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CAC022F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12hr PRBC, units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DDCD1C9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0 (0-0)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4B691104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0 (0-0)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18BEB02E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0 (0-</w:t>
            </w:r>
            <w:proofErr w:type="gramStart"/>
            <w:r w:rsidRPr="00DF2447">
              <w:rPr>
                <w:sz w:val="18"/>
                <w:szCs w:val="18"/>
              </w:rPr>
              <w:t>4)*</w:t>
            </w:r>
            <w:proofErr w:type="gramEnd"/>
            <w:r w:rsidRPr="00DF2447">
              <w:rPr>
                <w:sz w:val="18"/>
                <w:szCs w:val="18"/>
              </w:rPr>
              <w:t>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6799380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0 (0-20)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11C7794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11 (4-</w:t>
            </w:r>
            <w:proofErr w:type="gramStart"/>
            <w:r w:rsidRPr="00DF2447">
              <w:rPr>
                <w:sz w:val="18"/>
                <w:szCs w:val="18"/>
              </w:rPr>
              <w:t>20)</w:t>
            </w:r>
            <w:r w:rsidRPr="00DF2447">
              <w:rPr>
                <w:b/>
                <w:sz w:val="18"/>
                <w:szCs w:val="18"/>
                <w:vertAlign w:val="superscript"/>
              </w:rPr>
              <w:t>+</w:t>
            </w:r>
            <w:proofErr w:type="gramEnd"/>
            <w:r w:rsidRPr="00DF2447">
              <w:rPr>
                <w:b/>
                <w:sz w:val="18"/>
                <w:szCs w:val="18"/>
                <w:vertAlign w:val="superscript"/>
              </w:rPr>
              <w:t>+</w:t>
            </w:r>
          </w:p>
        </w:tc>
      </w:tr>
      <w:tr w:rsidR="00FF24BC" w:rsidRPr="00DF2447" w14:paraId="3507EFE7" w14:textId="77777777" w:rsidTr="00FF24BC">
        <w:trPr>
          <w:trHeight w:val="25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A85B328" w14:textId="77777777" w:rsidR="00FF24BC" w:rsidRPr="00DF2447" w:rsidRDefault="00FF24BC" w:rsidP="00EB2692">
            <w:pPr>
              <w:spacing w:after="0"/>
              <w:rPr>
                <w:b/>
                <w:sz w:val="18"/>
                <w:szCs w:val="18"/>
              </w:rPr>
            </w:pPr>
            <w:r w:rsidRPr="00DF2447">
              <w:rPr>
                <w:b/>
                <w:bCs/>
                <w:sz w:val="18"/>
                <w:szCs w:val="18"/>
              </w:rPr>
              <w:t>Outcomes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3636D69B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0D3C050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0685AC43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12E28BB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2DD7615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</w:p>
        </w:tc>
      </w:tr>
      <w:tr w:rsidR="00FF24BC" w:rsidRPr="00DF2447" w14:paraId="31124B7D" w14:textId="77777777" w:rsidTr="00FF24BC">
        <w:trPr>
          <w:trHeight w:val="25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C8B3688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Massive Transfusion, n (%)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3B7A911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0 (0%)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47DDCAB7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0 (0%)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22B6AAA5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2 (4%)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4BD3F73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2 (29%)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B3811DD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4 (50%)</w:t>
            </w:r>
            <w:r w:rsidRPr="00DF2447">
              <w:rPr>
                <w:b/>
                <w:sz w:val="18"/>
                <w:szCs w:val="18"/>
                <w:vertAlign w:val="superscript"/>
              </w:rPr>
              <w:t>+</w:t>
            </w:r>
          </w:p>
        </w:tc>
      </w:tr>
      <w:tr w:rsidR="00FF24BC" w:rsidRPr="00DF2447" w14:paraId="445391AF" w14:textId="77777777" w:rsidTr="00FF24BC">
        <w:trPr>
          <w:trHeight w:val="25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5E6CC29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VTE, n (%)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2232FAE4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0 (0%)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18CFC6EF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0 (0%)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60F8AF3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 (2%)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4D527B19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0 (0%)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0493A6E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0 (0%)</w:t>
            </w:r>
          </w:p>
        </w:tc>
      </w:tr>
      <w:tr w:rsidR="00FF24BC" w:rsidRPr="00DF2447" w14:paraId="4AB40C8C" w14:textId="77777777" w:rsidTr="00FF24BC">
        <w:trPr>
          <w:trHeight w:val="25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508CD00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Critical Care LOS (survivors)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4DAD5E74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0 (0-0)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0F0D5FBC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0 (0-0)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0F1E6FBD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5 (1-</w:t>
            </w:r>
            <w:proofErr w:type="gramStart"/>
            <w:r w:rsidRPr="00DF2447">
              <w:rPr>
                <w:sz w:val="18"/>
                <w:szCs w:val="18"/>
              </w:rPr>
              <w:t>12)*</w:t>
            </w:r>
            <w:proofErr w:type="gramEnd"/>
            <w:r w:rsidRPr="00DF2447">
              <w:rPr>
                <w:sz w:val="18"/>
                <w:szCs w:val="18"/>
              </w:rPr>
              <w:t>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1DB1613B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0 (0-0)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38EBD76C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10 (8-11)</w:t>
            </w:r>
          </w:p>
        </w:tc>
      </w:tr>
      <w:tr w:rsidR="00FF24BC" w:rsidRPr="00DF2447" w14:paraId="5A30B9E9" w14:textId="77777777" w:rsidTr="00FF24BC">
        <w:trPr>
          <w:trHeight w:val="25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852272E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Hospital LOS (survivors)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02B60521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7 (2-15)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1BEF6861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7 (2-13)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4A841D38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24 (14-</w:t>
            </w:r>
            <w:proofErr w:type="gramStart"/>
            <w:r w:rsidRPr="00DF2447">
              <w:rPr>
                <w:sz w:val="18"/>
                <w:szCs w:val="18"/>
              </w:rPr>
              <w:t>45)*</w:t>
            </w:r>
            <w:proofErr w:type="gramEnd"/>
            <w:r w:rsidRPr="00DF2447">
              <w:rPr>
                <w:sz w:val="18"/>
                <w:szCs w:val="18"/>
              </w:rPr>
              <w:t>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4961BEDE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6 (1-12)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45E4161A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39 (38-39)</w:t>
            </w:r>
          </w:p>
        </w:tc>
      </w:tr>
      <w:tr w:rsidR="00FF24BC" w:rsidRPr="00DF2447" w14:paraId="6E17D5DA" w14:textId="77777777" w:rsidTr="00FF24BC">
        <w:trPr>
          <w:trHeight w:val="25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A591103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24hr mortality, n (%)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5EE731C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 (2%)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07C2DCE8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 (2%)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9A15AB0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6 (13%)*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1E210ACD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 (13%)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4A80D6C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5 (71%)</w:t>
            </w:r>
            <w:r w:rsidRPr="00DF2447">
              <w:rPr>
                <w:b/>
                <w:sz w:val="18"/>
                <w:szCs w:val="18"/>
                <w:vertAlign w:val="superscript"/>
              </w:rPr>
              <w:t>+</w:t>
            </w:r>
          </w:p>
        </w:tc>
      </w:tr>
      <w:tr w:rsidR="00FF24BC" w:rsidRPr="00DF2447" w14:paraId="76EC4CB9" w14:textId="77777777" w:rsidTr="00FF24BC">
        <w:trPr>
          <w:trHeight w:val="25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3740282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28-day mortality, n (%)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349107E0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2 (3%)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3AE7DD43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2 (4%)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C2038B7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15 (33%)**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2B2CBB78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2 (25%)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E20AF27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5 (71%)</w:t>
            </w:r>
          </w:p>
        </w:tc>
      </w:tr>
      <w:tr w:rsidR="00FF24BC" w:rsidRPr="00DF2447" w14:paraId="497BCADD" w14:textId="77777777" w:rsidTr="00FF24BC">
        <w:trPr>
          <w:trHeight w:val="228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248423A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bookmarkStart w:id="0" w:name="OLE_LINK1"/>
            <w:r w:rsidRPr="00DF2447">
              <w:rPr>
                <w:sz w:val="18"/>
                <w:szCs w:val="18"/>
              </w:rPr>
              <w:t>Time to death, days</w:t>
            </w:r>
            <w:bookmarkEnd w:id="0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09219001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2 (1-2)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79E1D2D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3 (1-11)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37D224A2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 (0-6)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13D43A2A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2 (0-3)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4FC81288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0 (0-0)</w:t>
            </w:r>
            <w:r w:rsidRPr="00DF2447">
              <w:rPr>
                <w:sz w:val="18"/>
                <w:szCs w:val="18"/>
                <w:vertAlign w:val="superscript"/>
              </w:rPr>
              <w:t xml:space="preserve"> </w:t>
            </w:r>
            <w:r w:rsidRPr="00DF2447">
              <w:rPr>
                <w:b/>
                <w:sz w:val="18"/>
                <w:szCs w:val="18"/>
                <w:vertAlign w:val="superscript"/>
              </w:rPr>
              <w:t>+</w:t>
            </w:r>
          </w:p>
        </w:tc>
      </w:tr>
    </w:tbl>
    <w:p w14:paraId="08B94CD0" w14:textId="77777777" w:rsidR="00FF24BC" w:rsidRDefault="00FF24BC" w:rsidP="0023446F">
      <w:pPr>
        <w:spacing w:after="0"/>
      </w:pPr>
    </w:p>
    <w:p w14:paraId="239A4997" w14:textId="77777777" w:rsidR="00FF24BC" w:rsidRPr="00DF2447" w:rsidRDefault="00FF24BC" w:rsidP="00FF24BC">
      <w:pPr>
        <w:spacing w:after="0"/>
        <w:rPr>
          <w:b/>
        </w:rPr>
      </w:pPr>
      <w:r w:rsidRPr="00DF2447">
        <w:t xml:space="preserve">All values are median with interquartile range unless specified. Continuous data compared with Mann-Whitney U-test. Categorical data compared with Fisher’s exact test. ^p&lt;0.05, ^^p&lt;0.001, </w:t>
      </w:r>
      <w:r w:rsidRPr="00DF2447">
        <w:rPr>
          <w:bCs/>
        </w:rPr>
        <w:t>ML</w:t>
      </w:r>
      <w:r w:rsidRPr="00DF2447">
        <w:rPr>
          <w:bCs/>
          <w:vertAlign w:val="subscript"/>
        </w:rPr>
        <w:t>NORMAL</w:t>
      </w:r>
      <w:r w:rsidRPr="00DF2447">
        <w:t xml:space="preserve"> vs</w:t>
      </w:r>
      <w:r w:rsidRPr="00DF2447">
        <w:rPr>
          <w:bCs/>
        </w:rPr>
        <w:t xml:space="preserve"> ML</w:t>
      </w:r>
      <w:r w:rsidRPr="00DF2447">
        <w:rPr>
          <w:bCs/>
          <w:vertAlign w:val="subscript"/>
        </w:rPr>
        <w:t>LOW</w:t>
      </w:r>
      <w:r w:rsidRPr="00DF2447">
        <w:rPr>
          <w:bCs/>
        </w:rPr>
        <w:t xml:space="preserve"> + DD</w:t>
      </w:r>
      <w:r w:rsidRPr="00DF2447">
        <w:rPr>
          <w:bCs/>
          <w:vertAlign w:val="subscript"/>
        </w:rPr>
        <w:t>LOW</w:t>
      </w:r>
      <w:r w:rsidRPr="00DF2447">
        <w:t>. *p&lt;0.05</w:t>
      </w:r>
      <w:r>
        <w:t>,</w:t>
      </w:r>
      <w:r w:rsidRPr="00DF2447">
        <w:t xml:space="preserve"> **p&lt;0.001,</w:t>
      </w:r>
      <w:r w:rsidRPr="00DF2447">
        <w:rPr>
          <w:bCs/>
        </w:rPr>
        <w:t xml:space="preserve"> ML</w:t>
      </w:r>
      <w:r w:rsidRPr="00DF2447">
        <w:rPr>
          <w:bCs/>
          <w:vertAlign w:val="subscript"/>
        </w:rPr>
        <w:t>LOW</w:t>
      </w:r>
      <w:r w:rsidRPr="00DF2447">
        <w:rPr>
          <w:bCs/>
        </w:rPr>
        <w:t xml:space="preserve"> + DD</w:t>
      </w:r>
      <w:r w:rsidRPr="00DF2447">
        <w:rPr>
          <w:bCs/>
          <w:vertAlign w:val="subscript"/>
        </w:rPr>
        <w:t xml:space="preserve">HIGH </w:t>
      </w:r>
      <w:r w:rsidRPr="00DF2447">
        <w:rPr>
          <w:bCs/>
        </w:rPr>
        <w:t>vs ML</w:t>
      </w:r>
      <w:r w:rsidRPr="00DF2447">
        <w:rPr>
          <w:bCs/>
          <w:vertAlign w:val="subscript"/>
        </w:rPr>
        <w:t>LOW</w:t>
      </w:r>
      <w:r w:rsidRPr="00DF2447">
        <w:rPr>
          <w:bCs/>
        </w:rPr>
        <w:t xml:space="preserve"> + DD</w:t>
      </w:r>
      <w:r w:rsidRPr="00DF2447">
        <w:rPr>
          <w:bCs/>
          <w:vertAlign w:val="subscript"/>
        </w:rPr>
        <w:t xml:space="preserve">LOW. </w:t>
      </w:r>
      <w:r w:rsidRPr="00DF2447">
        <w:rPr>
          <w:bCs/>
          <w:vertAlign w:val="superscript"/>
        </w:rPr>
        <w:t>+</w:t>
      </w:r>
      <w:r w:rsidRPr="00DF2447">
        <w:rPr>
          <w:bCs/>
        </w:rPr>
        <w:t>p&lt;0.05</w:t>
      </w:r>
      <w:r>
        <w:rPr>
          <w:bCs/>
        </w:rPr>
        <w:t>,</w:t>
      </w:r>
      <w:r w:rsidRPr="00DF2447">
        <w:rPr>
          <w:bCs/>
        </w:rPr>
        <w:t xml:space="preserve"> </w:t>
      </w:r>
      <w:r w:rsidRPr="006A5F94">
        <w:rPr>
          <w:bCs/>
          <w:vertAlign w:val="superscript"/>
        </w:rPr>
        <w:t>++</w:t>
      </w:r>
      <w:r w:rsidRPr="00DF2447">
        <w:rPr>
          <w:bCs/>
        </w:rPr>
        <w:t>p&lt;0.001, ML</w:t>
      </w:r>
      <w:r w:rsidRPr="00DF2447">
        <w:rPr>
          <w:bCs/>
          <w:vertAlign w:val="subscript"/>
        </w:rPr>
        <w:t>HIGH</w:t>
      </w:r>
      <w:r w:rsidRPr="00DF2447">
        <w:rPr>
          <w:bCs/>
        </w:rPr>
        <w:t xml:space="preserve"> + DD</w:t>
      </w:r>
      <w:r w:rsidRPr="00DF2447">
        <w:rPr>
          <w:bCs/>
          <w:vertAlign w:val="subscript"/>
        </w:rPr>
        <w:t xml:space="preserve">HIGH </w:t>
      </w:r>
      <w:r w:rsidRPr="00DF2447">
        <w:rPr>
          <w:bCs/>
        </w:rPr>
        <w:t>vs ML</w:t>
      </w:r>
      <w:r w:rsidRPr="00DF2447">
        <w:rPr>
          <w:bCs/>
          <w:vertAlign w:val="subscript"/>
        </w:rPr>
        <w:t>LOW</w:t>
      </w:r>
      <w:r w:rsidRPr="00DF2447">
        <w:rPr>
          <w:bCs/>
        </w:rPr>
        <w:t xml:space="preserve"> + DD</w:t>
      </w:r>
      <w:r w:rsidRPr="00DF2447">
        <w:rPr>
          <w:bCs/>
          <w:vertAlign w:val="subscript"/>
        </w:rPr>
        <w:t>HIGH</w:t>
      </w:r>
      <w:r w:rsidRPr="00DF2447">
        <w:rPr>
          <w:bCs/>
        </w:rPr>
        <w:t xml:space="preserve">. GCS, Glasgow coma score. SBP, systolic blood pressure. </w:t>
      </w:r>
      <w:r>
        <w:rPr>
          <w:bCs/>
        </w:rPr>
        <w:t xml:space="preserve">BD, base deficit. </w:t>
      </w:r>
      <w:r w:rsidRPr="00DF2447">
        <w:rPr>
          <w:bCs/>
        </w:rPr>
        <w:t>INR, international normalized ratio. ML, maximum lysis</w:t>
      </w:r>
      <w:r>
        <w:rPr>
          <w:bCs/>
        </w:rPr>
        <w:t>.</w:t>
      </w:r>
      <w:r w:rsidRPr="00DF2447">
        <w:rPr>
          <w:bCs/>
        </w:rPr>
        <w:t xml:space="preserve"> ISS, injury severity score. AIS, abbreviated injury score. PRBC, packed red blood cells. VTE, venous thromboembolism. LOS, length of stay</w:t>
      </w:r>
      <w:r>
        <w:rPr>
          <w:bCs/>
        </w:rPr>
        <w:t xml:space="preserve"> in days</w:t>
      </w:r>
    </w:p>
    <w:p w14:paraId="2FE19807" w14:textId="77777777" w:rsidR="00FF24BC" w:rsidRDefault="00FF24BC" w:rsidP="00FF24BC">
      <w:pPr>
        <w:spacing w:after="0"/>
        <w:outlineLvl w:val="0"/>
      </w:pPr>
      <w:r w:rsidRPr="00DF2447">
        <w:rPr>
          <w:b/>
        </w:rPr>
        <w:lastRenderedPageBreak/>
        <w:t>Supplemental Table 2: Coagulation profiles in the extended biomarker subgroup.</w:t>
      </w:r>
      <w:r w:rsidRPr="00DF2447">
        <w:t xml:space="preserve"> </w:t>
      </w:r>
    </w:p>
    <w:p w14:paraId="4F289540" w14:textId="77777777" w:rsidR="00FF24BC" w:rsidRPr="00DF2447" w:rsidRDefault="00FF24BC" w:rsidP="00FF24BC">
      <w:pPr>
        <w:spacing w:after="0"/>
        <w:rPr>
          <w:b/>
        </w:rPr>
      </w:pPr>
    </w:p>
    <w:tbl>
      <w:tblPr>
        <w:tblW w:w="141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2121"/>
        <w:gridCol w:w="2120"/>
        <w:gridCol w:w="2120"/>
        <w:gridCol w:w="2125"/>
        <w:gridCol w:w="2120"/>
      </w:tblGrid>
      <w:tr w:rsidR="00FF24BC" w:rsidRPr="00DF2447" w14:paraId="587F3CB0" w14:textId="77777777" w:rsidTr="00FF24BC">
        <w:trPr>
          <w:trHeight w:val="510"/>
          <w:jc w:val="center"/>
        </w:trPr>
        <w:tc>
          <w:tcPr>
            <w:tcW w:w="3570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39FE838" w14:textId="77777777" w:rsidR="00FF24BC" w:rsidRPr="00DF2447" w:rsidRDefault="00FF24BC" w:rsidP="00EB2692">
            <w:pPr>
              <w:spacing w:after="0"/>
              <w:rPr>
                <w:sz w:val="26"/>
                <w:szCs w:val="26"/>
              </w:rPr>
            </w:pPr>
          </w:p>
          <w:p w14:paraId="089CA4AF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Number of Patients</w:t>
            </w:r>
          </w:p>
        </w:tc>
        <w:tc>
          <w:tcPr>
            <w:tcW w:w="2121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C66761B" w14:textId="77777777" w:rsidR="00FF24BC" w:rsidRPr="00DF2447" w:rsidRDefault="00FF24BC" w:rsidP="00EB2692">
            <w:pPr>
              <w:spacing w:after="0"/>
              <w:rPr>
                <w:b/>
              </w:rPr>
            </w:pPr>
            <w:r w:rsidRPr="00DF2447">
              <w:rPr>
                <w:b/>
                <w:bCs/>
              </w:rPr>
              <w:t>ML</w:t>
            </w:r>
            <w:r w:rsidRPr="00DF2447">
              <w:rPr>
                <w:b/>
                <w:bCs/>
                <w:vertAlign w:val="subscript"/>
              </w:rPr>
              <w:t>NORMAL</w:t>
            </w:r>
          </w:p>
          <w:p w14:paraId="01CDF448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68</w:t>
            </w:r>
          </w:p>
        </w:tc>
        <w:tc>
          <w:tcPr>
            <w:tcW w:w="2120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521150B" w14:textId="77777777" w:rsidR="00FF24BC" w:rsidRPr="00DF2447" w:rsidRDefault="00FF24BC" w:rsidP="00EB2692">
            <w:pPr>
              <w:spacing w:after="0"/>
              <w:rPr>
                <w:b/>
              </w:rPr>
            </w:pPr>
            <w:r w:rsidRPr="00DF2447">
              <w:rPr>
                <w:b/>
                <w:bCs/>
              </w:rPr>
              <w:t>ML</w:t>
            </w:r>
            <w:r w:rsidRPr="00DF2447">
              <w:rPr>
                <w:b/>
                <w:bCs/>
                <w:vertAlign w:val="subscript"/>
              </w:rPr>
              <w:t>LOW</w:t>
            </w:r>
            <w:r w:rsidRPr="00DF2447">
              <w:rPr>
                <w:b/>
                <w:bCs/>
              </w:rPr>
              <w:t xml:space="preserve"> + DD</w:t>
            </w:r>
            <w:r w:rsidRPr="00DF2447">
              <w:rPr>
                <w:b/>
                <w:bCs/>
                <w:vertAlign w:val="subscript"/>
              </w:rPr>
              <w:t>LOW</w:t>
            </w:r>
          </w:p>
          <w:p w14:paraId="71312B40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51</w:t>
            </w:r>
          </w:p>
        </w:tc>
        <w:tc>
          <w:tcPr>
            <w:tcW w:w="2120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6552872" w14:textId="77777777" w:rsidR="00FF24BC" w:rsidRPr="00DF2447" w:rsidRDefault="00FF24BC" w:rsidP="00EB2692">
            <w:pPr>
              <w:spacing w:after="0"/>
              <w:rPr>
                <w:b/>
              </w:rPr>
            </w:pPr>
            <w:r w:rsidRPr="00DF2447">
              <w:rPr>
                <w:b/>
                <w:bCs/>
              </w:rPr>
              <w:t>ML</w:t>
            </w:r>
            <w:r w:rsidRPr="00DF2447">
              <w:rPr>
                <w:b/>
                <w:bCs/>
                <w:vertAlign w:val="subscript"/>
              </w:rPr>
              <w:t>LOW</w:t>
            </w:r>
            <w:r w:rsidRPr="00DF2447">
              <w:rPr>
                <w:b/>
                <w:bCs/>
              </w:rPr>
              <w:t xml:space="preserve"> + DD</w:t>
            </w:r>
            <w:r w:rsidRPr="00DF2447">
              <w:rPr>
                <w:b/>
                <w:bCs/>
                <w:vertAlign w:val="subscript"/>
              </w:rPr>
              <w:t>HIGH</w:t>
            </w:r>
          </w:p>
          <w:p w14:paraId="0BFD4A00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45</w:t>
            </w:r>
          </w:p>
        </w:tc>
        <w:tc>
          <w:tcPr>
            <w:tcW w:w="2125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F0C9867" w14:textId="77777777" w:rsidR="00FF24BC" w:rsidRPr="00DF2447" w:rsidRDefault="00FF24BC" w:rsidP="00EB2692">
            <w:pPr>
              <w:spacing w:after="0"/>
              <w:rPr>
                <w:b/>
              </w:rPr>
            </w:pPr>
            <w:r w:rsidRPr="00DF2447">
              <w:rPr>
                <w:b/>
                <w:bCs/>
              </w:rPr>
              <w:t>ML</w:t>
            </w:r>
            <w:r w:rsidRPr="00DF2447">
              <w:rPr>
                <w:b/>
                <w:bCs/>
                <w:vertAlign w:val="subscript"/>
              </w:rPr>
              <w:t>HIGH</w:t>
            </w:r>
            <w:r w:rsidRPr="00DF2447">
              <w:rPr>
                <w:b/>
                <w:bCs/>
              </w:rPr>
              <w:t xml:space="preserve"> + DD</w:t>
            </w:r>
            <w:r w:rsidRPr="00DF2447">
              <w:rPr>
                <w:b/>
                <w:bCs/>
                <w:vertAlign w:val="subscript"/>
              </w:rPr>
              <w:t>LOW</w:t>
            </w:r>
          </w:p>
          <w:p w14:paraId="713F55F2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8</w:t>
            </w:r>
          </w:p>
        </w:tc>
        <w:tc>
          <w:tcPr>
            <w:tcW w:w="2120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5D11D67" w14:textId="77777777" w:rsidR="00FF24BC" w:rsidRPr="00DF2447" w:rsidRDefault="00FF24BC" w:rsidP="00EB2692">
            <w:pPr>
              <w:spacing w:after="0"/>
              <w:rPr>
                <w:b/>
              </w:rPr>
            </w:pPr>
            <w:r w:rsidRPr="00DF2447">
              <w:rPr>
                <w:b/>
                <w:bCs/>
              </w:rPr>
              <w:t>ML</w:t>
            </w:r>
            <w:r w:rsidRPr="00DF2447">
              <w:rPr>
                <w:b/>
                <w:bCs/>
                <w:vertAlign w:val="subscript"/>
              </w:rPr>
              <w:t>HIGH</w:t>
            </w:r>
            <w:r w:rsidRPr="00DF2447">
              <w:rPr>
                <w:b/>
                <w:bCs/>
              </w:rPr>
              <w:t xml:space="preserve"> + DD</w:t>
            </w:r>
            <w:r w:rsidRPr="00DF2447">
              <w:rPr>
                <w:b/>
                <w:bCs/>
                <w:vertAlign w:val="subscript"/>
              </w:rPr>
              <w:t>HIGH</w:t>
            </w:r>
          </w:p>
          <w:p w14:paraId="6261AEE4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7</w:t>
            </w:r>
          </w:p>
        </w:tc>
      </w:tr>
      <w:tr w:rsidR="00FF24BC" w:rsidRPr="00DF2447" w14:paraId="05F40F4E" w14:textId="77777777" w:rsidTr="00FF24BC">
        <w:trPr>
          <w:trHeight w:val="255"/>
          <w:jc w:val="center"/>
        </w:trPr>
        <w:tc>
          <w:tcPr>
            <w:tcW w:w="3570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2448204E" w14:textId="77777777" w:rsidR="00FF24BC" w:rsidRPr="00DF2447" w:rsidRDefault="00FF24BC" w:rsidP="00EB2692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E0C072E" w14:textId="77777777" w:rsidR="00FF24BC" w:rsidRPr="00DF2447" w:rsidRDefault="00FF24BC" w:rsidP="00EB2692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E7C6E6B" w14:textId="77777777" w:rsidR="00FF24BC" w:rsidRPr="00DF2447" w:rsidRDefault="00FF24BC" w:rsidP="00EB2692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6A4B857" w14:textId="77777777" w:rsidR="00FF24BC" w:rsidRPr="00DF2447" w:rsidRDefault="00FF24BC" w:rsidP="00EB2692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840C7A9" w14:textId="77777777" w:rsidR="00FF24BC" w:rsidRPr="00DF2447" w:rsidRDefault="00FF24BC" w:rsidP="00EB2692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8386128" w14:textId="77777777" w:rsidR="00FF24BC" w:rsidRPr="00DF2447" w:rsidRDefault="00FF24BC" w:rsidP="00EB2692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FF24BC" w:rsidRPr="00DF2447" w14:paraId="5018886D" w14:textId="77777777" w:rsidTr="00FF24BC">
        <w:trPr>
          <w:trHeight w:val="255"/>
          <w:jc w:val="center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EFBD9A8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Fibrinogen, g/L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1ED9F653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2.2 (1.7-2.7)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2ACB7E08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2.1 (1.7-2.5)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BAED55E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1.6 (1.1-2.</w:t>
            </w:r>
            <w:proofErr w:type="gramStart"/>
            <w:r w:rsidRPr="00DF2447">
              <w:rPr>
                <w:sz w:val="18"/>
                <w:szCs w:val="18"/>
              </w:rPr>
              <w:t>0)*</w:t>
            </w:r>
            <w:proofErr w:type="gramEnd"/>
            <w:r w:rsidRPr="00DF2447">
              <w:rPr>
                <w:sz w:val="18"/>
                <w:szCs w:val="18"/>
              </w:rPr>
              <w:t>*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D3C5688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1.8 (0.7-2.5)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ED08202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0.7 (0.5-1.</w:t>
            </w:r>
            <w:proofErr w:type="gramStart"/>
            <w:r w:rsidRPr="00DF2447">
              <w:rPr>
                <w:sz w:val="18"/>
                <w:szCs w:val="18"/>
              </w:rPr>
              <w:t>2)</w:t>
            </w:r>
            <w:r w:rsidRPr="00DF2447">
              <w:rPr>
                <w:sz w:val="28"/>
                <w:szCs w:val="28"/>
                <w:vertAlign w:val="superscript"/>
              </w:rPr>
              <w:t>+</w:t>
            </w:r>
            <w:proofErr w:type="gramEnd"/>
          </w:p>
        </w:tc>
      </w:tr>
      <w:tr w:rsidR="00FF24BC" w:rsidRPr="00DF2447" w14:paraId="6AE4F38B" w14:textId="77777777" w:rsidTr="00FF24BC">
        <w:trPr>
          <w:trHeight w:val="255"/>
          <w:jc w:val="center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836A79F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bookmarkStart w:id="1" w:name="_GoBack"/>
            <w:r w:rsidRPr="00DF2447">
              <w:rPr>
                <w:sz w:val="18"/>
                <w:szCs w:val="18"/>
              </w:rPr>
              <w:t xml:space="preserve">Prothrombin Fragments 1+2, </w:t>
            </w:r>
            <w:proofErr w:type="spellStart"/>
            <w:r w:rsidRPr="00DF2447">
              <w:rPr>
                <w:sz w:val="18"/>
                <w:szCs w:val="18"/>
              </w:rPr>
              <w:t>pmol</w:t>
            </w:r>
            <w:proofErr w:type="spellEnd"/>
            <w:r w:rsidRPr="00DF2447">
              <w:rPr>
                <w:sz w:val="18"/>
                <w:szCs w:val="18"/>
              </w:rPr>
              <w:t>/L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43C9596D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694 (335-1457)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1E787C32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818 (393-1420)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0F415C97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4924 (2966-</w:t>
            </w:r>
            <w:proofErr w:type="gramStart"/>
            <w:r w:rsidRPr="00DF2447">
              <w:rPr>
                <w:sz w:val="18"/>
                <w:szCs w:val="18"/>
              </w:rPr>
              <w:t>8293)*</w:t>
            </w:r>
            <w:proofErr w:type="gramEnd"/>
            <w:r w:rsidRPr="00DF2447">
              <w:rPr>
                <w:sz w:val="18"/>
                <w:szCs w:val="18"/>
              </w:rPr>
              <w:t>*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989B8D6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492 (432-1149)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1384DB7D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4491 (1789-11738)</w:t>
            </w:r>
            <w:r w:rsidRPr="00DF2447">
              <w:rPr>
                <w:color w:val="FFFFFF" w:themeColor="background1"/>
                <w:sz w:val="28"/>
                <w:szCs w:val="28"/>
                <w:vertAlign w:val="superscript"/>
              </w:rPr>
              <w:t xml:space="preserve"> +</w:t>
            </w:r>
          </w:p>
        </w:tc>
      </w:tr>
      <w:bookmarkEnd w:id="1"/>
      <w:tr w:rsidR="00FF24BC" w:rsidRPr="00DF2447" w14:paraId="024C81CB" w14:textId="77777777" w:rsidTr="00FF24BC">
        <w:trPr>
          <w:trHeight w:val="255"/>
          <w:jc w:val="center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C6010FB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rFonts w:ascii="Symbol" w:hAnsi="Symbol"/>
                <w:sz w:val="18"/>
                <w:szCs w:val="18"/>
              </w:rPr>
              <w:sym w:font="Symbol" w:char="F061"/>
            </w:r>
            <w:r w:rsidRPr="00DF2447">
              <w:rPr>
                <w:sz w:val="18"/>
                <w:szCs w:val="18"/>
              </w:rPr>
              <w:t xml:space="preserve">2 </w:t>
            </w:r>
            <w:proofErr w:type="spellStart"/>
            <w:r w:rsidRPr="00DF2447">
              <w:rPr>
                <w:sz w:val="18"/>
                <w:szCs w:val="18"/>
              </w:rPr>
              <w:t>antiplasmin</w:t>
            </w:r>
            <w:proofErr w:type="spellEnd"/>
            <w:r w:rsidRPr="00DF2447">
              <w:rPr>
                <w:sz w:val="18"/>
                <w:szCs w:val="18"/>
              </w:rPr>
              <w:t>, u/</w:t>
            </w:r>
            <w:proofErr w:type="spellStart"/>
            <w:r w:rsidRPr="00DF2447">
              <w:rPr>
                <w:sz w:val="18"/>
                <w:szCs w:val="18"/>
              </w:rPr>
              <w:t>dL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3C786631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103 (90-114)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1F54D20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93 (102-116)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A9CB0F8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71 (53-</w:t>
            </w:r>
            <w:proofErr w:type="gramStart"/>
            <w:r w:rsidRPr="00DF2447">
              <w:rPr>
                <w:sz w:val="18"/>
                <w:szCs w:val="18"/>
              </w:rPr>
              <w:t>93)*</w:t>
            </w:r>
            <w:proofErr w:type="gramEnd"/>
            <w:r w:rsidRPr="00DF2447">
              <w:rPr>
                <w:sz w:val="18"/>
                <w:szCs w:val="18"/>
              </w:rPr>
              <w:t>*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183E0D1D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108 (31-140)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1F89BE0B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51 (10-</w:t>
            </w:r>
            <w:proofErr w:type="gramStart"/>
            <w:r w:rsidRPr="00DF2447">
              <w:rPr>
                <w:sz w:val="18"/>
                <w:szCs w:val="18"/>
              </w:rPr>
              <w:t>59)</w:t>
            </w:r>
            <w:r w:rsidRPr="00DF2447">
              <w:rPr>
                <w:sz w:val="28"/>
                <w:szCs w:val="28"/>
                <w:vertAlign w:val="superscript"/>
              </w:rPr>
              <w:t>+</w:t>
            </w:r>
            <w:proofErr w:type="gramEnd"/>
          </w:p>
        </w:tc>
      </w:tr>
      <w:tr w:rsidR="00FF24BC" w:rsidRPr="00DF2447" w14:paraId="7617FE8B" w14:textId="77777777" w:rsidTr="00FF24BC">
        <w:trPr>
          <w:trHeight w:val="255"/>
          <w:jc w:val="center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4C1BFB66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Plasminogen Activator Inhibitor-1, ng/ml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88849CD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18.3 (10.5-26.1)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4F8434D5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24.9 (14.3-58.</w:t>
            </w:r>
            <w:proofErr w:type="gramStart"/>
            <w:r w:rsidRPr="00DF2447">
              <w:rPr>
                <w:sz w:val="18"/>
                <w:szCs w:val="18"/>
              </w:rPr>
              <w:t>0)^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1DEBB6C8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30.2 (19.2-49.3)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6CFE39B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18.3 (9.2-35.3)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205BA00E" w14:textId="77777777" w:rsidR="00FF24BC" w:rsidRPr="00DF2447" w:rsidRDefault="00FF24BC" w:rsidP="00EB2692">
            <w:pPr>
              <w:spacing w:after="0"/>
              <w:rPr>
                <w:sz w:val="28"/>
                <w:szCs w:val="28"/>
                <w:vertAlign w:val="superscript"/>
              </w:rPr>
            </w:pPr>
            <w:r w:rsidRPr="00DF2447">
              <w:rPr>
                <w:sz w:val="18"/>
                <w:szCs w:val="18"/>
              </w:rPr>
              <w:t>25.35 (15.6-44.2)</w:t>
            </w:r>
            <w:r w:rsidRPr="00DF2447">
              <w:rPr>
                <w:sz w:val="28"/>
                <w:szCs w:val="28"/>
                <w:vertAlign w:val="superscript"/>
              </w:rPr>
              <w:t xml:space="preserve"> </w:t>
            </w:r>
            <w:r w:rsidRPr="00DF2447">
              <w:rPr>
                <w:color w:val="FFFFFF" w:themeColor="background1"/>
                <w:sz w:val="28"/>
                <w:szCs w:val="28"/>
                <w:vertAlign w:val="superscript"/>
              </w:rPr>
              <w:t>+</w:t>
            </w:r>
          </w:p>
        </w:tc>
      </w:tr>
      <w:tr w:rsidR="00FF24BC" w:rsidRPr="00DF2447" w14:paraId="3365A894" w14:textId="77777777" w:rsidTr="00FF24BC">
        <w:trPr>
          <w:trHeight w:val="255"/>
          <w:jc w:val="center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118D02F3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Tissue plasminogen activator, ng/ml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9B6DFD8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11.1 (7.1-16.6)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27B64AD2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17.5 (8.4-23.</w:t>
            </w:r>
            <w:proofErr w:type="gramStart"/>
            <w:r w:rsidRPr="00DF2447">
              <w:rPr>
                <w:sz w:val="18"/>
                <w:szCs w:val="18"/>
              </w:rPr>
              <w:t>5)^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17611C9A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15.4 (10.5-26.5)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03931046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9.5 (5.5-27.8)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3BE3F61E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51.0 (23.6-84.</w:t>
            </w:r>
            <w:proofErr w:type="gramStart"/>
            <w:r w:rsidRPr="00DF2447">
              <w:rPr>
                <w:sz w:val="18"/>
                <w:szCs w:val="18"/>
              </w:rPr>
              <w:t>8)</w:t>
            </w:r>
            <w:r w:rsidRPr="00DF2447">
              <w:rPr>
                <w:sz w:val="28"/>
                <w:szCs w:val="28"/>
                <w:vertAlign w:val="superscript"/>
              </w:rPr>
              <w:t>+</w:t>
            </w:r>
            <w:proofErr w:type="gramEnd"/>
          </w:p>
        </w:tc>
      </w:tr>
      <w:tr w:rsidR="00FF24BC" w:rsidRPr="00DF2447" w14:paraId="2D99D372" w14:textId="77777777" w:rsidTr="00FF24BC">
        <w:trPr>
          <w:trHeight w:val="255"/>
          <w:jc w:val="center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E00FAC6" w14:textId="77777777" w:rsidR="00FF24BC" w:rsidRPr="006A5F94" w:rsidRDefault="00FF24BC" w:rsidP="00EB2692">
            <w:pPr>
              <w:spacing w:after="0"/>
              <w:rPr>
                <w:sz w:val="18"/>
                <w:szCs w:val="18"/>
                <w:lang w:val="fr-FR"/>
              </w:rPr>
            </w:pPr>
            <w:proofErr w:type="spellStart"/>
            <w:r w:rsidRPr="006A5F94">
              <w:rPr>
                <w:sz w:val="18"/>
                <w:szCs w:val="18"/>
                <w:lang w:val="fr-FR"/>
              </w:rPr>
              <w:t>Plasmin-antiplasmin</w:t>
            </w:r>
            <w:proofErr w:type="spellEnd"/>
            <w:r w:rsidRPr="006A5F94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A5F94">
              <w:rPr>
                <w:sz w:val="18"/>
                <w:szCs w:val="18"/>
                <w:lang w:val="fr-FR"/>
              </w:rPr>
              <w:t>complex</w:t>
            </w:r>
            <w:proofErr w:type="spellEnd"/>
            <w:r w:rsidRPr="006A5F94"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6A5F94">
              <w:rPr>
                <w:sz w:val="18"/>
                <w:szCs w:val="18"/>
                <w:lang w:val="fr-FR"/>
              </w:rPr>
              <w:t>ng</w:t>
            </w:r>
            <w:proofErr w:type="spellEnd"/>
            <w:r w:rsidRPr="006A5F94">
              <w:rPr>
                <w:sz w:val="18"/>
                <w:szCs w:val="18"/>
                <w:lang w:val="fr-FR"/>
              </w:rPr>
              <w:t>/ml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6A162EE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2544 (1716-4690)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85D3EF8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1536 (1012-</w:t>
            </w:r>
            <w:proofErr w:type="gramStart"/>
            <w:r w:rsidRPr="00DF2447">
              <w:rPr>
                <w:sz w:val="18"/>
                <w:szCs w:val="18"/>
              </w:rPr>
              <w:t>3053)^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0C458943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16094 (9539-</w:t>
            </w:r>
            <w:proofErr w:type="gramStart"/>
            <w:r w:rsidRPr="00DF2447">
              <w:rPr>
                <w:sz w:val="18"/>
                <w:szCs w:val="18"/>
              </w:rPr>
              <w:t>20261)*</w:t>
            </w:r>
            <w:proofErr w:type="gramEnd"/>
            <w:r w:rsidRPr="00DF2447">
              <w:rPr>
                <w:sz w:val="18"/>
                <w:szCs w:val="18"/>
              </w:rPr>
              <w:t>*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2AF88A8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2231 (1309-6849)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031A9384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33816 (14587-</w:t>
            </w:r>
            <w:proofErr w:type="gramStart"/>
            <w:r w:rsidRPr="00DF2447">
              <w:rPr>
                <w:sz w:val="18"/>
                <w:szCs w:val="18"/>
              </w:rPr>
              <w:t>37768)</w:t>
            </w:r>
            <w:r w:rsidRPr="00DF2447">
              <w:rPr>
                <w:sz w:val="28"/>
                <w:szCs w:val="28"/>
                <w:vertAlign w:val="superscript"/>
              </w:rPr>
              <w:t>+</w:t>
            </w:r>
            <w:proofErr w:type="gramEnd"/>
          </w:p>
        </w:tc>
      </w:tr>
      <w:tr w:rsidR="00FF24BC" w:rsidRPr="00DF2447" w14:paraId="5214ED2C" w14:textId="77777777" w:rsidTr="00FF24BC">
        <w:trPr>
          <w:trHeight w:val="255"/>
          <w:jc w:val="center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01518181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 xml:space="preserve">Urinary plasminogen activator, </w:t>
            </w:r>
            <w:proofErr w:type="spellStart"/>
            <w:r w:rsidRPr="00DF2447">
              <w:rPr>
                <w:sz w:val="18"/>
                <w:szCs w:val="18"/>
              </w:rPr>
              <w:t>pg</w:t>
            </w:r>
            <w:proofErr w:type="spellEnd"/>
            <w:r w:rsidRPr="00DF2447">
              <w:rPr>
                <w:sz w:val="18"/>
                <w:szCs w:val="18"/>
              </w:rPr>
              <w:t>/ml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2EE1E81D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126 (0-233)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2B92677F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104 (0-249)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2A9932A4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134 (33-212)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23881F3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12 (0-221)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CDE2A98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81 (0-215)</w:t>
            </w:r>
            <w:r w:rsidRPr="00DF2447">
              <w:rPr>
                <w:sz w:val="28"/>
                <w:szCs w:val="28"/>
                <w:vertAlign w:val="superscript"/>
              </w:rPr>
              <w:t xml:space="preserve"> </w:t>
            </w:r>
            <w:r w:rsidRPr="00DF2447">
              <w:rPr>
                <w:color w:val="FFFFFF" w:themeColor="background1"/>
                <w:sz w:val="28"/>
                <w:szCs w:val="28"/>
                <w:vertAlign w:val="superscript"/>
              </w:rPr>
              <w:t>+</w:t>
            </w:r>
          </w:p>
        </w:tc>
      </w:tr>
      <w:tr w:rsidR="00FF24BC" w:rsidRPr="00DF2447" w14:paraId="0B7C9F43" w14:textId="77777777" w:rsidTr="00FF24BC">
        <w:trPr>
          <w:trHeight w:val="255"/>
          <w:jc w:val="center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07DB96AA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 xml:space="preserve">S100A10, </w:t>
            </w:r>
            <w:proofErr w:type="spellStart"/>
            <w:r w:rsidRPr="00DF2447">
              <w:rPr>
                <w:sz w:val="18"/>
                <w:szCs w:val="18"/>
              </w:rPr>
              <w:t>pg</w:t>
            </w:r>
            <w:proofErr w:type="spellEnd"/>
            <w:r w:rsidRPr="00DF2447">
              <w:rPr>
                <w:sz w:val="18"/>
                <w:szCs w:val="18"/>
              </w:rPr>
              <w:t>/ml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0E2FBDE5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50 (0-185)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894AE44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9 (0-187)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AEE49C2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1333 (128-</w:t>
            </w:r>
            <w:proofErr w:type="gramStart"/>
            <w:r w:rsidRPr="00DF2447">
              <w:rPr>
                <w:sz w:val="18"/>
                <w:szCs w:val="18"/>
              </w:rPr>
              <w:t>2553)*</w:t>
            </w:r>
            <w:proofErr w:type="gramEnd"/>
            <w:r w:rsidRPr="00DF2447">
              <w:rPr>
                <w:sz w:val="18"/>
                <w:szCs w:val="18"/>
              </w:rPr>
              <w:t>*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02907644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25 (0-322)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B15B98F" w14:textId="77777777" w:rsidR="00FF24BC" w:rsidRPr="00DF2447" w:rsidRDefault="00FF24BC" w:rsidP="00EB2692">
            <w:pPr>
              <w:spacing w:after="0"/>
              <w:rPr>
                <w:sz w:val="18"/>
                <w:szCs w:val="18"/>
                <w:vertAlign w:val="superscript"/>
              </w:rPr>
            </w:pPr>
            <w:r w:rsidRPr="00DF2447">
              <w:rPr>
                <w:sz w:val="18"/>
                <w:szCs w:val="18"/>
              </w:rPr>
              <w:t>1281 (308-</w:t>
            </w:r>
            <w:proofErr w:type="gramStart"/>
            <w:r w:rsidRPr="00DF2447">
              <w:rPr>
                <w:sz w:val="18"/>
                <w:szCs w:val="18"/>
              </w:rPr>
              <w:t>2869)</w:t>
            </w:r>
            <w:r w:rsidRPr="00DF2447">
              <w:rPr>
                <w:color w:val="FFFFFF" w:themeColor="background1"/>
                <w:sz w:val="28"/>
                <w:szCs w:val="28"/>
                <w:vertAlign w:val="superscript"/>
              </w:rPr>
              <w:t>+</w:t>
            </w:r>
            <w:proofErr w:type="gramEnd"/>
          </w:p>
        </w:tc>
      </w:tr>
      <w:tr w:rsidR="00FF24BC" w:rsidRPr="00DF2447" w14:paraId="79626779" w14:textId="77777777" w:rsidTr="00FF24BC">
        <w:trPr>
          <w:trHeight w:val="174"/>
          <w:jc w:val="center"/>
        </w:trPr>
        <w:tc>
          <w:tcPr>
            <w:tcW w:w="14176" w:type="dxa"/>
            <w:gridSpan w:val="6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46F67E91" w14:textId="77777777" w:rsidR="00FF24BC" w:rsidRPr="00DF2447" w:rsidRDefault="00FF24BC" w:rsidP="00EB2692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260186BA" w14:textId="77777777" w:rsidR="00FF24BC" w:rsidRDefault="00FF24BC" w:rsidP="0023446F">
      <w:pPr>
        <w:spacing w:after="0"/>
      </w:pPr>
    </w:p>
    <w:p w14:paraId="72023839" w14:textId="77777777" w:rsidR="00FF24BC" w:rsidRPr="00DF2447" w:rsidRDefault="00FF24BC" w:rsidP="00FF24BC">
      <w:pPr>
        <w:spacing w:after="0"/>
      </w:pPr>
      <w:r w:rsidRPr="00DF2447">
        <w:t xml:space="preserve">Mann-Whitney U-test for all comparisons. ^p&lt;0.05, ^^p&lt;0.001, </w:t>
      </w:r>
      <w:r w:rsidRPr="00DF2447">
        <w:rPr>
          <w:bCs/>
        </w:rPr>
        <w:t>ML</w:t>
      </w:r>
      <w:r w:rsidRPr="00DF2447">
        <w:rPr>
          <w:bCs/>
          <w:vertAlign w:val="subscript"/>
        </w:rPr>
        <w:t>NORMAL</w:t>
      </w:r>
      <w:r w:rsidRPr="00DF2447">
        <w:t xml:space="preserve"> vs</w:t>
      </w:r>
      <w:r w:rsidRPr="00DF2447">
        <w:rPr>
          <w:bCs/>
        </w:rPr>
        <w:t xml:space="preserve"> ML</w:t>
      </w:r>
      <w:r w:rsidRPr="00DF2447">
        <w:rPr>
          <w:bCs/>
          <w:vertAlign w:val="subscript"/>
        </w:rPr>
        <w:t>LOW</w:t>
      </w:r>
      <w:r w:rsidRPr="00DF2447">
        <w:rPr>
          <w:bCs/>
        </w:rPr>
        <w:t xml:space="preserve"> + DD</w:t>
      </w:r>
      <w:r w:rsidRPr="00DF2447">
        <w:rPr>
          <w:bCs/>
          <w:vertAlign w:val="subscript"/>
        </w:rPr>
        <w:t>LOW</w:t>
      </w:r>
      <w:r w:rsidRPr="00DF2447">
        <w:t>. *p&lt;0.05</w:t>
      </w:r>
      <w:r>
        <w:t>,</w:t>
      </w:r>
      <w:r w:rsidRPr="00DF2447">
        <w:t xml:space="preserve"> **p&lt;0.001,</w:t>
      </w:r>
      <w:r w:rsidRPr="00DF2447">
        <w:rPr>
          <w:bCs/>
        </w:rPr>
        <w:t xml:space="preserve"> ML</w:t>
      </w:r>
      <w:r w:rsidRPr="00DF2447">
        <w:rPr>
          <w:bCs/>
          <w:vertAlign w:val="subscript"/>
        </w:rPr>
        <w:t>LOW</w:t>
      </w:r>
      <w:r w:rsidRPr="00DF2447">
        <w:rPr>
          <w:bCs/>
        </w:rPr>
        <w:t xml:space="preserve"> + DD</w:t>
      </w:r>
      <w:r w:rsidRPr="00DF2447">
        <w:rPr>
          <w:bCs/>
          <w:vertAlign w:val="subscript"/>
        </w:rPr>
        <w:t xml:space="preserve">HIGH </w:t>
      </w:r>
      <w:r w:rsidRPr="00DF2447">
        <w:rPr>
          <w:bCs/>
        </w:rPr>
        <w:t>vs ML</w:t>
      </w:r>
      <w:r w:rsidRPr="00DF2447">
        <w:rPr>
          <w:bCs/>
          <w:vertAlign w:val="subscript"/>
        </w:rPr>
        <w:t>LOW</w:t>
      </w:r>
      <w:r w:rsidRPr="00DF2447">
        <w:rPr>
          <w:bCs/>
        </w:rPr>
        <w:t xml:space="preserve"> + DD</w:t>
      </w:r>
      <w:r w:rsidRPr="00DF2447">
        <w:rPr>
          <w:bCs/>
          <w:vertAlign w:val="subscript"/>
        </w:rPr>
        <w:t>LOW</w:t>
      </w:r>
      <w:r w:rsidRPr="006A5F94">
        <w:rPr>
          <w:bCs/>
        </w:rPr>
        <w:t>.</w:t>
      </w:r>
      <w:r w:rsidRPr="00DF2447">
        <w:rPr>
          <w:bCs/>
          <w:vertAlign w:val="subscript"/>
        </w:rPr>
        <w:t xml:space="preserve"> </w:t>
      </w:r>
      <w:r w:rsidRPr="00DF2447">
        <w:rPr>
          <w:bCs/>
          <w:vertAlign w:val="superscript"/>
        </w:rPr>
        <w:t>+</w:t>
      </w:r>
      <w:r w:rsidRPr="00DF2447">
        <w:rPr>
          <w:bCs/>
        </w:rPr>
        <w:t>p&lt;0.05</w:t>
      </w:r>
      <w:r>
        <w:rPr>
          <w:bCs/>
        </w:rPr>
        <w:t>,</w:t>
      </w:r>
      <w:r w:rsidRPr="00DF2447">
        <w:rPr>
          <w:bCs/>
        </w:rPr>
        <w:t xml:space="preserve"> </w:t>
      </w:r>
      <w:r w:rsidRPr="006A5F94">
        <w:rPr>
          <w:bCs/>
          <w:vertAlign w:val="superscript"/>
        </w:rPr>
        <w:t>++</w:t>
      </w:r>
      <w:r w:rsidRPr="00DF2447">
        <w:rPr>
          <w:bCs/>
        </w:rPr>
        <w:t>p&lt;0.001, ML</w:t>
      </w:r>
      <w:r w:rsidRPr="00DF2447">
        <w:rPr>
          <w:bCs/>
          <w:vertAlign w:val="subscript"/>
        </w:rPr>
        <w:t>HIGH</w:t>
      </w:r>
      <w:r w:rsidRPr="00DF2447">
        <w:rPr>
          <w:bCs/>
        </w:rPr>
        <w:t xml:space="preserve"> + DD</w:t>
      </w:r>
      <w:r w:rsidRPr="00DF2447">
        <w:rPr>
          <w:bCs/>
          <w:vertAlign w:val="subscript"/>
        </w:rPr>
        <w:t xml:space="preserve">HIGH </w:t>
      </w:r>
      <w:r w:rsidRPr="00DF2447">
        <w:rPr>
          <w:bCs/>
        </w:rPr>
        <w:t>vs ML</w:t>
      </w:r>
      <w:r w:rsidRPr="00DF2447">
        <w:rPr>
          <w:bCs/>
          <w:vertAlign w:val="subscript"/>
        </w:rPr>
        <w:t>LOW</w:t>
      </w:r>
      <w:r w:rsidRPr="00DF2447">
        <w:rPr>
          <w:bCs/>
        </w:rPr>
        <w:t xml:space="preserve"> + DD</w:t>
      </w:r>
      <w:r w:rsidRPr="00DF2447">
        <w:rPr>
          <w:bCs/>
          <w:vertAlign w:val="subscript"/>
        </w:rPr>
        <w:t>HIGH</w:t>
      </w:r>
      <w:r w:rsidRPr="00DF2447">
        <w:rPr>
          <w:bCs/>
        </w:rPr>
        <w:t>.</w:t>
      </w:r>
    </w:p>
    <w:p w14:paraId="27834531" w14:textId="77777777" w:rsidR="00FF24BC" w:rsidRDefault="00FF24BC" w:rsidP="0023446F">
      <w:pPr>
        <w:spacing w:after="0"/>
      </w:pPr>
    </w:p>
    <w:sectPr w:rsidR="00FF24BC" w:rsidSect="0023446F">
      <w:pgSz w:w="16840" w:h="1190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6F"/>
    <w:rsid w:val="00151AF4"/>
    <w:rsid w:val="0023446F"/>
    <w:rsid w:val="00495139"/>
    <w:rsid w:val="00704BC4"/>
    <w:rsid w:val="00E9025D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B60E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446F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F24BC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3382</Characters>
  <Application>Microsoft Macintosh Word</Application>
  <DocSecurity>0</DocSecurity>
  <Lines>28</Lines>
  <Paragraphs>7</Paragraphs>
  <ScaleCrop>false</ScaleCrop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Vulliamy</dc:creator>
  <cp:keywords/>
  <dc:description/>
  <cp:lastModifiedBy>Paul Vulliamy</cp:lastModifiedBy>
  <cp:revision>3</cp:revision>
  <dcterms:created xsi:type="dcterms:W3CDTF">2017-11-23T11:44:00Z</dcterms:created>
  <dcterms:modified xsi:type="dcterms:W3CDTF">2017-11-23T11:49:00Z</dcterms:modified>
</cp:coreProperties>
</file>