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561" w:rsidRDefault="00722561" w:rsidP="00722561">
      <w:pPr>
        <w:spacing w:line="480" w:lineRule="auto"/>
        <w:rPr>
          <w:b/>
          <w:szCs w:val="22"/>
        </w:rPr>
      </w:pPr>
      <w:r>
        <w:rPr>
          <w:b/>
          <w:szCs w:val="22"/>
        </w:rPr>
        <w:t>SUPPLEMENTAL MATERIAL</w:t>
      </w:r>
    </w:p>
    <w:p w:rsidR="00722561" w:rsidRDefault="00722561" w:rsidP="00722561">
      <w:pPr>
        <w:spacing w:line="480" w:lineRule="auto"/>
        <w:rPr>
          <w:b/>
        </w:rPr>
      </w:pPr>
    </w:p>
    <w:p w:rsidR="00722561" w:rsidRDefault="00722561" w:rsidP="00722561">
      <w:pPr>
        <w:spacing w:line="480" w:lineRule="auto"/>
        <w:rPr>
          <w:b/>
        </w:rPr>
      </w:pPr>
    </w:p>
    <w:p w:rsidR="00722561" w:rsidRDefault="00722561" w:rsidP="00722561">
      <w:pPr>
        <w:spacing w:line="480" w:lineRule="auto"/>
        <w:rPr>
          <w:b/>
        </w:rPr>
      </w:pPr>
      <w:r>
        <w:rPr>
          <w:b/>
        </w:rPr>
        <w:t>SUPPLEMENTAL METHODS</w:t>
      </w:r>
    </w:p>
    <w:p w:rsidR="00722561" w:rsidRPr="00D87BB6" w:rsidRDefault="00722561" w:rsidP="00722561">
      <w:pPr>
        <w:spacing w:line="480" w:lineRule="auto"/>
        <w:rPr>
          <w:bCs/>
          <w:i/>
          <w:iCs/>
        </w:rPr>
      </w:pPr>
      <w:r w:rsidRPr="00D87BB6">
        <w:rPr>
          <w:bCs/>
          <w:i/>
          <w:iCs/>
        </w:rPr>
        <w:t xml:space="preserve">Patient Selection </w:t>
      </w:r>
    </w:p>
    <w:p w:rsidR="00722561" w:rsidRPr="003135A9" w:rsidRDefault="00AE34BA" w:rsidP="00E2241A">
      <w:pPr>
        <w:spacing w:line="480" w:lineRule="auto"/>
        <w:ind w:firstLine="720"/>
        <w:rPr>
          <w:color w:val="000000" w:themeColor="text1"/>
          <w:szCs w:val="22"/>
        </w:rPr>
      </w:pPr>
      <w:r w:rsidRPr="003135A9">
        <w:rPr>
          <w:color w:val="000000" w:themeColor="text1"/>
          <w:szCs w:val="22"/>
        </w:rPr>
        <w:t xml:space="preserve">We designed our study to include incisional hernias. Due to the switch from ICD-9 to ICD-10 on October 1, 2015 both sets of codes were used. </w:t>
      </w:r>
      <w:r w:rsidR="00E2241A" w:rsidRPr="003135A9">
        <w:rPr>
          <w:color w:val="000000" w:themeColor="text1"/>
          <w:szCs w:val="22"/>
        </w:rPr>
        <w:t xml:space="preserve">We began by selecting ‘incisional hernia’ ICD codes. </w:t>
      </w:r>
      <w:r w:rsidRPr="003135A9">
        <w:rPr>
          <w:color w:val="000000" w:themeColor="text1"/>
          <w:szCs w:val="22"/>
        </w:rPr>
        <w:t>Because coding can be incorrect, we</w:t>
      </w:r>
      <w:r w:rsidR="00E2241A" w:rsidRPr="003135A9">
        <w:rPr>
          <w:color w:val="000000" w:themeColor="text1"/>
          <w:szCs w:val="22"/>
        </w:rPr>
        <w:t xml:space="preserve"> also</w:t>
      </w:r>
      <w:r w:rsidRPr="003135A9">
        <w:rPr>
          <w:color w:val="000000" w:themeColor="text1"/>
          <w:szCs w:val="22"/>
        </w:rPr>
        <w:t xml:space="preserve"> reviewed other abdominal wall hernia codes (‘umbilical’, ‘parastomal’, ‘other ventral’)</w:t>
      </w:r>
      <w:r w:rsidR="00BA27A7" w:rsidRPr="003135A9">
        <w:rPr>
          <w:color w:val="000000" w:themeColor="text1"/>
          <w:szCs w:val="22"/>
        </w:rPr>
        <w:t xml:space="preserve"> by random audit of a selection of patient records to determine the sensitivity and specificity for capturing incisional hernias.</w:t>
      </w:r>
      <w:r w:rsidRPr="003135A9">
        <w:rPr>
          <w:color w:val="000000" w:themeColor="text1"/>
          <w:szCs w:val="22"/>
        </w:rPr>
        <w:t xml:space="preserve"> </w:t>
      </w:r>
      <w:r w:rsidR="00BA27A7" w:rsidRPr="003135A9">
        <w:rPr>
          <w:color w:val="000000" w:themeColor="text1"/>
          <w:szCs w:val="22"/>
        </w:rPr>
        <w:t>From an initial list of 34 abdominal wall hernia ICD codes, t</w:t>
      </w:r>
      <w:r w:rsidR="00722561" w:rsidRPr="003135A9">
        <w:rPr>
          <w:color w:val="000000" w:themeColor="text1"/>
          <w:szCs w:val="22"/>
        </w:rPr>
        <w:t>he following ICD-9 diagnosis codes were used for encounters prior to October 1, 2015: 552.29, 553.20, 553.21, 552.21, 553.29, 552.20, 551.29, 551.21, 551.20, 553.0, and the following ICD-10 diagnosis codes were used for encounters after October 1, 2015: K43.2, K46.9, K43.9, K43.6, K43.0, K43.1, K43.7. (</w:t>
      </w:r>
      <w:r w:rsidR="00722561" w:rsidRPr="003135A9">
        <w:rPr>
          <w:i/>
          <w:iCs/>
          <w:color w:val="000000" w:themeColor="text1"/>
          <w:szCs w:val="22"/>
        </w:rPr>
        <w:t>Supplemental Table 2</w:t>
      </w:r>
      <w:r w:rsidR="00722561" w:rsidRPr="003135A9">
        <w:rPr>
          <w:color w:val="000000" w:themeColor="text1"/>
          <w:szCs w:val="22"/>
        </w:rPr>
        <w:t>)</w:t>
      </w:r>
      <w:r w:rsidR="00BA27A7" w:rsidRPr="003135A9">
        <w:rPr>
          <w:color w:val="000000" w:themeColor="text1"/>
          <w:szCs w:val="22"/>
        </w:rPr>
        <w:t xml:space="preserve">. </w:t>
      </w:r>
      <w:r w:rsidR="00E2241A" w:rsidRPr="003135A9">
        <w:rPr>
          <w:color w:val="000000" w:themeColor="text1"/>
          <w:szCs w:val="22"/>
        </w:rPr>
        <w:t xml:space="preserve">On manual review we observed that at our institution a majority (60-70%) of patients with a ‘ventral hernia’ ICD code </w:t>
      </w:r>
      <w:proofErr w:type="gramStart"/>
      <w:r w:rsidR="00E2241A" w:rsidRPr="003135A9">
        <w:rPr>
          <w:color w:val="000000" w:themeColor="text1"/>
          <w:szCs w:val="22"/>
        </w:rPr>
        <w:t>have</w:t>
      </w:r>
      <w:proofErr w:type="gramEnd"/>
      <w:r w:rsidR="00E2241A" w:rsidRPr="003135A9">
        <w:rPr>
          <w:color w:val="000000" w:themeColor="text1"/>
          <w:szCs w:val="22"/>
        </w:rPr>
        <w:t xml:space="preserve"> an incisional hernia. To maximize the sensitivity and accuracy of capturing all incisional hernias, we elected to include these ventral hernia codes. </w:t>
      </w:r>
      <w:r w:rsidR="00BA27A7" w:rsidRPr="003135A9">
        <w:rPr>
          <w:color w:val="000000" w:themeColor="text1"/>
          <w:szCs w:val="22"/>
        </w:rPr>
        <w:t>Overall, t</w:t>
      </w:r>
      <w:r w:rsidR="00E2241A" w:rsidRPr="003135A9">
        <w:rPr>
          <w:color w:val="000000" w:themeColor="text1"/>
          <w:szCs w:val="22"/>
        </w:rPr>
        <w:t>his strategy</w:t>
      </w:r>
      <w:r w:rsidRPr="003135A9">
        <w:rPr>
          <w:color w:val="000000" w:themeColor="text1"/>
          <w:szCs w:val="22"/>
        </w:rPr>
        <w:t xml:space="preserve"> excluded &gt;90% of non-incisional ventral hernias (umbilical, epigastric, parastomal, spigelian and lumbar</w:t>
      </w:r>
      <w:r w:rsidR="00BA27A7" w:rsidRPr="003135A9">
        <w:rPr>
          <w:color w:val="000000" w:themeColor="text1"/>
          <w:szCs w:val="22"/>
        </w:rPr>
        <w:t>)</w:t>
      </w:r>
      <w:r w:rsidRPr="003135A9">
        <w:rPr>
          <w:color w:val="000000" w:themeColor="text1"/>
          <w:szCs w:val="22"/>
        </w:rPr>
        <w:t xml:space="preserve">. </w:t>
      </w:r>
    </w:p>
    <w:p w:rsidR="00722561" w:rsidRPr="003135A9" w:rsidRDefault="00722561" w:rsidP="00722561">
      <w:pPr>
        <w:spacing w:line="480" w:lineRule="auto"/>
        <w:ind w:firstLine="720"/>
        <w:rPr>
          <w:iCs/>
        </w:rPr>
      </w:pPr>
      <w:r w:rsidRPr="003135A9">
        <w:rPr>
          <w:iCs/>
        </w:rPr>
        <w:t xml:space="preserve">To assess the performance of our identification of patients with incisional hernias using our 17 selected ICD-9/ICD-10 diagnosis codes, multiple audits were performed. First, an audit was performed on 100 randomly-selected patients from our entire study population utilizing the 17 selected ICD codes in order to ascertain the false discovery rate. Of these, 81 had incisional hernias, while the remaining 19 had either a primary, parastomal, internal, or hiatal hernia. Second, a similar audit was performed again on the entire patient dataset using the 17 unselected ICD-9/ICD-10 diagnosis codes to obtain the false omission rate. This resulted in only 8 incisional hernias out of 100 patients that were screened. The sensitivity of </w:t>
      </w:r>
      <w:r w:rsidRPr="003135A9">
        <w:rPr>
          <w:iCs/>
        </w:rPr>
        <w:lastRenderedPageBreak/>
        <w:t>our selection of patients with incisional hernias thus was 91%</w:t>
      </w:r>
      <w:r w:rsidR="0029031E" w:rsidRPr="003135A9">
        <w:rPr>
          <w:iCs/>
        </w:rPr>
        <w:t>,</w:t>
      </w:r>
      <w:r w:rsidRPr="003135A9">
        <w:rPr>
          <w:iCs/>
        </w:rPr>
        <w:t xml:space="preserve"> the specificity was 83%</w:t>
      </w:r>
      <w:r w:rsidR="0029031E" w:rsidRPr="003135A9">
        <w:rPr>
          <w:iCs/>
        </w:rPr>
        <w:t>, and the overall accuracy was 86.5%.</w:t>
      </w:r>
      <w:r w:rsidRPr="003135A9">
        <w:rPr>
          <w:iCs/>
        </w:rPr>
        <w:t xml:space="preserve"> </w:t>
      </w:r>
    </w:p>
    <w:p w:rsidR="00722561" w:rsidRPr="003135A9" w:rsidRDefault="00722561" w:rsidP="00722561">
      <w:pPr>
        <w:spacing w:line="480" w:lineRule="auto"/>
        <w:ind w:firstLine="720"/>
        <w:rPr>
          <w:iCs/>
        </w:rPr>
      </w:pPr>
      <w:r w:rsidRPr="003135A9">
        <w:rPr>
          <w:iCs/>
        </w:rPr>
        <w:t xml:space="preserve">Next, we examined a random selection of 100 patients from the 23,022 patients who underwent initial NOM to examine the accuracy of the denominator for the incidence calculations. The patients in this group all contributed to the total number of patient-years. Of the 100 patients audited, 74% had a true incisional hernia; the remaining consisted of: 8 patients with a misdiagnosis (i.e. patients whose follow-up surgical evaluation or radiologic imaging showed no evidence of a hernia), 6 with inguinal hernias, 5 with primary umbilical hernias, 3 with parastomal hernias, 2 with hiatal hernias, and 2 with primary epigastric hernias. </w:t>
      </w:r>
      <w:r w:rsidR="00072F48" w:rsidRPr="003135A9">
        <w:rPr>
          <w:iCs/>
        </w:rPr>
        <w:t>L</w:t>
      </w:r>
      <w:r w:rsidRPr="003135A9">
        <w:rPr>
          <w:iCs/>
        </w:rPr>
        <w:t xml:space="preserve">astly, we reviewed the charts of all 540 patients with an incarceration event. This revealed 483 patients (89%) who had a true incisional hernia. Of the 57 (11%) without an incisional hernia, 43 had primary umbilical hernias, 7 had Spigelian hernias, 4 had parastomal hernias, and 3 had primary epigastric hernias. </w:t>
      </w:r>
    </w:p>
    <w:p w:rsidR="00342828" w:rsidRPr="003135A9" w:rsidRDefault="00072F48" w:rsidP="00722561">
      <w:pPr>
        <w:spacing w:line="480" w:lineRule="auto"/>
        <w:ind w:firstLine="720"/>
        <w:rPr>
          <w:rFonts w:eastAsia="Times New Roman"/>
        </w:rPr>
      </w:pPr>
      <w:r w:rsidRPr="003135A9">
        <w:rPr>
          <w:rFonts w:eastAsia="Times New Roman"/>
        </w:rPr>
        <w:t xml:space="preserve">We hypothesized that, especially among patients with incisional hernias, very few patients with a history of prior surgery and abdominal pain would be ‘underdiagnosed’ with e.g. a diagnosis of ‘abdominal pain’, as this patient population is highly likely to undergo CT imaging with identification of the hernia. We reviewed our cohort of hernia patients to identify those patients with a diagnosis of abdominal pain (ICD-9: 789.00, ICD-10 R10.9) that precedes an ICD diagnosis of incisional hernia. This would represent a potential situation in which a hernia was miscoded and missed initially. This occurred in only 66 of 30,998 patients (0.2%). Also, none of the 800 patients in whom an incarceration event established the hernia diagnosis had a prior diagnosis of abdominal pain, indicating their hernia was not previously miscoded as ‘abdominal pain’. </w:t>
      </w:r>
    </w:p>
    <w:p w:rsidR="00722561" w:rsidRPr="003135A9" w:rsidRDefault="00722561" w:rsidP="00722561">
      <w:pPr>
        <w:spacing w:line="480" w:lineRule="auto"/>
        <w:ind w:firstLine="720"/>
        <w:rPr>
          <w:iCs/>
        </w:rPr>
      </w:pPr>
      <w:r w:rsidRPr="003135A9">
        <w:rPr>
          <w:iCs/>
        </w:rPr>
        <w:t>While the use of big data allows for exploration of a large population of patients, screening by ICD codes is associated with certain limitations which have previously been outlined by others</w:t>
      </w:r>
      <w:r w:rsidRPr="003135A9">
        <w:rPr>
          <w:iCs/>
        </w:rPr>
        <w:fldChar w:fldCharType="begin" w:fldLock="1"/>
      </w:r>
      <w:r w:rsidR="00AB623B" w:rsidRPr="003135A9">
        <w:rPr>
          <w:iCs/>
        </w:rPr>
        <w:instrText>ADDIN CSL_CITATION {"citationItems":[{"id":"ITEM-1","itemData":{"author":[{"dropping-particle":"","family":"Fawcett","given":"Nicola","non-dropping-particle":"","parse-names":false,"suffix":""},{"dropping-particle":"","family":"Young","given":"Bernadette","non-dropping-particle":"","parse-names":false,"suffix":""},{"dropping-particle":"","family":"Peto","given":"Leon","non-dropping-particle":"","parse-names":false,"suffix":""},{"dropping-particle":"","family":"Quan","given":"T Phuong","non-dropping-particle":"","parse-names":false,"suffix":""},{"dropping-particle":"","family":"Gillott","given":"Richard","non-dropping-particle":"","parse-names":false,"suffix":""},{"dropping-particle":"","family":"Wu","given":"Jianhua","non-dropping-particle":"","parse-names":false,"suffix":""},{"dropping-particle":"","family":"Middlemass","given":"Chris","non-dropping-particle":"","parse-names":false,"suffix":""},{"dropping-particle":"","family":"Weston","given":"Sheila","non-dropping-particle":"","parse-names":false,"suffix":""},{"dropping-particle":"","family":"Crook","given":"Derrick W","non-dropping-particle":"","parse-names":false,"suffix":""},{"dropping-particle":"","family":"Peto","given":"Tim E A","non-dropping-particle":"","parse-names":false,"suffix":""},{"dropping-particle":"","family":"Muller-pebody","given":"Berit","non-dropping-particle":"","parse-names":false,"suffix":""},{"dropping-particle":"","family":"Johnson","given":"Alan P","non-dropping-particle":"","parse-names":false,"suffix":""},{"dropping-particle":"","family":"Walker","given":"A Sarah","non-dropping-particle":"","parse-names":false,"suffix":""},{"dropping-particle":"","family":"Sandoe","given":"Jonathan A T","non-dropping-particle":"","parse-names":false,"suffix":""}],"container-title":"BMC Medicine","id":"ITEM-1","issue":"169","issued":{"date-parts":[["2019"]]},"page":"1-15","publisher":"BMC Medicine","title":"‘ Caveat emptor ’ : the cautionary tale of endocarditis and the potential pitfalls of clinical coding data — an electronic health records study","type":"article-journal","volume":"17"},"uris":["http://www.mendeley.com/documents/?uuid=fffa29a3-57c1-443d-8b05-24754c3a00f9"]},{"id":"ITEM-2","itemData":{"DOI":"10.1111/j.1475-6773.2005.00444.x","ISSN":"00179124","abstract":"Objective. To examine potential sources of errors at each step of the described inpatient International Classification of Diseases (ICD) coding process. Data Sources/Study Setting. The use of disease codes from the ICD has expanded from classifying morbidity and mortality information for statistical purposes to diverse sets of applications in research, health care policy, and health care finance. By describing a brief history of ICD coding, detailing the process for assigning codes, identifying where errors can be introduced into the process, and reviewing methods for examining code accuracy, we help code users more systematically evaluate code accuracy for their particular applications. Study Design/Methods. We summarize the inpatient ICD diagnostic coding process from patient admission to diagnostic code assignment. We examine potential sources of errors at each step and offer code users a tool for systematically evaluating code accuracy. Principle Findings. Main error sources along the \"patient trajectory\" include amount and quality of information at admission, communication among patients and providers, the clinician's knowledge and experience with the illness, and the clinician's attention to detail. Main error sources along the \"paper trail\" include variance in the electronic and written records, coder training and experience, facility quality-control efforts, and unintentional and intentional coder errors, such as misspecification, unbundling, and upcoding. Conclusions. By clearly specifying the code assignment process and heightening their awareness of potential error sources, code users can better evaluate the applicability and limitations of codes for their particular situations. ICD codes can then be used in the most appropriate ways. © Health Research and Educational Trust.","author":[{"dropping-particle":"","family":"O'Malley","given":"Kimberly J.","non-dropping-particle":"","parse-names":false,"suffix":""},{"dropping-particle":"","family":"Cook","given":"Karon F.","non-dropping-particle":"","parse-names":false,"suffix":""},{"dropping-particle":"","family":"Price","given":"Matt D.","non-dropping-particle":"","parse-names":false,"suffix":""},{"dropping-particle":"","family":"Wildes","given":"Kimberly Raiford","non-dropping-particle":"","parse-names":false,"suffix":""},{"dropping-particle":"","family":"Hurdle","given":"John F.","non-dropping-particle":"","parse-names":false,"suffix":""},{"dropping-particle":"","family":"Ashton","given":"Carol M.","non-dropping-particle":"","parse-names":false,"suffix":""}],"container-title":"Health Services Research","id":"ITEM-2","issue":"5 II","issued":{"date-parts":[["2005"]]},"page":"1620-1639","title":"Measuring diagnoses: ICD code accuracy","type":"article-journal","volume":"40"},"uris":["http://www.mendeley.com/documents/?uuid=d9302028-4ec8-4cc7-a404-bc9f38fac16f"]}],"mendeley":{"formattedCitation":"&lt;sup&gt;1,2&lt;/sup&gt;","plainTextFormattedCitation":"1,2","previouslyFormattedCitation":"&lt;sup&gt;1,2&lt;/sup&gt;"},"properties":{"noteIndex":0},"schema":"https://github.com/citation-style-language/schema/raw/master/csl-citation.json"}</w:instrText>
      </w:r>
      <w:r w:rsidRPr="003135A9">
        <w:rPr>
          <w:iCs/>
        </w:rPr>
        <w:fldChar w:fldCharType="separate"/>
      </w:r>
      <w:r w:rsidR="00AB623B" w:rsidRPr="003135A9">
        <w:rPr>
          <w:iCs/>
          <w:noProof/>
          <w:vertAlign w:val="superscript"/>
        </w:rPr>
        <w:t>1,2</w:t>
      </w:r>
      <w:r w:rsidRPr="003135A9">
        <w:rPr>
          <w:iCs/>
        </w:rPr>
        <w:fldChar w:fldCharType="end"/>
      </w:r>
      <w:r w:rsidRPr="003135A9">
        <w:rPr>
          <w:iCs/>
        </w:rPr>
        <w:t xml:space="preserve">. Although a small proportion of patients in our group were not found to have a ventral hernia, the vast majority had a true incisional hernia with the remainder mostly displaying non-incisional but ventral </w:t>
      </w:r>
      <w:r w:rsidRPr="003135A9">
        <w:rPr>
          <w:iCs/>
        </w:rPr>
        <w:lastRenderedPageBreak/>
        <w:t xml:space="preserve">abdominal hernias. Manual audit of the charts confirms the veracity of our cohort and confirms that we have captured almost all of the patients with an incisional hernia diagnosis within our system. </w:t>
      </w:r>
    </w:p>
    <w:p w:rsidR="00396DE1" w:rsidRPr="003135A9" w:rsidRDefault="00396DE1" w:rsidP="00396DE1">
      <w:pPr>
        <w:spacing w:line="480" w:lineRule="auto"/>
        <w:rPr>
          <w:i/>
        </w:rPr>
      </w:pPr>
      <w:r w:rsidRPr="003135A9">
        <w:rPr>
          <w:i/>
        </w:rPr>
        <w:t xml:space="preserve">Assessment of </w:t>
      </w:r>
      <w:r w:rsidR="00F618D6" w:rsidRPr="003135A9">
        <w:rPr>
          <w:i/>
        </w:rPr>
        <w:t>outcomes</w:t>
      </w:r>
    </w:p>
    <w:p w:rsidR="00396DE1" w:rsidRPr="003135A9" w:rsidRDefault="00396DE1" w:rsidP="00396DE1">
      <w:pPr>
        <w:spacing w:line="480" w:lineRule="auto"/>
        <w:rPr>
          <w:color w:val="000000" w:themeColor="text1"/>
          <w:szCs w:val="22"/>
        </w:rPr>
      </w:pPr>
      <w:r w:rsidRPr="003135A9">
        <w:rPr>
          <w:color w:val="000000" w:themeColor="text1"/>
          <w:szCs w:val="22"/>
        </w:rPr>
        <w:tab/>
        <w:t>The primary outcome for non-operative management was acute incarceration. Patients were censored if death without an incarceration event occurred, or if they underwent late elective repair. For the remainder of the cohort, we assumed successful NOM until the end of the study period. To verify the appropriateness of this assumption, we randomly sampled 100 patients from our cohort and found that only 1 patient did not have any encounter after the date of diagnosis. 77% had a clinical encounter beyond the end of the study period. Of the remaining 22 patients, median time from date of diagnosis to most recent clinical encounter was &gt;2 yrs. Although the above argumentation shows that the effect of this assumption can be considered small, it caused an overestimation of total number of years of follow-up resulting in a slight underestimation of the true risk of incarceration.</w:t>
      </w:r>
    </w:p>
    <w:p w:rsidR="00722561" w:rsidRPr="003135A9" w:rsidRDefault="00722561" w:rsidP="00722561">
      <w:pPr>
        <w:spacing w:line="480" w:lineRule="auto"/>
        <w:rPr>
          <w:i/>
          <w:iCs/>
          <w:color w:val="000000" w:themeColor="text1"/>
          <w:szCs w:val="22"/>
        </w:rPr>
      </w:pPr>
      <w:r w:rsidRPr="003135A9">
        <w:rPr>
          <w:i/>
          <w:iCs/>
          <w:color w:val="000000" w:themeColor="text1"/>
          <w:szCs w:val="22"/>
        </w:rPr>
        <w:t>Clinical Prediction Rule</w:t>
      </w:r>
    </w:p>
    <w:p w:rsidR="00722561" w:rsidRPr="003135A9" w:rsidRDefault="00722561" w:rsidP="00722561">
      <w:pPr>
        <w:spacing w:line="480" w:lineRule="auto"/>
        <w:ind w:firstLine="720"/>
        <w:rPr>
          <w:color w:val="000000" w:themeColor="text1"/>
          <w:szCs w:val="22"/>
        </w:rPr>
      </w:pPr>
      <w:r w:rsidRPr="003135A9">
        <w:rPr>
          <w:color w:val="000000" w:themeColor="text1"/>
          <w:szCs w:val="22"/>
        </w:rPr>
        <w:t xml:space="preserve">The decision tree was constructed using Python 3.7.3 (Python Software Foundation), </w:t>
      </w:r>
      <w:proofErr w:type="spellStart"/>
      <w:r w:rsidRPr="003135A9">
        <w:rPr>
          <w:color w:val="000000" w:themeColor="text1"/>
          <w:szCs w:val="22"/>
        </w:rPr>
        <w:t>Numpy</w:t>
      </w:r>
      <w:proofErr w:type="spellEnd"/>
      <w:r w:rsidRPr="003135A9">
        <w:rPr>
          <w:color w:val="000000" w:themeColor="text1"/>
          <w:szCs w:val="22"/>
        </w:rPr>
        <w:t xml:space="preserve"> 1.16.4</w:t>
      </w:r>
      <w:r w:rsidR="00667E04" w:rsidRPr="003135A9">
        <w:rPr>
          <w:color w:val="000000" w:themeColor="text1"/>
          <w:szCs w:val="22"/>
        </w:rPr>
        <w:fldChar w:fldCharType="begin" w:fldLock="1"/>
      </w:r>
      <w:r w:rsidR="00653A49" w:rsidRPr="003135A9">
        <w:rPr>
          <w:color w:val="000000" w:themeColor="text1"/>
          <w:szCs w:val="22"/>
        </w:rPr>
        <w:instrText>ADDIN CSL_CITATION {"citationItems":[{"id":"ITEM-1","itemData":{"author":[{"dropping-particle":"","family":"Oliphant","given":"T.E.","non-dropping-particle":"","parse-names":false,"suffix":""}],"id":"ITEM-1","issued":{"date-parts":[["2006"]]},"publisher":"Trelgol Publishing USA","title":"A guide to NumPy (Vol. 1)","type":"article"},"uris":["http://www.mendeley.com/documents/?uuid=5e7573e0-17e2-4a6a-8c79-deb526ae9478"]}],"mendeley":{"formattedCitation":"&lt;sup&gt;3&lt;/sup&gt;","plainTextFormattedCitation":"3","previouslyFormattedCitation":"&lt;sup&gt;3&lt;/sup&gt;"},"properties":{"noteIndex":0},"schema":"https://github.com/citation-style-language/schema/raw/master/csl-citation.json"}</w:instrText>
      </w:r>
      <w:r w:rsidR="00667E04" w:rsidRPr="003135A9">
        <w:rPr>
          <w:color w:val="000000" w:themeColor="text1"/>
          <w:szCs w:val="22"/>
        </w:rPr>
        <w:fldChar w:fldCharType="separate"/>
      </w:r>
      <w:r w:rsidR="00667E04" w:rsidRPr="003135A9">
        <w:rPr>
          <w:noProof/>
          <w:color w:val="000000" w:themeColor="text1"/>
          <w:szCs w:val="22"/>
          <w:vertAlign w:val="superscript"/>
        </w:rPr>
        <w:t>3</w:t>
      </w:r>
      <w:r w:rsidR="00667E04" w:rsidRPr="003135A9">
        <w:rPr>
          <w:color w:val="000000" w:themeColor="text1"/>
          <w:szCs w:val="22"/>
        </w:rPr>
        <w:fldChar w:fldCharType="end"/>
      </w:r>
      <w:r w:rsidRPr="003135A9">
        <w:rPr>
          <w:color w:val="000000" w:themeColor="text1"/>
          <w:szCs w:val="22"/>
        </w:rPr>
        <w:t>, Pandas 0.24.2</w:t>
      </w:r>
      <w:r w:rsidR="00653A49" w:rsidRPr="003135A9">
        <w:rPr>
          <w:color w:val="000000" w:themeColor="text1"/>
          <w:szCs w:val="22"/>
        </w:rPr>
        <w:fldChar w:fldCharType="begin" w:fldLock="1"/>
      </w:r>
      <w:r w:rsidR="00653A49" w:rsidRPr="003135A9">
        <w:rPr>
          <w:color w:val="000000" w:themeColor="text1"/>
          <w:szCs w:val="22"/>
        </w:rPr>
        <w:instrText>ADDIN CSL_CITATION {"citationItems":[{"id":"ITEM-1","itemData":{"author":[{"dropping-particle":"","family":"McKinney","given":"W","non-dropping-particle":"","parse-names":false,"suffix":""}],"id":"ITEM-1","issued":{"date-parts":[["2010"]]},"page":"51-56","publisher":"Proceedings of the 9th Python in Science Conference","title":"Data structures for statistical computing in python.","type":"article"},"uris":["http://www.mendeley.com/documents/?uuid=e6c748e0-946e-4d83-afae-370905b94713"]}],"mendeley":{"formattedCitation":"&lt;sup&gt;4&lt;/sup&gt;","plainTextFormattedCitation":"4"},"properties":{"noteIndex":0},"schema":"https://github.com/citation-style-language/schema/raw/master/csl-citation.json"}</w:instrText>
      </w:r>
      <w:r w:rsidR="00653A49" w:rsidRPr="003135A9">
        <w:rPr>
          <w:color w:val="000000" w:themeColor="text1"/>
          <w:szCs w:val="22"/>
        </w:rPr>
        <w:fldChar w:fldCharType="separate"/>
      </w:r>
      <w:r w:rsidR="00653A49" w:rsidRPr="003135A9">
        <w:rPr>
          <w:noProof/>
          <w:color w:val="000000" w:themeColor="text1"/>
          <w:szCs w:val="22"/>
          <w:vertAlign w:val="superscript"/>
        </w:rPr>
        <w:t>4</w:t>
      </w:r>
      <w:r w:rsidR="00653A49" w:rsidRPr="003135A9">
        <w:rPr>
          <w:color w:val="000000" w:themeColor="text1"/>
          <w:szCs w:val="22"/>
        </w:rPr>
        <w:fldChar w:fldCharType="end"/>
      </w:r>
      <w:r w:rsidRPr="003135A9">
        <w:rPr>
          <w:color w:val="000000" w:themeColor="text1"/>
          <w:szCs w:val="22"/>
        </w:rPr>
        <w:t xml:space="preserve">, and </w:t>
      </w:r>
      <w:proofErr w:type="spellStart"/>
      <w:r w:rsidRPr="003135A9">
        <w:rPr>
          <w:color w:val="000000" w:themeColor="text1"/>
          <w:szCs w:val="22"/>
        </w:rPr>
        <w:t>Sklearn</w:t>
      </w:r>
      <w:proofErr w:type="spellEnd"/>
      <w:r w:rsidRPr="003135A9">
        <w:rPr>
          <w:color w:val="000000" w:themeColor="text1"/>
          <w:szCs w:val="22"/>
        </w:rPr>
        <w:t xml:space="preserve"> 0.21.2</w:t>
      </w:r>
      <w:r w:rsidR="00AB623B" w:rsidRPr="003135A9">
        <w:rPr>
          <w:color w:val="000000" w:themeColor="text1"/>
          <w:szCs w:val="22"/>
        </w:rPr>
        <w:fldChar w:fldCharType="begin" w:fldLock="1"/>
      </w:r>
      <w:r w:rsidR="00653A49" w:rsidRPr="003135A9">
        <w:rPr>
          <w:color w:val="000000" w:themeColor="text1"/>
          <w:szCs w:val="22"/>
        </w:rPr>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Pedregosa","given":"F.","non-dropping-particle":"","parse-names":false,"suffix":""},{"dropping-particle":"","family":"Varoquax","given":"G.","non-dropping-particle":"","parse-names":false,"suffix":""},{"dropping-particle":"","family":"Gramfort","given":"A.","non-dropping-particle":"","parse-names":false,"suffix":""},{"dropping-particle":"","family":"Michel","given":"V.","non-dropping-particle":"","parse-names":false,"suffix":""},{"dropping-particle":"","family":"Thirion","given":"B.","non-dropping-particle":"","parse-names":false,"suffix":""}],"container-title":"Journal of Machine Learning Research","id":"ITEM-1","issued":{"date-parts":[["2011"]]},"page":"2825-2830","title":"Scikit-learn","type":"article-journal","volume":"12"},"uris":["http://www.mendeley.com/documents/?uuid=510852ca-fb2b-46a9-b63b-cd3025205957"]}],"mendeley":{"formattedCitation":"&lt;sup&gt;5&lt;/sup&gt;","plainTextFormattedCitation":"5","previouslyFormattedCitation":"&lt;sup&gt;4&lt;/sup&gt;"},"properties":{"noteIndex":0},"schema":"https://github.com/citation-style-language/schema/raw/master/csl-citation.json"}</w:instrText>
      </w:r>
      <w:r w:rsidR="00AB623B" w:rsidRPr="003135A9">
        <w:rPr>
          <w:color w:val="000000" w:themeColor="text1"/>
          <w:szCs w:val="22"/>
        </w:rPr>
        <w:fldChar w:fldCharType="separate"/>
      </w:r>
      <w:r w:rsidR="00653A49" w:rsidRPr="003135A9">
        <w:rPr>
          <w:noProof/>
          <w:color w:val="000000" w:themeColor="text1"/>
          <w:szCs w:val="22"/>
          <w:vertAlign w:val="superscript"/>
        </w:rPr>
        <w:t>5</w:t>
      </w:r>
      <w:r w:rsidR="00AB623B" w:rsidRPr="003135A9">
        <w:rPr>
          <w:color w:val="000000" w:themeColor="text1"/>
          <w:szCs w:val="22"/>
        </w:rPr>
        <w:fldChar w:fldCharType="end"/>
      </w:r>
      <w:r w:rsidRPr="003135A9">
        <w:rPr>
          <w:color w:val="000000" w:themeColor="text1"/>
          <w:szCs w:val="22"/>
        </w:rPr>
        <w:t xml:space="preserve"> packages. Hyperparameters were limited to 4 layers and 4 leaf nodes. Optimal hyperparameters were found by grouped 10-fold cross-validation making sure that the patients from multiple imputations did not cross between training and testing. This process was repeated 100 times with new imputations and the mode for each hyperparameters was selected. The optimal hyperparameters were then used to determine the best tree structure. The analysis was run 100 more times and the most common tree structure was selected. </w:t>
      </w:r>
    </w:p>
    <w:p w:rsidR="00AB623B" w:rsidRPr="003135A9" w:rsidRDefault="00AB623B" w:rsidP="00AB623B">
      <w:pPr>
        <w:spacing w:line="480" w:lineRule="auto"/>
        <w:rPr>
          <w:b/>
          <w:szCs w:val="22"/>
        </w:rPr>
      </w:pPr>
    </w:p>
    <w:p w:rsidR="00AB623B" w:rsidRPr="003135A9" w:rsidRDefault="00B4512C" w:rsidP="00AB623B">
      <w:pPr>
        <w:spacing w:line="480" w:lineRule="auto"/>
        <w:rPr>
          <w:b/>
          <w:szCs w:val="22"/>
        </w:rPr>
      </w:pPr>
      <w:r w:rsidRPr="003135A9">
        <w:rPr>
          <w:b/>
          <w:szCs w:val="22"/>
        </w:rPr>
        <w:t>SUPPLEMENTAL REFERENCES</w:t>
      </w:r>
    </w:p>
    <w:p w:rsidR="00653A49" w:rsidRPr="003135A9" w:rsidRDefault="00AB623B" w:rsidP="00653A49">
      <w:pPr>
        <w:widowControl w:val="0"/>
        <w:autoSpaceDE w:val="0"/>
        <w:autoSpaceDN w:val="0"/>
        <w:adjustRightInd w:val="0"/>
        <w:spacing w:line="480" w:lineRule="auto"/>
        <w:ind w:left="640" w:hanging="640"/>
        <w:rPr>
          <w:noProof/>
        </w:rPr>
      </w:pPr>
      <w:r w:rsidRPr="003135A9">
        <w:rPr>
          <w:b/>
          <w:szCs w:val="22"/>
        </w:rPr>
        <w:fldChar w:fldCharType="begin" w:fldLock="1"/>
      </w:r>
      <w:r w:rsidRPr="003135A9">
        <w:rPr>
          <w:b/>
          <w:szCs w:val="22"/>
        </w:rPr>
        <w:instrText xml:space="preserve">ADDIN Mendeley Bibliography CSL_BIBLIOGRAPHY </w:instrText>
      </w:r>
      <w:r w:rsidRPr="003135A9">
        <w:rPr>
          <w:b/>
          <w:szCs w:val="22"/>
        </w:rPr>
        <w:fldChar w:fldCharType="separate"/>
      </w:r>
      <w:r w:rsidR="00653A49" w:rsidRPr="003135A9">
        <w:rPr>
          <w:noProof/>
        </w:rPr>
        <w:t xml:space="preserve">1. </w:t>
      </w:r>
      <w:r w:rsidR="00653A49" w:rsidRPr="003135A9">
        <w:rPr>
          <w:noProof/>
        </w:rPr>
        <w:tab/>
        <w:t xml:space="preserve">Fawcett N, Young B, Peto L, et al. ‘ Caveat emptor ’ : the cautionary tale of endocarditis and the potential pitfalls of clinical coding data — an electronic health records study. </w:t>
      </w:r>
      <w:r w:rsidR="00653A49" w:rsidRPr="003135A9">
        <w:rPr>
          <w:i/>
          <w:iCs/>
          <w:noProof/>
        </w:rPr>
        <w:t>BMC Med</w:t>
      </w:r>
      <w:r w:rsidR="00653A49" w:rsidRPr="003135A9">
        <w:rPr>
          <w:noProof/>
        </w:rPr>
        <w:t>. 2019;17:1–15.</w:t>
      </w:r>
    </w:p>
    <w:p w:rsidR="00653A49" w:rsidRPr="003135A9" w:rsidRDefault="00653A49" w:rsidP="00653A49">
      <w:pPr>
        <w:widowControl w:val="0"/>
        <w:autoSpaceDE w:val="0"/>
        <w:autoSpaceDN w:val="0"/>
        <w:adjustRightInd w:val="0"/>
        <w:spacing w:line="480" w:lineRule="auto"/>
        <w:ind w:left="640" w:hanging="640"/>
        <w:rPr>
          <w:noProof/>
        </w:rPr>
      </w:pPr>
      <w:r w:rsidRPr="003135A9">
        <w:rPr>
          <w:noProof/>
        </w:rPr>
        <w:t xml:space="preserve">2. </w:t>
      </w:r>
      <w:r w:rsidRPr="003135A9">
        <w:rPr>
          <w:noProof/>
        </w:rPr>
        <w:tab/>
        <w:t xml:space="preserve">O’Malley KJ, Cook KF, Price MD, et al. Measuring diagnoses: ICD code accuracy. </w:t>
      </w:r>
      <w:r w:rsidRPr="003135A9">
        <w:rPr>
          <w:i/>
          <w:iCs/>
          <w:noProof/>
        </w:rPr>
        <w:t xml:space="preserve">Health Serv </w:t>
      </w:r>
      <w:r w:rsidRPr="003135A9">
        <w:rPr>
          <w:i/>
          <w:iCs/>
          <w:noProof/>
        </w:rPr>
        <w:lastRenderedPageBreak/>
        <w:t>Res</w:t>
      </w:r>
      <w:r w:rsidRPr="003135A9">
        <w:rPr>
          <w:noProof/>
        </w:rPr>
        <w:t>. 2005;40:1620–1639.</w:t>
      </w:r>
    </w:p>
    <w:p w:rsidR="00653A49" w:rsidRPr="003135A9" w:rsidRDefault="00653A49" w:rsidP="00653A49">
      <w:pPr>
        <w:widowControl w:val="0"/>
        <w:autoSpaceDE w:val="0"/>
        <w:autoSpaceDN w:val="0"/>
        <w:adjustRightInd w:val="0"/>
        <w:spacing w:line="480" w:lineRule="auto"/>
        <w:ind w:left="640" w:hanging="640"/>
        <w:rPr>
          <w:noProof/>
        </w:rPr>
      </w:pPr>
      <w:r w:rsidRPr="003135A9">
        <w:rPr>
          <w:noProof/>
        </w:rPr>
        <w:t xml:space="preserve">3. </w:t>
      </w:r>
      <w:r w:rsidRPr="003135A9">
        <w:rPr>
          <w:noProof/>
        </w:rPr>
        <w:tab/>
        <w:t>Oliphant TE. A guide to NumPy (Vol. 1).</w:t>
      </w:r>
    </w:p>
    <w:p w:rsidR="00653A49" w:rsidRPr="003135A9" w:rsidRDefault="00653A49" w:rsidP="00653A49">
      <w:pPr>
        <w:widowControl w:val="0"/>
        <w:autoSpaceDE w:val="0"/>
        <w:autoSpaceDN w:val="0"/>
        <w:adjustRightInd w:val="0"/>
        <w:spacing w:line="480" w:lineRule="auto"/>
        <w:ind w:left="640" w:hanging="640"/>
        <w:rPr>
          <w:noProof/>
        </w:rPr>
      </w:pPr>
      <w:r w:rsidRPr="003135A9">
        <w:rPr>
          <w:noProof/>
        </w:rPr>
        <w:t xml:space="preserve">4. </w:t>
      </w:r>
      <w:r w:rsidRPr="003135A9">
        <w:rPr>
          <w:noProof/>
        </w:rPr>
        <w:tab/>
        <w:t>McKinney W. Data structures for statistical computing in python. 2010;51–56.</w:t>
      </w:r>
    </w:p>
    <w:p w:rsidR="00653A49" w:rsidRPr="003135A9" w:rsidRDefault="00653A49" w:rsidP="00653A49">
      <w:pPr>
        <w:widowControl w:val="0"/>
        <w:autoSpaceDE w:val="0"/>
        <w:autoSpaceDN w:val="0"/>
        <w:adjustRightInd w:val="0"/>
        <w:spacing w:line="480" w:lineRule="auto"/>
        <w:ind w:left="640" w:hanging="640"/>
        <w:rPr>
          <w:noProof/>
        </w:rPr>
      </w:pPr>
      <w:r w:rsidRPr="003135A9">
        <w:rPr>
          <w:noProof/>
        </w:rPr>
        <w:t xml:space="preserve">5. </w:t>
      </w:r>
      <w:r w:rsidRPr="003135A9">
        <w:rPr>
          <w:noProof/>
        </w:rPr>
        <w:tab/>
        <w:t xml:space="preserve">Pedregosa F, Varoquax G, Gramfort A, et al. Scikit-learn. </w:t>
      </w:r>
      <w:r w:rsidRPr="003135A9">
        <w:rPr>
          <w:i/>
          <w:iCs/>
          <w:noProof/>
        </w:rPr>
        <w:t>J Mach Learn Res</w:t>
      </w:r>
      <w:r w:rsidRPr="003135A9">
        <w:rPr>
          <w:noProof/>
        </w:rPr>
        <w:t>. 2011;12:2825–2830.</w:t>
      </w:r>
    </w:p>
    <w:p w:rsidR="00722561" w:rsidRDefault="00AB623B" w:rsidP="00653A49">
      <w:pPr>
        <w:widowControl w:val="0"/>
        <w:autoSpaceDE w:val="0"/>
        <w:autoSpaceDN w:val="0"/>
        <w:adjustRightInd w:val="0"/>
        <w:spacing w:line="480" w:lineRule="auto"/>
        <w:ind w:left="640" w:hanging="640"/>
        <w:rPr>
          <w:b/>
          <w:szCs w:val="22"/>
        </w:rPr>
      </w:pPr>
      <w:r w:rsidRPr="003135A9">
        <w:rPr>
          <w:b/>
          <w:szCs w:val="22"/>
        </w:rPr>
        <w:fldChar w:fldCharType="end"/>
      </w:r>
      <w:bookmarkStart w:id="0" w:name="_GoBack"/>
      <w:bookmarkEnd w:id="0"/>
      <w:r w:rsidR="00722561">
        <w:rPr>
          <w:b/>
          <w:szCs w:val="22"/>
        </w:rPr>
        <w:br w:type="page"/>
      </w:r>
    </w:p>
    <w:p w:rsidR="00722561" w:rsidRDefault="00722561" w:rsidP="00722561">
      <w:pPr>
        <w:rPr>
          <w:b/>
          <w:szCs w:val="22"/>
        </w:rPr>
      </w:pPr>
      <w:r>
        <w:rPr>
          <w:b/>
          <w:szCs w:val="22"/>
        </w:rPr>
        <w:lastRenderedPageBreak/>
        <w:t>SUPPLEMENTAL TABLES</w:t>
      </w:r>
    </w:p>
    <w:p w:rsidR="00722561" w:rsidRDefault="00722561" w:rsidP="00722561">
      <w:pPr>
        <w:rPr>
          <w:b/>
          <w:szCs w:val="22"/>
        </w:rPr>
      </w:pPr>
    </w:p>
    <w:p w:rsidR="00722561" w:rsidRDefault="00722561" w:rsidP="00722561">
      <w:pPr>
        <w:rPr>
          <w:b/>
          <w:szCs w:val="22"/>
        </w:rPr>
      </w:pPr>
    </w:p>
    <w:p w:rsidR="00722561" w:rsidRDefault="00722561" w:rsidP="00722561">
      <w:pPr>
        <w:rPr>
          <w:b/>
          <w:szCs w:val="22"/>
        </w:rPr>
      </w:pPr>
      <w:r>
        <w:rPr>
          <w:b/>
          <w:szCs w:val="22"/>
        </w:rPr>
        <w:t>Supplemental Table 1.</w:t>
      </w:r>
    </w:p>
    <w:p w:rsidR="00722561" w:rsidRDefault="00722561" w:rsidP="00722561">
      <w:pPr>
        <w:rPr>
          <w:b/>
          <w:szCs w:val="22"/>
        </w:rPr>
      </w:pPr>
    </w:p>
    <w:tbl>
      <w:tblPr>
        <w:tblStyle w:val="TableGrid"/>
        <w:tblW w:w="0" w:type="auto"/>
        <w:tblLook w:val="04A0" w:firstRow="1" w:lastRow="0" w:firstColumn="1" w:lastColumn="0" w:noHBand="0" w:noVBand="1"/>
      </w:tblPr>
      <w:tblGrid>
        <w:gridCol w:w="3256"/>
        <w:gridCol w:w="1698"/>
        <w:gridCol w:w="1138"/>
        <w:gridCol w:w="1027"/>
      </w:tblGrid>
      <w:tr w:rsidR="0010540F" w:rsidRPr="00583C2A" w:rsidTr="0010540F">
        <w:tc>
          <w:tcPr>
            <w:tcW w:w="3256" w:type="dxa"/>
          </w:tcPr>
          <w:p w:rsidR="0010540F" w:rsidRPr="00583C2A" w:rsidRDefault="0010540F" w:rsidP="00FD25DA">
            <w:pPr>
              <w:jc w:val="center"/>
              <w:rPr>
                <w:sz w:val="20"/>
                <w:szCs w:val="20"/>
              </w:rPr>
            </w:pPr>
            <w:r w:rsidRPr="00583C2A">
              <w:rPr>
                <w:sz w:val="20"/>
                <w:szCs w:val="20"/>
              </w:rPr>
              <w:t>Variable</w:t>
            </w:r>
          </w:p>
        </w:tc>
        <w:tc>
          <w:tcPr>
            <w:tcW w:w="1698" w:type="dxa"/>
          </w:tcPr>
          <w:p w:rsidR="0010540F" w:rsidRPr="00583C2A" w:rsidRDefault="0010540F" w:rsidP="00FD25DA">
            <w:pPr>
              <w:jc w:val="center"/>
              <w:rPr>
                <w:sz w:val="20"/>
                <w:szCs w:val="20"/>
              </w:rPr>
            </w:pPr>
            <w:r w:rsidRPr="00583C2A">
              <w:rPr>
                <w:sz w:val="20"/>
                <w:szCs w:val="20"/>
              </w:rPr>
              <w:t xml:space="preserve">Odds ratio </w:t>
            </w:r>
          </w:p>
        </w:tc>
        <w:tc>
          <w:tcPr>
            <w:tcW w:w="1138" w:type="dxa"/>
          </w:tcPr>
          <w:p w:rsidR="0010540F" w:rsidRPr="00583C2A" w:rsidRDefault="0010540F" w:rsidP="00FD25DA">
            <w:pPr>
              <w:jc w:val="center"/>
              <w:rPr>
                <w:sz w:val="20"/>
                <w:szCs w:val="20"/>
              </w:rPr>
            </w:pPr>
            <w:r w:rsidRPr="00583C2A">
              <w:rPr>
                <w:sz w:val="20"/>
                <w:szCs w:val="20"/>
              </w:rPr>
              <w:t>95% Confidence Interval</w:t>
            </w:r>
          </w:p>
        </w:tc>
        <w:tc>
          <w:tcPr>
            <w:tcW w:w="927" w:type="dxa"/>
          </w:tcPr>
          <w:p w:rsidR="0010540F" w:rsidRPr="00583C2A" w:rsidRDefault="0010540F" w:rsidP="00FD25DA">
            <w:pPr>
              <w:jc w:val="center"/>
              <w:rPr>
                <w:sz w:val="20"/>
                <w:szCs w:val="20"/>
              </w:rPr>
            </w:pPr>
            <w:r w:rsidRPr="00583C2A">
              <w:rPr>
                <w:sz w:val="20"/>
                <w:szCs w:val="20"/>
              </w:rPr>
              <w:t>P-value</w:t>
            </w:r>
          </w:p>
        </w:tc>
      </w:tr>
      <w:tr w:rsidR="0010540F" w:rsidRPr="00583C2A" w:rsidTr="0010540F">
        <w:tc>
          <w:tcPr>
            <w:tcW w:w="3256" w:type="dxa"/>
          </w:tcPr>
          <w:p w:rsidR="0010540F" w:rsidRDefault="0010540F" w:rsidP="00FD25DA">
            <w:pPr>
              <w:rPr>
                <w:sz w:val="20"/>
                <w:szCs w:val="20"/>
              </w:rPr>
            </w:pPr>
            <w:r w:rsidRPr="00583C2A">
              <w:rPr>
                <w:sz w:val="20"/>
                <w:szCs w:val="20"/>
              </w:rPr>
              <w:t>Age</w:t>
            </w:r>
            <w:r>
              <w:rPr>
                <w:sz w:val="20"/>
                <w:szCs w:val="20"/>
              </w:rPr>
              <w:t xml:space="preserve"> (years)</w:t>
            </w:r>
          </w:p>
          <w:p w:rsidR="0010540F" w:rsidRPr="00454229" w:rsidRDefault="0010540F" w:rsidP="00FD25DA">
            <w:pPr>
              <w:pStyle w:val="ListParagraph"/>
              <w:numPr>
                <w:ilvl w:val="0"/>
                <w:numId w:val="1"/>
              </w:numPr>
              <w:rPr>
                <w:sz w:val="20"/>
                <w:szCs w:val="20"/>
              </w:rPr>
            </w:pPr>
            <w:r>
              <w:rPr>
                <w:sz w:val="20"/>
                <w:szCs w:val="20"/>
              </w:rPr>
              <w:t>&lt;40</w:t>
            </w:r>
          </w:p>
          <w:p w:rsidR="0010540F" w:rsidRDefault="0010540F" w:rsidP="00FD25DA">
            <w:pPr>
              <w:pStyle w:val="ListParagraph"/>
              <w:numPr>
                <w:ilvl w:val="0"/>
                <w:numId w:val="1"/>
              </w:numPr>
              <w:rPr>
                <w:sz w:val="20"/>
                <w:szCs w:val="20"/>
              </w:rPr>
            </w:pPr>
            <w:r w:rsidRPr="00695B8E">
              <w:rPr>
                <w:sz w:val="20"/>
                <w:szCs w:val="20"/>
              </w:rPr>
              <w:t>40-49</w:t>
            </w:r>
          </w:p>
          <w:p w:rsidR="0010540F" w:rsidRDefault="0010540F" w:rsidP="00FD25DA">
            <w:pPr>
              <w:pStyle w:val="ListParagraph"/>
              <w:numPr>
                <w:ilvl w:val="0"/>
                <w:numId w:val="1"/>
              </w:numPr>
              <w:rPr>
                <w:sz w:val="20"/>
                <w:szCs w:val="20"/>
              </w:rPr>
            </w:pPr>
            <w:r w:rsidRPr="00695B8E">
              <w:rPr>
                <w:sz w:val="20"/>
                <w:szCs w:val="20"/>
              </w:rPr>
              <w:t>50-</w:t>
            </w:r>
            <w:r>
              <w:rPr>
                <w:sz w:val="20"/>
                <w:szCs w:val="20"/>
              </w:rPr>
              <w:t>59</w:t>
            </w:r>
          </w:p>
          <w:p w:rsidR="0010540F" w:rsidRDefault="0010540F" w:rsidP="00FD25DA">
            <w:pPr>
              <w:pStyle w:val="ListParagraph"/>
              <w:numPr>
                <w:ilvl w:val="0"/>
                <w:numId w:val="1"/>
              </w:numPr>
              <w:rPr>
                <w:sz w:val="20"/>
                <w:szCs w:val="20"/>
              </w:rPr>
            </w:pPr>
            <w:r>
              <w:rPr>
                <w:sz w:val="20"/>
                <w:szCs w:val="20"/>
              </w:rPr>
              <w:t>60-69</w:t>
            </w:r>
          </w:p>
          <w:p w:rsidR="0010540F" w:rsidRDefault="0010540F" w:rsidP="00FD25DA">
            <w:pPr>
              <w:pStyle w:val="ListParagraph"/>
              <w:numPr>
                <w:ilvl w:val="0"/>
                <w:numId w:val="1"/>
              </w:numPr>
              <w:rPr>
                <w:sz w:val="20"/>
                <w:szCs w:val="20"/>
              </w:rPr>
            </w:pPr>
            <w:r>
              <w:rPr>
                <w:sz w:val="20"/>
                <w:szCs w:val="20"/>
              </w:rPr>
              <w:t>70-79</w:t>
            </w:r>
          </w:p>
          <w:p w:rsidR="0010540F" w:rsidRPr="005B465F" w:rsidRDefault="0010540F" w:rsidP="00FD25DA">
            <w:pPr>
              <w:pStyle w:val="ListParagraph"/>
              <w:numPr>
                <w:ilvl w:val="0"/>
                <w:numId w:val="1"/>
              </w:numPr>
              <w:rPr>
                <w:sz w:val="20"/>
                <w:szCs w:val="20"/>
              </w:rPr>
            </w:pPr>
            <w:r>
              <w:sym w:font="Symbol" w:char="F0B3"/>
            </w:r>
            <w:r w:rsidRPr="005B465F">
              <w:rPr>
                <w:sz w:val="20"/>
                <w:szCs w:val="20"/>
              </w:rPr>
              <w:t>80</w:t>
            </w:r>
          </w:p>
        </w:tc>
        <w:tc>
          <w:tcPr>
            <w:tcW w:w="1698" w:type="dxa"/>
          </w:tcPr>
          <w:p w:rsidR="0010540F" w:rsidRDefault="0010540F" w:rsidP="00FD25DA">
            <w:pPr>
              <w:jc w:val="center"/>
              <w:rPr>
                <w:sz w:val="20"/>
                <w:szCs w:val="20"/>
              </w:rPr>
            </w:pPr>
          </w:p>
          <w:p w:rsidR="0010540F" w:rsidRDefault="0010540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0.84</w:t>
            </w:r>
          </w:p>
          <w:p w:rsidR="0010540F" w:rsidRDefault="0010540F" w:rsidP="00FD25DA">
            <w:pPr>
              <w:jc w:val="center"/>
              <w:rPr>
                <w:sz w:val="20"/>
                <w:szCs w:val="20"/>
              </w:rPr>
            </w:pPr>
            <w:r>
              <w:rPr>
                <w:sz w:val="20"/>
                <w:szCs w:val="20"/>
              </w:rPr>
              <w:t xml:space="preserve">0.88 </w:t>
            </w:r>
          </w:p>
          <w:p w:rsidR="0010540F" w:rsidRDefault="0010540F" w:rsidP="00FD25DA">
            <w:pPr>
              <w:jc w:val="center"/>
              <w:rPr>
                <w:sz w:val="20"/>
                <w:szCs w:val="20"/>
              </w:rPr>
            </w:pPr>
            <w:r>
              <w:rPr>
                <w:sz w:val="20"/>
                <w:szCs w:val="20"/>
              </w:rPr>
              <w:t>0.99</w:t>
            </w:r>
          </w:p>
          <w:p w:rsidR="0010540F" w:rsidRDefault="0010540F" w:rsidP="00FD25DA">
            <w:pPr>
              <w:jc w:val="center"/>
              <w:rPr>
                <w:sz w:val="20"/>
                <w:szCs w:val="20"/>
              </w:rPr>
            </w:pPr>
            <w:r>
              <w:rPr>
                <w:sz w:val="20"/>
                <w:szCs w:val="20"/>
              </w:rPr>
              <w:t>1.32</w:t>
            </w:r>
          </w:p>
          <w:p w:rsidR="0010540F" w:rsidRPr="00583C2A" w:rsidRDefault="0010540F" w:rsidP="00FD25DA">
            <w:pPr>
              <w:jc w:val="center"/>
              <w:rPr>
                <w:sz w:val="20"/>
                <w:szCs w:val="20"/>
              </w:rPr>
            </w:pPr>
            <w:r>
              <w:rPr>
                <w:sz w:val="20"/>
                <w:szCs w:val="20"/>
              </w:rPr>
              <w:t>2.43</w:t>
            </w:r>
          </w:p>
        </w:tc>
        <w:tc>
          <w:tcPr>
            <w:tcW w:w="1138" w:type="dxa"/>
          </w:tcPr>
          <w:p w:rsidR="0010540F" w:rsidRDefault="0010540F" w:rsidP="00FD25DA">
            <w:pPr>
              <w:jc w:val="center"/>
              <w:rPr>
                <w:sz w:val="20"/>
                <w:szCs w:val="20"/>
              </w:rPr>
            </w:pPr>
          </w:p>
          <w:p w:rsidR="00BF159F" w:rsidRDefault="00BF159F" w:rsidP="00BF159F">
            <w:pPr>
              <w:jc w:val="center"/>
              <w:rPr>
                <w:sz w:val="20"/>
                <w:szCs w:val="20"/>
              </w:rPr>
            </w:pPr>
            <w:r>
              <w:rPr>
                <w:sz w:val="20"/>
                <w:szCs w:val="20"/>
              </w:rPr>
              <w:t>Reference</w:t>
            </w:r>
          </w:p>
          <w:p w:rsidR="00BF159F" w:rsidRDefault="00BF159F" w:rsidP="00BF159F">
            <w:pPr>
              <w:jc w:val="center"/>
              <w:rPr>
                <w:sz w:val="20"/>
                <w:szCs w:val="20"/>
              </w:rPr>
            </w:pPr>
            <w:r>
              <w:rPr>
                <w:sz w:val="20"/>
                <w:szCs w:val="20"/>
              </w:rPr>
              <w:t>0.76, 0.93</w:t>
            </w:r>
          </w:p>
          <w:p w:rsidR="00BF159F" w:rsidRDefault="00BF159F" w:rsidP="00BF159F">
            <w:pPr>
              <w:jc w:val="center"/>
              <w:rPr>
                <w:sz w:val="20"/>
                <w:szCs w:val="20"/>
              </w:rPr>
            </w:pPr>
            <w:r>
              <w:rPr>
                <w:sz w:val="20"/>
                <w:szCs w:val="20"/>
              </w:rPr>
              <w:t>0.80, 0.97</w:t>
            </w:r>
          </w:p>
          <w:p w:rsidR="00BF159F" w:rsidRDefault="00BF159F" w:rsidP="00BF159F">
            <w:pPr>
              <w:jc w:val="center"/>
              <w:rPr>
                <w:sz w:val="20"/>
                <w:szCs w:val="20"/>
              </w:rPr>
            </w:pPr>
            <w:r>
              <w:rPr>
                <w:sz w:val="20"/>
                <w:szCs w:val="20"/>
              </w:rPr>
              <w:t>0.90, 1.09</w:t>
            </w:r>
          </w:p>
          <w:p w:rsidR="00BF159F" w:rsidRDefault="00BF159F" w:rsidP="00BF159F">
            <w:pPr>
              <w:jc w:val="center"/>
              <w:rPr>
                <w:sz w:val="20"/>
                <w:szCs w:val="20"/>
              </w:rPr>
            </w:pPr>
            <w:r>
              <w:rPr>
                <w:sz w:val="20"/>
                <w:szCs w:val="20"/>
              </w:rPr>
              <w:t>1.19, 1.47</w:t>
            </w:r>
          </w:p>
          <w:p w:rsidR="00BF159F" w:rsidRDefault="00BF159F" w:rsidP="00BF159F">
            <w:pPr>
              <w:jc w:val="center"/>
              <w:rPr>
                <w:sz w:val="20"/>
                <w:szCs w:val="20"/>
              </w:rPr>
            </w:pPr>
            <w:r>
              <w:rPr>
                <w:sz w:val="20"/>
                <w:szCs w:val="20"/>
              </w:rPr>
              <w:t>2.11, 2.80</w:t>
            </w:r>
          </w:p>
        </w:tc>
        <w:tc>
          <w:tcPr>
            <w:tcW w:w="927"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0.001</w:t>
            </w:r>
          </w:p>
          <w:p w:rsidR="0010540F" w:rsidRDefault="0010540F" w:rsidP="00FD25DA">
            <w:pPr>
              <w:jc w:val="center"/>
              <w:rPr>
                <w:sz w:val="20"/>
                <w:szCs w:val="20"/>
              </w:rPr>
            </w:pPr>
            <w:r>
              <w:rPr>
                <w:sz w:val="20"/>
                <w:szCs w:val="20"/>
              </w:rPr>
              <w:t>&lt;0.01</w:t>
            </w:r>
          </w:p>
          <w:p w:rsidR="0010540F" w:rsidRDefault="0010540F" w:rsidP="00FD25DA">
            <w:pPr>
              <w:jc w:val="center"/>
              <w:rPr>
                <w:sz w:val="20"/>
                <w:szCs w:val="20"/>
              </w:rPr>
            </w:pPr>
            <w:r>
              <w:rPr>
                <w:sz w:val="20"/>
                <w:szCs w:val="20"/>
              </w:rPr>
              <w:t>0.85</w:t>
            </w:r>
          </w:p>
          <w:p w:rsidR="0010540F" w:rsidRDefault="0010540F" w:rsidP="00FD25DA">
            <w:pPr>
              <w:jc w:val="center"/>
              <w:rPr>
                <w:sz w:val="20"/>
                <w:szCs w:val="20"/>
              </w:rPr>
            </w:pPr>
            <w:r>
              <w:rPr>
                <w:sz w:val="20"/>
                <w:szCs w:val="20"/>
              </w:rPr>
              <w:t>&lt;0.001</w:t>
            </w:r>
          </w:p>
          <w:p w:rsidR="0010540F" w:rsidRPr="00583C2A" w:rsidRDefault="0010540F" w:rsidP="00FD25DA">
            <w:pPr>
              <w:jc w:val="center"/>
              <w:rPr>
                <w:sz w:val="20"/>
                <w:szCs w:val="20"/>
              </w:rPr>
            </w:pPr>
            <w:r>
              <w:rPr>
                <w:sz w:val="20"/>
                <w:szCs w:val="20"/>
              </w:rPr>
              <w:t>&lt;0.001</w:t>
            </w:r>
          </w:p>
        </w:tc>
      </w:tr>
      <w:tr w:rsidR="0010540F" w:rsidRPr="00583C2A" w:rsidTr="0010540F">
        <w:tc>
          <w:tcPr>
            <w:tcW w:w="3256" w:type="dxa"/>
          </w:tcPr>
          <w:p w:rsidR="0010540F" w:rsidRPr="00583C2A" w:rsidRDefault="0010540F" w:rsidP="00FD25DA">
            <w:pPr>
              <w:rPr>
                <w:sz w:val="20"/>
                <w:szCs w:val="20"/>
              </w:rPr>
            </w:pPr>
            <w:r w:rsidRPr="00583C2A">
              <w:rPr>
                <w:sz w:val="20"/>
                <w:szCs w:val="20"/>
              </w:rPr>
              <w:t>Female Gender</w:t>
            </w:r>
          </w:p>
        </w:tc>
        <w:tc>
          <w:tcPr>
            <w:tcW w:w="1698" w:type="dxa"/>
          </w:tcPr>
          <w:p w:rsidR="0010540F" w:rsidRPr="00583C2A" w:rsidRDefault="0010540F" w:rsidP="00FD25DA">
            <w:pPr>
              <w:jc w:val="center"/>
              <w:rPr>
                <w:sz w:val="20"/>
                <w:szCs w:val="20"/>
              </w:rPr>
            </w:pPr>
            <w:r>
              <w:rPr>
                <w:sz w:val="20"/>
                <w:szCs w:val="20"/>
              </w:rPr>
              <w:t>0.79</w:t>
            </w:r>
          </w:p>
        </w:tc>
        <w:tc>
          <w:tcPr>
            <w:tcW w:w="1138" w:type="dxa"/>
          </w:tcPr>
          <w:p w:rsidR="0010540F" w:rsidRDefault="00BF159F" w:rsidP="00FD25DA">
            <w:pPr>
              <w:jc w:val="center"/>
              <w:rPr>
                <w:sz w:val="20"/>
                <w:szCs w:val="20"/>
              </w:rPr>
            </w:pPr>
            <w:r>
              <w:rPr>
                <w:sz w:val="20"/>
                <w:szCs w:val="20"/>
              </w:rPr>
              <w:t>0.74, 0.83</w:t>
            </w:r>
          </w:p>
        </w:tc>
        <w:tc>
          <w:tcPr>
            <w:tcW w:w="927" w:type="dxa"/>
          </w:tcPr>
          <w:p w:rsidR="0010540F" w:rsidRPr="00583C2A" w:rsidRDefault="0010540F" w:rsidP="00FD25DA">
            <w:pPr>
              <w:jc w:val="center"/>
              <w:rPr>
                <w:sz w:val="20"/>
                <w:szCs w:val="20"/>
              </w:rPr>
            </w:pPr>
            <w:r>
              <w:rPr>
                <w:sz w:val="20"/>
                <w:szCs w:val="20"/>
              </w:rPr>
              <w:t>&lt;0.001</w:t>
            </w:r>
          </w:p>
        </w:tc>
      </w:tr>
      <w:tr w:rsidR="0010540F" w:rsidRPr="00583C2A" w:rsidTr="0010540F">
        <w:tc>
          <w:tcPr>
            <w:tcW w:w="3256" w:type="dxa"/>
          </w:tcPr>
          <w:p w:rsidR="0010540F" w:rsidRPr="00583C2A" w:rsidRDefault="0010540F" w:rsidP="00FD25DA">
            <w:pPr>
              <w:rPr>
                <w:sz w:val="20"/>
                <w:szCs w:val="20"/>
              </w:rPr>
            </w:pPr>
            <w:r w:rsidRPr="00583C2A">
              <w:rPr>
                <w:sz w:val="20"/>
                <w:szCs w:val="20"/>
              </w:rPr>
              <w:t>Race</w:t>
            </w:r>
          </w:p>
          <w:p w:rsidR="0010540F" w:rsidRPr="00583C2A" w:rsidRDefault="0010540F" w:rsidP="00FD25DA">
            <w:pPr>
              <w:pStyle w:val="ListParagraph"/>
              <w:numPr>
                <w:ilvl w:val="0"/>
                <w:numId w:val="1"/>
              </w:numPr>
              <w:rPr>
                <w:sz w:val="20"/>
                <w:szCs w:val="20"/>
              </w:rPr>
            </w:pPr>
            <w:r w:rsidRPr="00583C2A">
              <w:rPr>
                <w:sz w:val="20"/>
                <w:szCs w:val="20"/>
              </w:rPr>
              <w:t>Caucasian</w:t>
            </w:r>
          </w:p>
          <w:p w:rsidR="0010540F" w:rsidRDefault="0010540F" w:rsidP="00FD25DA">
            <w:pPr>
              <w:pStyle w:val="ListParagraph"/>
              <w:numPr>
                <w:ilvl w:val="0"/>
                <w:numId w:val="1"/>
              </w:numPr>
              <w:rPr>
                <w:sz w:val="20"/>
                <w:szCs w:val="20"/>
              </w:rPr>
            </w:pPr>
            <w:r w:rsidRPr="00583C2A">
              <w:rPr>
                <w:sz w:val="20"/>
                <w:szCs w:val="20"/>
              </w:rPr>
              <w:t>African</w:t>
            </w:r>
            <w:r>
              <w:rPr>
                <w:sz w:val="20"/>
                <w:szCs w:val="20"/>
              </w:rPr>
              <w:t xml:space="preserve"> </w:t>
            </w:r>
            <w:r w:rsidRPr="00583C2A">
              <w:rPr>
                <w:sz w:val="20"/>
                <w:szCs w:val="20"/>
              </w:rPr>
              <w:t>American</w:t>
            </w:r>
          </w:p>
          <w:p w:rsidR="0010540F" w:rsidRPr="00583C2A" w:rsidRDefault="0010540F" w:rsidP="00FD25DA">
            <w:pPr>
              <w:pStyle w:val="ListParagraph"/>
              <w:numPr>
                <w:ilvl w:val="0"/>
                <w:numId w:val="1"/>
              </w:numPr>
              <w:rPr>
                <w:sz w:val="20"/>
                <w:szCs w:val="20"/>
              </w:rPr>
            </w:pPr>
            <w:r>
              <w:rPr>
                <w:sz w:val="20"/>
                <w:szCs w:val="20"/>
              </w:rPr>
              <w:t>Asian</w:t>
            </w:r>
          </w:p>
        </w:tc>
        <w:tc>
          <w:tcPr>
            <w:tcW w:w="1698" w:type="dxa"/>
          </w:tcPr>
          <w:p w:rsidR="0010540F" w:rsidRPr="00583C2A"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1.35</w:t>
            </w:r>
          </w:p>
          <w:p w:rsidR="0010540F" w:rsidRPr="00583C2A" w:rsidRDefault="0010540F" w:rsidP="00FD25DA">
            <w:pPr>
              <w:jc w:val="center"/>
              <w:rPr>
                <w:sz w:val="20"/>
                <w:szCs w:val="20"/>
              </w:rPr>
            </w:pPr>
            <w:r>
              <w:rPr>
                <w:sz w:val="20"/>
                <w:szCs w:val="20"/>
              </w:rPr>
              <w:t>1.28</w:t>
            </w:r>
          </w:p>
        </w:tc>
        <w:tc>
          <w:tcPr>
            <w:tcW w:w="1138" w:type="dxa"/>
          </w:tcPr>
          <w:p w:rsidR="00BF159F" w:rsidRDefault="00BF159F" w:rsidP="00BF159F">
            <w:pPr>
              <w:jc w:val="center"/>
              <w:rPr>
                <w:sz w:val="20"/>
                <w:szCs w:val="20"/>
              </w:rPr>
            </w:pPr>
          </w:p>
          <w:p w:rsidR="00BF159F" w:rsidRDefault="00BF159F" w:rsidP="00BF159F">
            <w:pPr>
              <w:jc w:val="center"/>
              <w:rPr>
                <w:sz w:val="20"/>
                <w:szCs w:val="20"/>
              </w:rPr>
            </w:pPr>
            <w:r>
              <w:rPr>
                <w:sz w:val="20"/>
                <w:szCs w:val="20"/>
              </w:rPr>
              <w:t>Reference</w:t>
            </w:r>
          </w:p>
          <w:p w:rsidR="00BF159F" w:rsidRDefault="00BF159F" w:rsidP="00BF159F">
            <w:pPr>
              <w:jc w:val="center"/>
              <w:rPr>
                <w:sz w:val="20"/>
                <w:szCs w:val="20"/>
              </w:rPr>
            </w:pPr>
            <w:r>
              <w:rPr>
                <w:sz w:val="20"/>
                <w:szCs w:val="20"/>
              </w:rPr>
              <w:t>1.21, 1.51</w:t>
            </w:r>
          </w:p>
          <w:p w:rsidR="0010540F" w:rsidRPr="00583C2A" w:rsidRDefault="00BF159F" w:rsidP="00BF159F">
            <w:pPr>
              <w:jc w:val="center"/>
              <w:rPr>
                <w:sz w:val="20"/>
                <w:szCs w:val="20"/>
              </w:rPr>
            </w:pPr>
            <w:r>
              <w:rPr>
                <w:sz w:val="20"/>
                <w:szCs w:val="20"/>
              </w:rPr>
              <w:t>0.67, 2.48</w:t>
            </w:r>
          </w:p>
        </w:tc>
        <w:tc>
          <w:tcPr>
            <w:tcW w:w="927" w:type="dxa"/>
          </w:tcPr>
          <w:p w:rsidR="0010540F" w:rsidRPr="00583C2A"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&lt;0.001</w:t>
            </w:r>
          </w:p>
          <w:p w:rsidR="0010540F" w:rsidRPr="00583C2A" w:rsidRDefault="0010540F" w:rsidP="00FD25DA">
            <w:pPr>
              <w:jc w:val="center"/>
              <w:rPr>
                <w:sz w:val="20"/>
                <w:szCs w:val="20"/>
              </w:rPr>
            </w:pPr>
            <w:r>
              <w:rPr>
                <w:sz w:val="20"/>
                <w:szCs w:val="20"/>
              </w:rPr>
              <w:t>0.46</w:t>
            </w:r>
          </w:p>
        </w:tc>
      </w:tr>
      <w:tr w:rsidR="0010540F" w:rsidRPr="00583C2A" w:rsidTr="0010540F">
        <w:tc>
          <w:tcPr>
            <w:tcW w:w="3256" w:type="dxa"/>
          </w:tcPr>
          <w:p w:rsidR="0010540F" w:rsidRDefault="0010540F" w:rsidP="00FD25DA">
            <w:pPr>
              <w:rPr>
                <w:sz w:val="20"/>
                <w:szCs w:val="20"/>
              </w:rPr>
            </w:pPr>
            <w:r w:rsidRPr="00583C2A">
              <w:rPr>
                <w:sz w:val="20"/>
                <w:szCs w:val="20"/>
              </w:rPr>
              <w:t>Smoking status</w:t>
            </w:r>
          </w:p>
          <w:p w:rsidR="0010540F" w:rsidRPr="00E200FB" w:rsidRDefault="0010540F" w:rsidP="00FD25DA">
            <w:pPr>
              <w:pStyle w:val="ListParagraph"/>
              <w:numPr>
                <w:ilvl w:val="0"/>
                <w:numId w:val="1"/>
              </w:numPr>
              <w:rPr>
                <w:sz w:val="20"/>
                <w:szCs w:val="20"/>
              </w:rPr>
            </w:pPr>
            <w:r>
              <w:rPr>
                <w:sz w:val="20"/>
                <w:szCs w:val="20"/>
              </w:rPr>
              <w:t>Never smoker</w:t>
            </w:r>
          </w:p>
          <w:p w:rsidR="0010540F" w:rsidRPr="00583C2A" w:rsidRDefault="0010540F" w:rsidP="00FD25DA">
            <w:pPr>
              <w:pStyle w:val="ListParagraph"/>
              <w:numPr>
                <w:ilvl w:val="0"/>
                <w:numId w:val="1"/>
              </w:numPr>
              <w:rPr>
                <w:sz w:val="20"/>
                <w:szCs w:val="20"/>
              </w:rPr>
            </w:pPr>
            <w:r w:rsidRPr="00583C2A">
              <w:rPr>
                <w:sz w:val="20"/>
                <w:szCs w:val="20"/>
              </w:rPr>
              <w:t>Current smoker</w:t>
            </w:r>
          </w:p>
          <w:p w:rsidR="0010540F" w:rsidRPr="00583C2A" w:rsidRDefault="0010540F" w:rsidP="00FD25DA">
            <w:pPr>
              <w:pStyle w:val="ListParagraph"/>
              <w:numPr>
                <w:ilvl w:val="0"/>
                <w:numId w:val="1"/>
              </w:numPr>
              <w:rPr>
                <w:sz w:val="20"/>
                <w:szCs w:val="20"/>
              </w:rPr>
            </w:pPr>
            <w:r w:rsidRPr="00583C2A">
              <w:rPr>
                <w:sz w:val="20"/>
                <w:szCs w:val="20"/>
              </w:rPr>
              <w:t>Former smoker</w:t>
            </w:r>
          </w:p>
        </w:tc>
        <w:tc>
          <w:tcPr>
            <w:tcW w:w="1698"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0.90</w:t>
            </w:r>
          </w:p>
          <w:p w:rsidR="0010540F" w:rsidRPr="00583C2A" w:rsidRDefault="0010540F" w:rsidP="00FD25DA">
            <w:pPr>
              <w:jc w:val="center"/>
              <w:rPr>
                <w:sz w:val="20"/>
                <w:szCs w:val="20"/>
              </w:rPr>
            </w:pPr>
            <w:r>
              <w:rPr>
                <w:sz w:val="20"/>
                <w:szCs w:val="20"/>
              </w:rPr>
              <w:t>1.0</w:t>
            </w:r>
          </w:p>
        </w:tc>
        <w:tc>
          <w:tcPr>
            <w:tcW w:w="1138" w:type="dxa"/>
          </w:tcPr>
          <w:p w:rsidR="0010540F" w:rsidRDefault="0010540F" w:rsidP="00FD25DA">
            <w:pPr>
              <w:jc w:val="center"/>
              <w:rPr>
                <w:sz w:val="20"/>
                <w:szCs w:val="20"/>
              </w:rPr>
            </w:pPr>
          </w:p>
          <w:p w:rsidR="00BF159F" w:rsidRDefault="00BF159F" w:rsidP="00BF159F">
            <w:pPr>
              <w:jc w:val="center"/>
              <w:rPr>
                <w:sz w:val="20"/>
                <w:szCs w:val="20"/>
              </w:rPr>
            </w:pPr>
            <w:r>
              <w:rPr>
                <w:sz w:val="20"/>
                <w:szCs w:val="20"/>
              </w:rPr>
              <w:t>Reference</w:t>
            </w:r>
          </w:p>
          <w:p w:rsidR="00BF159F" w:rsidRDefault="00BF159F" w:rsidP="00BF159F">
            <w:pPr>
              <w:jc w:val="center"/>
              <w:rPr>
                <w:sz w:val="20"/>
                <w:szCs w:val="20"/>
              </w:rPr>
            </w:pPr>
            <w:r>
              <w:rPr>
                <w:sz w:val="20"/>
                <w:szCs w:val="20"/>
              </w:rPr>
              <w:t>0.84, 0.97</w:t>
            </w:r>
          </w:p>
          <w:p w:rsidR="00BF159F" w:rsidRPr="00583C2A" w:rsidRDefault="00BF159F" w:rsidP="00BF159F">
            <w:pPr>
              <w:jc w:val="center"/>
              <w:rPr>
                <w:sz w:val="20"/>
                <w:szCs w:val="20"/>
              </w:rPr>
            </w:pPr>
            <w:r>
              <w:rPr>
                <w:sz w:val="20"/>
                <w:szCs w:val="20"/>
              </w:rPr>
              <w:t>0.93, 1.07</w:t>
            </w:r>
          </w:p>
        </w:tc>
        <w:tc>
          <w:tcPr>
            <w:tcW w:w="927" w:type="dxa"/>
          </w:tcPr>
          <w:p w:rsidR="0010540F" w:rsidRPr="00583C2A"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&lt;0.01</w:t>
            </w:r>
          </w:p>
          <w:p w:rsidR="0010540F" w:rsidRPr="00583C2A" w:rsidRDefault="0010540F" w:rsidP="00FD25DA">
            <w:pPr>
              <w:jc w:val="center"/>
              <w:rPr>
                <w:sz w:val="20"/>
                <w:szCs w:val="20"/>
              </w:rPr>
            </w:pPr>
            <w:r>
              <w:rPr>
                <w:sz w:val="20"/>
                <w:szCs w:val="20"/>
              </w:rPr>
              <w:t>0.97</w:t>
            </w:r>
          </w:p>
        </w:tc>
      </w:tr>
      <w:tr w:rsidR="0010540F" w:rsidRPr="00583C2A" w:rsidTr="0010540F">
        <w:tc>
          <w:tcPr>
            <w:tcW w:w="3256" w:type="dxa"/>
          </w:tcPr>
          <w:p w:rsidR="0010540F" w:rsidRDefault="0010540F" w:rsidP="00FD25DA">
            <w:pPr>
              <w:rPr>
                <w:sz w:val="20"/>
                <w:szCs w:val="20"/>
              </w:rPr>
            </w:pPr>
            <w:r w:rsidRPr="00583C2A">
              <w:rPr>
                <w:sz w:val="20"/>
                <w:szCs w:val="20"/>
              </w:rPr>
              <w:t>BMI</w:t>
            </w:r>
            <w:r>
              <w:rPr>
                <w:sz w:val="20"/>
                <w:szCs w:val="20"/>
              </w:rPr>
              <w:t xml:space="preserve"> (kg/m</w:t>
            </w:r>
            <w:r w:rsidRPr="00EE4866">
              <w:rPr>
                <w:sz w:val="20"/>
                <w:szCs w:val="20"/>
                <w:vertAlign w:val="superscript"/>
              </w:rPr>
              <w:t>2</w:t>
            </w:r>
            <w:r>
              <w:rPr>
                <w:sz w:val="20"/>
                <w:szCs w:val="20"/>
              </w:rPr>
              <w:t>)</w:t>
            </w:r>
          </w:p>
          <w:p w:rsidR="0010540F" w:rsidRDefault="0010540F" w:rsidP="00FD25DA">
            <w:pPr>
              <w:pStyle w:val="ListParagraph"/>
              <w:numPr>
                <w:ilvl w:val="0"/>
                <w:numId w:val="1"/>
              </w:numPr>
              <w:rPr>
                <w:sz w:val="20"/>
                <w:szCs w:val="20"/>
              </w:rPr>
            </w:pPr>
            <w:r>
              <w:rPr>
                <w:sz w:val="20"/>
                <w:szCs w:val="20"/>
              </w:rPr>
              <w:t>&lt;30 (normal or overweight)</w:t>
            </w:r>
          </w:p>
          <w:p w:rsidR="0010540F" w:rsidRPr="00EE0A85" w:rsidRDefault="0010540F" w:rsidP="00FD25DA">
            <w:pPr>
              <w:pStyle w:val="ListParagraph"/>
              <w:numPr>
                <w:ilvl w:val="0"/>
                <w:numId w:val="1"/>
              </w:numPr>
              <w:rPr>
                <w:sz w:val="20"/>
                <w:szCs w:val="20"/>
              </w:rPr>
            </w:pPr>
            <w:r>
              <w:sym w:font="Symbol" w:char="F0B3"/>
            </w:r>
            <w:r w:rsidRPr="00EE0A85">
              <w:rPr>
                <w:sz w:val="20"/>
                <w:szCs w:val="20"/>
              </w:rPr>
              <w:t>30 (obese)</w:t>
            </w:r>
          </w:p>
        </w:tc>
        <w:tc>
          <w:tcPr>
            <w:tcW w:w="1698"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Pr="00583C2A" w:rsidRDefault="0010540F" w:rsidP="00FD25DA">
            <w:pPr>
              <w:jc w:val="center"/>
              <w:rPr>
                <w:sz w:val="20"/>
                <w:szCs w:val="20"/>
              </w:rPr>
            </w:pPr>
            <w:r>
              <w:rPr>
                <w:sz w:val="20"/>
                <w:szCs w:val="20"/>
              </w:rPr>
              <w:t>0.95</w:t>
            </w:r>
          </w:p>
        </w:tc>
        <w:tc>
          <w:tcPr>
            <w:tcW w:w="1138" w:type="dxa"/>
          </w:tcPr>
          <w:p w:rsidR="00BF159F" w:rsidRDefault="00BF159F" w:rsidP="00BF159F">
            <w:pPr>
              <w:jc w:val="center"/>
              <w:rPr>
                <w:sz w:val="20"/>
                <w:szCs w:val="20"/>
              </w:rPr>
            </w:pPr>
          </w:p>
          <w:p w:rsidR="00BF159F" w:rsidRDefault="00BF159F" w:rsidP="00BF159F">
            <w:pPr>
              <w:jc w:val="center"/>
              <w:rPr>
                <w:sz w:val="20"/>
                <w:szCs w:val="20"/>
              </w:rPr>
            </w:pPr>
            <w:r>
              <w:rPr>
                <w:sz w:val="20"/>
                <w:szCs w:val="20"/>
              </w:rPr>
              <w:t>Reference</w:t>
            </w:r>
          </w:p>
          <w:p w:rsidR="0010540F" w:rsidRDefault="00BF159F" w:rsidP="00BF159F">
            <w:pPr>
              <w:jc w:val="center"/>
              <w:rPr>
                <w:sz w:val="20"/>
                <w:szCs w:val="20"/>
              </w:rPr>
            </w:pPr>
            <w:r>
              <w:rPr>
                <w:sz w:val="20"/>
                <w:szCs w:val="20"/>
              </w:rPr>
              <w:t>0.89, 1.02</w:t>
            </w:r>
          </w:p>
        </w:tc>
        <w:tc>
          <w:tcPr>
            <w:tcW w:w="927"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Pr="00583C2A" w:rsidRDefault="0010540F" w:rsidP="00FD25DA">
            <w:pPr>
              <w:jc w:val="center"/>
              <w:rPr>
                <w:sz w:val="20"/>
                <w:szCs w:val="20"/>
              </w:rPr>
            </w:pPr>
            <w:r>
              <w:rPr>
                <w:sz w:val="20"/>
                <w:szCs w:val="20"/>
              </w:rPr>
              <w:t>0.14</w:t>
            </w:r>
          </w:p>
        </w:tc>
      </w:tr>
      <w:tr w:rsidR="0010540F" w:rsidRPr="00583C2A" w:rsidTr="0010540F">
        <w:tc>
          <w:tcPr>
            <w:tcW w:w="3256" w:type="dxa"/>
          </w:tcPr>
          <w:p w:rsidR="0010540F" w:rsidRDefault="0010540F" w:rsidP="00FD25DA">
            <w:pPr>
              <w:rPr>
                <w:sz w:val="20"/>
                <w:szCs w:val="20"/>
              </w:rPr>
            </w:pPr>
            <w:r w:rsidRPr="00583C2A">
              <w:rPr>
                <w:sz w:val="20"/>
                <w:szCs w:val="20"/>
              </w:rPr>
              <w:t>Median income</w:t>
            </w:r>
            <w:r>
              <w:rPr>
                <w:sz w:val="20"/>
                <w:szCs w:val="20"/>
              </w:rPr>
              <w:t xml:space="preserve"> (dollars)</w:t>
            </w:r>
          </w:p>
          <w:p w:rsidR="0010540F" w:rsidRPr="007B2092" w:rsidRDefault="0010540F" w:rsidP="00722561">
            <w:pPr>
              <w:pStyle w:val="ListParagraph"/>
              <w:numPr>
                <w:ilvl w:val="0"/>
                <w:numId w:val="2"/>
              </w:numPr>
              <w:rPr>
                <w:sz w:val="20"/>
                <w:szCs w:val="20"/>
              </w:rPr>
            </w:pPr>
            <w:r w:rsidRPr="007B2092">
              <w:rPr>
                <w:sz w:val="20"/>
                <w:szCs w:val="20"/>
              </w:rPr>
              <w:t>Q1</w:t>
            </w:r>
            <w:r>
              <w:rPr>
                <w:sz w:val="20"/>
                <w:szCs w:val="20"/>
              </w:rPr>
              <w:t xml:space="preserve"> (0-41921)</w:t>
            </w:r>
          </w:p>
          <w:p w:rsidR="0010540F" w:rsidRDefault="0010540F" w:rsidP="00722561">
            <w:pPr>
              <w:pStyle w:val="ListParagraph"/>
              <w:numPr>
                <w:ilvl w:val="0"/>
                <w:numId w:val="2"/>
              </w:numPr>
              <w:rPr>
                <w:sz w:val="20"/>
                <w:szCs w:val="20"/>
              </w:rPr>
            </w:pPr>
            <w:r w:rsidRPr="007B2092">
              <w:rPr>
                <w:sz w:val="20"/>
                <w:szCs w:val="20"/>
              </w:rPr>
              <w:t>Q2</w:t>
            </w:r>
            <w:r>
              <w:rPr>
                <w:sz w:val="20"/>
                <w:szCs w:val="20"/>
              </w:rPr>
              <w:t xml:space="preserve"> (41922-49844)</w:t>
            </w:r>
          </w:p>
          <w:p w:rsidR="0010540F" w:rsidRDefault="0010540F" w:rsidP="00722561">
            <w:pPr>
              <w:pStyle w:val="ListParagraph"/>
              <w:numPr>
                <w:ilvl w:val="0"/>
                <w:numId w:val="2"/>
              </w:numPr>
              <w:rPr>
                <w:sz w:val="20"/>
                <w:szCs w:val="20"/>
              </w:rPr>
            </w:pPr>
            <w:r>
              <w:rPr>
                <w:sz w:val="20"/>
                <w:szCs w:val="20"/>
              </w:rPr>
              <w:t>Q3 (49845-59427)</w:t>
            </w:r>
          </w:p>
          <w:p w:rsidR="0010540F" w:rsidRPr="000D5D32" w:rsidRDefault="0010540F" w:rsidP="00722561">
            <w:pPr>
              <w:pStyle w:val="ListParagraph"/>
              <w:numPr>
                <w:ilvl w:val="0"/>
                <w:numId w:val="2"/>
              </w:numPr>
              <w:rPr>
                <w:sz w:val="20"/>
                <w:szCs w:val="20"/>
              </w:rPr>
            </w:pPr>
            <w:r>
              <w:rPr>
                <w:sz w:val="20"/>
                <w:szCs w:val="20"/>
              </w:rPr>
              <w:t>Q4 (59428-111636)</w:t>
            </w:r>
          </w:p>
        </w:tc>
        <w:tc>
          <w:tcPr>
            <w:tcW w:w="1698"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0.81</w:t>
            </w:r>
          </w:p>
          <w:p w:rsidR="0010540F" w:rsidRDefault="0010540F" w:rsidP="00FD25DA">
            <w:pPr>
              <w:jc w:val="center"/>
              <w:rPr>
                <w:sz w:val="20"/>
                <w:szCs w:val="20"/>
              </w:rPr>
            </w:pPr>
            <w:r>
              <w:rPr>
                <w:sz w:val="20"/>
                <w:szCs w:val="20"/>
              </w:rPr>
              <w:t>0.82</w:t>
            </w:r>
          </w:p>
          <w:p w:rsidR="0010540F" w:rsidRPr="00583C2A" w:rsidRDefault="0010540F" w:rsidP="00FD25DA">
            <w:pPr>
              <w:jc w:val="center"/>
              <w:rPr>
                <w:sz w:val="20"/>
                <w:szCs w:val="20"/>
              </w:rPr>
            </w:pPr>
            <w:r>
              <w:rPr>
                <w:sz w:val="20"/>
                <w:szCs w:val="20"/>
              </w:rPr>
              <w:t>0.80</w:t>
            </w:r>
          </w:p>
        </w:tc>
        <w:tc>
          <w:tcPr>
            <w:tcW w:w="1138" w:type="dxa"/>
          </w:tcPr>
          <w:p w:rsidR="0010540F" w:rsidRDefault="0010540F" w:rsidP="00FD25DA">
            <w:pPr>
              <w:jc w:val="center"/>
              <w:rPr>
                <w:sz w:val="20"/>
                <w:szCs w:val="20"/>
              </w:rPr>
            </w:pPr>
          </w:p>
          <w:p w:rsidR="00BF159F" w:rsidRDefault="00BF159F" w:rsidP="00BF159F">
            <w:pPr>
              <w:jc w:val="center"/>
              <w:rPr>
                <w:sz w:val="20"/>
                <w:szCs w:val="20"/>
              </w:rPr>
            </w:pPr>
            <w:r>
              <w:rPr>
                <w:sz w:val="20"/>
                <w:szCs w:val="20"/>
              </w:rPr>
              <w:t>Reference</w:t>
            </w:r>
          </w:p>
          <w:p w:rsidR="00BF159F" w:rsidRDefault="00BF159F" w:rsidP="00BF159F">
            <w:pPr>
              <w:jc w:val="center"/>
              <w:rPr>
                <w:sz w:val="20"/>
                <w:szCs w:val="20"/>
              </w:rPr>
            </w:pPr>
            <w:r>
              <w:rPr>
                <w:sz w:val="20"/>
                <w:szCs w:val="20"/>
              </w:rPr>
              <w:t>0.75, 0.88</w:t>
            </w:r>
          </w:p>
          <w:p w:rsidR="00BF159F" w:rsidRDefault="00BF159F" w:rsidP="00BF159F">
            <w:pPr>
              <w:jc w:val="center"/>
              <w:rPr>
                <w:sz w:val="20"/>
                <w:szCs w:val="20"/>
              </w:rPr>
            </w:pPr>
            <w:r>
              <w:rPr>
                <w:sz w:val="20"/>
                <w:szCs w:val="20"/>
              </w:rPr>
              <w:t>0.76, 0.89</w:t>
            </w:r>
          </w:p>
          <w:p w:rsidR="00BF159F" w:rsidRDefault="00BF159F" w:rsidP="00BF159F">
            <w:pPr>
              <w:jc w:val="center"/>
              <w:rPr>
                <w:sz w:val="20"/>
                <w:szCs w:val="20"/>
              </w:rPr>
            </w:pPr>
            <w:r>
              <w:rPr>
                <w:sz w:val="20"/>
                <w:szCs w:val="20"/>
              </w:rPr>
              <w:t>0.73, 0.87</w:t>
            </w:r>
          </w:p>
        </w:tc>
        <w:tc>
          <w:tcPr>
            <w:tcW w:w="927" w:type="dxa"/>
          </w:tcPr>
          <w:p w:rsidR="0010540F" w:rsidRDefault="0010540F" w:rsidP="00FD25DA">
            <w:pPr>
              <w:jc w:val="center"/>
              <w:rPr>
                <w:sz w:val="20"/>
                <w:szCs w:val="20"/>
              </w:rPr>
            </w:pPr>
          </w:p>
          <w:p w:rsidR="0010540F" w:rsidRDefault="00BF159F" w:rsidP="00FD25DA">
            <w:pPr>
              <w:jc w:val="center"/>
              <w:rPr>
                <w:sz w:val="20"/>
                <w:szCs w:val="20"/>
              </w:rPr>
            </w:pPr>
            <w:r>
              <w:rPr>
                <w:sz w:val="20"/>
                <w:szCs w:val="20"/>
              </w:rPr>
              <w:t>Reference</w:t>
            </w:r>
          </w:p>
          <w:p w:rsidR="0010540F" w:rsidRDefault="0010540F" w:rsidP="00FD25DA">
            <w:pPr>
              <w:jc w:val="center"/>
              <w:rPr>
                <w:sz w:val="20"/>
                <w:szCs w:val="20"/>
              </w:rPr>
            </w:pPr>
            <w:r>
              <w:rPr>
                <w:sz w:val="20"/>
                <w:szCs w:val="20"/>
              </w:rPr>
              <w:t>&lt;0.001</w:t>
            </w:r>
          </w:p>
          <w:p w:rsidR="0010540F" w:rsidRDefault="0010540F" w:rsidP="00FD25DA">
            <w:pPr>
              <w:jc w:val="center"/>
              <w:rPr>
                <w:sz w:val="20"/>
                <w:szCs w:val="20"/>
              </w:rPr>
            </w:pPr>
            <w:r>
              <w:rPr>
                <w:sz w:val="20"/>
                <w:szCs w:val="20"/>
              </w:rPr>
              <w:t>&lt;0.001</w:t>
            </w:r>
          </w:p>
          <w:p w:rsidR="0010540F" w:rsidRPr="00583C2A" w:rsidRDefault="0010540F" w:rsidP="00FD25DA">
            <w:pPr>
              <w:jc w:val="center"/>
              <w:rPr>
                <w:sz w:val="20"/>
                <w:szCs w:val="20"/>
              </w:rPr>
            </w:pPr>
            <w:r>
              <w:rPr>
                <w:sz w:val="20"/>
                <w:szCs w:val="20"/>
              </w:rPr>
              <w:t>&lt;0.001</w:t>
            </w:r>
          </w:p>
        </w:tc>
      </w:tr>
    </w:tbl>
    <w:p w:rsidR="00722561" w:rsidRDefault="00722561" w:rsidP="00722561">
      <w:pPr>
        <w:spacing w:line="480" w:lineRule="auto"/>
        <w:rPr>
          <w:b/>
          <w:szCs w:val="22"/>
        </w:rPr>
      </w:pPr>
    </w:p>
    <w:p w:rsidR="00722561" w:rsidRPr="00517043" w:rsidRDefault="00722561" w:rsidP="00722561">
      <w:pPr>
        <w:spacing w:line="480" w:lineRule="auto"/>
        <w:rPr>
          <w:szCs w:val="22"/>
        </w:rPr>
      </w:pPr>
      <w:r w:rsidRPr="00517043">
        <w:rPr>
          <w:b/>
          <w:szCs w:val="22"/>
        </w:rPr>
        <w:t xml:space="preserve">Supplemental Table 1. Predictors of Early Elective Repair versus Non-operative Management. </w:t>
      </w:r>
      <w:r w:rsidRPr="00517043">
        <w:rPr>
          <w:szCs w:val="22"/>
        </w:rPr>
        <w:t>Multinomial logistic regression analysis was performed to determine predictors of patients selecting for Non-Operative Management over Early Elective Repair. Data are reported as odds ratios with 95% confidence intervals with corresponding p values. BMI (body mass index), Q (quartile).</w:t>
      </w:r>
    </w:p>
    <w:p w:rsidR="00722561" w:rsidRDefault="00722561" w:rsidP="00722561">
      <w:pPr>
        <w:spacing w:line="480" w:lineRule="auto"/>
        <w:rPr>
          <w:b/>
          <w:szCs w:val="22"/>
        </w:rPr>
      </w:pPr>
    </w:p>
    <w:p w:rsidR="00722561" w:rsidRDefault="00722561" w:rsidP="00722561">
      <w:pPr>
        <w:spacing w:line="480" w:lineRule="auto"/>
        <w:rPr>
          <w:b/>
          <w:szCs w:val="22"/>
        </w:rPr>
      </w:pPr>
    </w:p>
    <w:p w:rsidR="00722561" w:rsidRDefault="00722561" w:rsidP="00722561">
      <w:pPr>
        <w:spacing w:line="480" w:lineRule="auto"/>
        <w:rPr>
          <w:b/>
          <w:szCs w:val="22"/>
        </w:rPr>
      </w:pPr>
    </w:p>
    <w:p w:rsidR="00722561" w:rsidRDefault="00722561" w:rsidP="00722561">
      <w:pPr>
        <w:spacing w:line="480" w:lineRule="auto"/>
        <w:rPr>
          <w:b/>
          <w:szCs w:val="22"/>
        </w:rPr>
      </w:pPr>
    </w:p>
    <w:p w:rsidR="00722561" w:rsidRDefault="00722561" w:rsidP="00722561">
      <w:pPr>
        <w:spacing w:line="480" w:lineRule="auto"/>
        <w:rPr>
          <w:b/>
          <w:szCs w:val="22"/>
        </w:rPr>
      </w:pPr>
    </w:p>
    <w:p w:rsidR="00722561" w:rsidRDefault="00722561" w:rsidP="00722561">
      <w:pPr>
        <w:spacing w:line="480" w:lineRule="auto"/>
        <w:rPr>
          <w:b/>
          <w:szCs w:val="22"/>
        </w:rPr>
      </w:pPr>
    </w:p>
    <w:p w:rsidR="00722561" w:rsidRDefault="00722561" w:rsidP="00722561">
      <w:pPr>
        <w:spacing w:line="480" w:lineRule="auto"/>
        <w:rPr>
          <w:b/>
          <w:szCs w:val="22"/>
        </w:rPr>
      </w:pPr>
      <w:r>
        <w:rPr>
          <w:b/>
          <w:szCs w:val="22"/>
        </w:rPr>
        <w:lastRenderedPageBreak/>
        <w:t>Supplemental Table 2.</w:t>
      </w:r>
    </w:p>
    <w:tbl>
      <w:tblPr>
        <w:tblStyle w:val="TableGrid"/>
        <w:tblW w:w="0" w:type="auto"/>
        <w:tblLook w:val="04A0" w:firstRow="1" w:lastRow="0" w:firstColumn="1" w:lastColumn="0" w:noHBand="0" w:noVBand="1"/>
      </w:tblPr>
      <w:tblGrid>
        <w:gridCol w:w="1386"/>
        <w:gridCol w:w="6098"/>
        <w:gridCol w:w="1866"/>
      </w:tblGrid>
      <w:tr w:rsidR="00722561" w:rsidRPr="00583C2A" w:rsidTr="00FD25DA">
        <w:tc>
          <w:tcPr>
            <w:tcW w:w="1525" w:type="dxa"/>
            <w:vAlign w:val="center"/>
          </w:tcPr>
          <w:p w:rsidR="00722561" w:rsidRPr="00583C2A" w:rsidRDefault="00722561" w:rsidP="00FD25DA">
            <w:pPr>
              <w:jc w:val="center"/>
              <w:rPr>
                <w:b/>
                <w:sz w:val="20"/>
                <w:szCs w:val="20"/>
              </w:rPr>
            </w:pPr>
            <w:r w:rsidRPr="00583C2A">
              <w:rPr>
                <w:b/>
                <w:bCs/>
                <w:color w:val="000000"/>
                <w:sz w:val="20"/>
                <w:szCs w:val="20"/>
              </w:rPr>
              <w:t>ICD-9 Code</w:t>
            </w:r>
          </w:p>
        </w:tc>
        <w:tc>
          <w:tcPr>
            <w:tcW w:w="7200" w:type="dxa"/>
            <w:vAlign w:val="center"/>
          </w:tcPr>
          <w:p w:rsidR="00722561" w:rsidRPr="00583C2A" w:rsidRDefault="00722561" w:rsidP="00FD25DA">
            <w:pPr>
              <w:jc w:val="center"/>
              <w:rPr>
                <w:b/>
                <w:sz w:val="20"/>
                <w:szCs w:val="20"/>
              </w:rPr>
            </w:pPr>
            <w:r w:rsidRPr="00583C2A">
              <w:rPr>
                <w:b/>
                <w:bCs/>
                <w:color w:val="000000"/>
                <w:sz w:val="20"/>
                <w:szCs w:val="20"/>
              </w:rPr>
              <w:t>Code Description</w:t>
            </w:r>
          </w:p>
        </w:tc>
        <w:tc>
          <w:tcPr>
            <w:tcW w:w="2065" w:type="dxa"/>
            <w:vAlign w:val="bottom"/>
          </w:tcPr>
          <w:p w:rsidR="00722561" w:rsidRPr="00583C2A" w:rsidRDefault="00722561" w:rsidP="00FD25DA">
            <w:pPr>
              <w:jc w:val="center"/>
              <w:rPr>
                <w:b/>
                <w:sz w:val="20"/>
                <w:szCs w:val="20"/>
              </w:rPr>
            </w:pPr>
            <w:r w:rsidRPr="00583C2A">
              <w:rPr>
                <w:b/>
                <w:bCs/>
                <w:color w:val="000000"/>
                <w:sz w:val="20"/>
                <w:szCs w:val="20"/>
              </w:rPr>
              <w:t>Selection for Study</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551.1</w:t>
            </w:r>
          </w:p>
        </w:tc>
        <w:tc>
          <w:tcPr>
            <w:tcW w:w="7200" w:type="dxa"/>
            <w:vAlign w:val="center"/>
          </w:tcPr>
          <w:p w:rsidR="00722561" w:rsidRPr="00583C2A" w:rsidRDefault="00722561" w:rsidP="00FD25DA">
            <w:pPr>
              <w:rPr>
                <w:b/>
                <w:sz w:val="20"/>
                <w:szCs w:val="20"/>
              </w:rPr>
            </w:pPr>
            <w:r w:rsidRPr="00583C2A">
              <w:rPr>
                <w:color w:val="000000"/>
                <w:sz w:val="20"/>
                <w:szCs w:val="20"/>
              </w:rPr>
              <w:t>Umbilical hernia with gangrene</w:t>
            </w:r>
          </w:p>
        </w:tc>
        <w:tc>
          <w:tcPr>
            <w:tcW w:w="2065" w:type="dxa"/>
            <w:vAlign w:val="bottom"/>
          </w:tcPr>
          <w:p w:rsidR="00722561" w:rsidRPr="00583C2A" w:rsidRDefault="00722561" w:rsidP="00FD25DA">
            <w:pPr>
              <w:jc w:val="center"/>
              <w:rPr>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552.1</w:t>
            </w:r>
          </w:p>
        </w:tc>
        <w:tc>
          <w:tcPr>
            <w:tcW w:w="7200" w:type="dxa"/>
            <w:vAlign w:val="center"/>
          </w:tcPr>
          <w:p w:rsidR="00722561" w:rsidRPr="00583C2A" w:rsidRDefault="00722561" w:rsidP="00FD25DA">
            <w:pPr>
              <w:rPr>
                <w:b/>
                <w:sz w:val="20"/>
                <w:szCs w:val="20"/>
              </w:rPr>
            </w:pPr>
            <w:r w:rsidRPr="00583C2A">
              <w:rPr>
                <w:color w:val="000000"/>
                <w:sz w:val="20"/>
                <w:szCs w:val="20"/>
              </w:rPr>
              <w:t>Umbilical hernia with obstruction</w:t>
            </w:r>
          </w:p>
        </w:tc>
        <w:tc>
          <w:tcPr>
            <w:tcW w:w="2065" w:type="dxa"/>
            <w:vAlign w:val="bottom"/>
          </w:tcPr>
          <w:p w:rsidR="00722561" w:rsidRPr="00583C2A" w:rsidRDefault="00722561" w:rsidP="00FD25DA">
            <w:pPr>
              <w:jc w:val="center"/>
              <w:rPr>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551.20</w:t>
            </w:r>
          </w:p>
        </w:tc>
        <w:tc>
          <w:tcPr>
            <w:tcW w:w="7200" w:type="dxa"/>
            <w:vAlign w:val="center"/>
          </w:tcPr>
          <w:p w:rsidR="00722561" w:rsidRPr="00583C2A" w:rsidRDefault="00722561" w:rsidP="00FD25DA">
            <w:pPr>
              <w:rPr>
                <w:b/>
                <w:sz w:val="20"/>
                <w:szCs w:val="20"/>
              </w:rPr>
            </w:pPr>
            <w:r w:rsidRPr="00583C2A">
              <w:rPr>
                <w:color w:val="000000"/>
                <w:sz w:val="20"/>
                <w:szCs w:val="20"/>
              </w:rPr>
              <w:t>Ventral hernia, unspecified, with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551.29</w:t>
            </w:r>
          </w:p>
        </w:tc>
        <w:tc>
          <w:tcPr>
            <w:tcW w:w="7200" w:type="dxa"/>
            <w:vAlign w:val="center"/>
          </w:tcPr>
          <w:p w:rsidR="00722561" w:rsidRPr="00583C2A" w:rsidRDefault="00722561" w:rsidP="00FD25DA">
            <w:pPr>
              <w:rPr>
                <w:b/>
                <w:sz w:val="20"/>
                <w:szCs w:val="20"/>
              </w:rPr>
            </w:pPr>
            <w:r w:rsidRPr="00583C2A">
              <w:rPr>
                <w:color w:val="000000"/>
                <w:sz w:val="20"/>
                <w:szCs w:val="20"/>
              </w:rPr>
              <w:t>Other ventral hernia with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552.20</w:t>
            </w:r>
          </w:p>
        </w:tc>
        <w:tc>
          <w:tcPr>
            <w:tcW w:w="7200" w:type="dxa"/>
            <w:vAlign w:val="center"/>
          </w:tcPr>
          <w:p w:rsidR="00722561" w:rsidRPr="00583C2A" w:rsidRDefault="00722561" w:rsidP="00FD25DA">
            <w:pPr>
              <w:rPr>
                <w:b/>
                <w:sz w:val="20"/>
                <w:szCs w:val="20"/>
              </w:rPr>
            </w:pPr>
            <w:r w:rsidRPr="00583C2A">
              <w:rPr>
                <w:color w:val="000000"/>
                <w:sz w:val="20"/>
                <w:szCs w:val="20"/>
              </w:rPr>
              <w:t>Ventral, unspecified, hernia with obstruction</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552.29</w:t>
            </w:r>
          </w:p>
        </w:tc>
        <w:tc>
          <w:tcPr>
            <w:tcW w:w="7200" w:type="dxa"/>
            <w:vAlign w:val="center"/>
          </w:tcPr>
          <w:p w:rsidR="00722561" w:rsidRPr="00583C2A" w:rsidRDefault="00722561" w:rsidP="00FD25DA">
            <w:pPr>
              <w:rPr>
                <w:b/>
                <w:sz w:val="20"/>
                <w:szCs w:val="20"/>
              </w:rPr>
            </w:pPr>
            <w:r w:rsidRPr="00583C2A">
              <w:rPr>
                <w:color w:val="000000"/>
                <w:sz w:val="20"/>
                <w:szCs w:val="20"/>
              </w:rPr>
              <w:t>Other ventral hernia with obstruction</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553.20</w:t>
            </w:r>
          </w:p>
        </w:tc>
        <w:tc>
          <w:tcPr>
            <w:tcW w:w="7200" w:type="dxa"/>
            <w:vAlign w:val="center"/>
          </w:tcPr>
          <w:p w:rsidR="00722561" w:rsidRPr="00583C2A" w:rsidRDefault="00722561" w:rsidP="00FD25DA">
            <w:pPr>
              <w:rPr>
                <w:b/>
                <w:sz w:val="20"/>
                <w:szCs w:val="20"/>
              </w:rPr>
            </w:pPr>
            <w:r w:rsidRPr="00583C2A">
              <w:rPr>
                <w:color w:val="000000"/>
                <w:sz w:val="20"/>
                <w:szCs w:val="20"/>
              </w:rPr>
              <w:t xml:space="preserve">Ventral, unspecified, hernia without mention of obstruction or gangrene </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553.29</w:t>
            </w:r>
          </w:p>
        </w:tc>
        <w:tc>
          <w:tcPr>
            <w:tcW w:w="7200" w:type="dxa"/>
            <w:vAlign w:val="center"/>
          </w:tcPr>
          <w:p w:rsidR="00722561" w:rsidRPr="00583C2A" w:rsidRDefault="00722561" w:rsidP="00FD25DA">
            <w:pPr>
              <w:rPr>
                <w:b/>
                <w:sz w:val="20"/>
                <w:szCs w:val="20"/>
              </w:rPr>
            </w:pPr>
            <w:r w:rsidRPr="00583C2A">
              <w:rPr>
                <w:color w:val="000000"/>
                <w:sz w:val="20"/>
                <w:szCs w:val="20"/>
              </w:rPr>
              <w:t>Other ventral hernia without mention of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551.21</w:t>
            </w:r>
          </w:p>
        </w:tc>
        <w:tc>
          <w:tcPr>
            <w:tcW w:w="7200" w:type="dxa"/>
            <w:vAlign w:val="center"/>
          </w:tcPr>
          <w:p w:rsidR="00722561" w:rsidRPr="00583C2A" w:rsidRDefault="00722561" w:rsidP="00FD25DA">
            <w:pPr>
              <w:rPr>
                <w:b/>
                <w:sz w:val="20"/>
                <w:szCs w:val="20"/>
              </w:rPr>
            </w:pPr>
            <w:r w:rsidRPr="00583C2A">
              <w:rPr>
                <w:color w:val="000000"/>
                <w:sz w:val="20"/>
                <w:szCs w:val="20"/>
              </w:rPr>
              <w:t>Incisional ventral hernia, with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552.21</w:t>
            </w:r>
          </w:p>
        </w:tc>
        <w:tc>
          <w:tcPr>
            <w:tcW w:w="7200" w:type="dxa"/>
            <w:vAlign w:val="center"/>
          </w:tcPr>
          <w:p w:rsidR="00722561" w:rsidRPr="00583C2A" w:rsidRDefault="00722561" w:rsidP="00FD25DA">
            <w:pPr>
              <w:rPr>
                <w:b/>
                <w:sz w:val="20"/>
                <w:szCs w:val="20"/>
              </w:rPr>
            </w:pPr>
            <w:r w:rsidRPr="00583C2A">
              <w:rPr>
                <w:color w:val="000000"/>
                <w:sz w:val="20"/>
                <w:szCs w:val="20"/>
              </w:rPr>
              <w:t>Incisional ventral hernia with obstruction</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553.21</w:t>
            </w:r>
          </w:p>
        </w:tc>
        <w:tc>
          <w:tcPr>
            <w:tcW w:w="7200" w:type="dxa"/>
            <w:vAlign w:val="center"/>
          </w:tcPr>
          <w:p w:rsidR="00722561" w:rsidRPr="00583C2A" w:rsidRDefault="00722561" w:rsidP="00FD25DA">
            <w:pPr>
              <w:rPr>
                <w:b/>
                <w:sz w:val="20"/>
                <w:szCs w:val="20"/>
              </w:rPr>
            </w:pPr>
            <w:r w:rsidRPr="00583C2A">
              <w:rPr>
                <w:color w:val="000000"/>
                <w:sz w:val="20"/>
                <w:szCs w:val="20"/>
              </w:rPr>
              <w:t>Incisional hernia without mention of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551.8</w:t>
            </w:r>
          </w:p>
        </w:tc>
        <w:tc>
          <w:tcPr>
            <w:tcW w:w="7200" w:type="dxa"/>
            <w:vAlign w:val="center"/>
          </w:tcPr>
          <w:p w:rsidR="00722561" w:rsidRPr="00583C2A" w:rsidRDefault="00722561" w:rsidP="00FD25DA">
            <w:pPr>
              <w:rPr>
                <w:b/>
                <w:sz w:val="20"/>
                <w:szCs w:val="20"/>
              </w:rPr>
            </w:pPr>
            <w:r w:rsidRPr="00583C2A">
              <w:rPr>
                <w:color w:val="000000"/>
                <w:sz w:val="20"/>
                <w:szCs w:val="20"/>
              </w:rPr>
              <w:t>Hernia of other specified sites, with gangrene</w:t>
            </w:r>
          </w:p>
        </w:tc>
        <w:tc>
          <w:tcPr>
            <w:tcW w:w="2065" w:type="dxa"/>
            <w:vAlign w:val="bottom"/>
          </w:tcPr>
          <w:p w:rsidR="00722561" w:rsidRPr="00583C2A" w:rsidRDefault="00722561" w:rsidP="00FD25DA">
            <w:pPr>
              <w:jc w:val="center"/>
              <w:rPr>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551.9</w:t>
            </w:r>
          </w:p>
        </w:tc>
        <w:tc>
          <w:tcPr>
            <w:tcW w:w="7200" w:type="dxa"/>
            <w:vAlign w:val="center"/>
          </w:tcPr>
          <w:p w:rsidR="00722561" w:rsidRPr="00583C2A" w:rsidRDefault="00722561" w:rsidP="00FD25DA">
            <w:pPr>
              <w:rPr>
                <w:b/>
                <w:sz w:val="20"/>
                <w:szCs w:val="20"/>
              </w:rPr>
            </w:pPr>
            <w:r w:rsidRPr="00583C2A">
              <w:rPr>
                <w:color w:val="000000"/>
                <w:sz w:val="20"/>
                <w:szCs w:val="20"/>
              </w:rPr>
              <w:t>Hernia of unspecified site, with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552.8</w:t>
            </w:r>
          </w:p>
        </w:tc>
        <w:tc>
          <w:tcPr>
            <w:tcW w:w="7200" w:type="dxa"/>
            <w:vAlign w:val="center"/>
          </w:tcPr>
          <w:p w:rsidR="00722561" w:rsidRPr="00583C2A" w:rsidRDefault="00722561" w:rsidP="00FD25DA">
            <w:pPr>
              <w:rPr>
                <w:b/>
                <w:sz w:val="20"/>
                <w:szCs w:val="20"/>
              </w:rPr>
            </w:pPr>
            <w:r w:rsidRPr="00583C2A">
              <w:rPr>
                <w:color w:val="000000"/>
                <w:sz w:val="20"/>
                <w:szCs w:val="20"/>
              </w:rPr>
              <w:t>Hernia of other specified sites, with obstruction</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552.9</w:t>
            </w:r>
          </w:p>
        </w:tc>
        <w:tc>
          <w:tcPr>
            <w:tcW w:w="7200" w:type="dxa"/>
            <w:vAlign w:val="center"/>
          </w:tcPr>
          <w:p w:rsidR="00722561" w:rsidRPr="00583C2A" w:rsidRDefault="00722561" w:rsidP="00FD25DA">
            <w:pPr>
              <w:rPr>
                <w:b/>
                <w:sz w:val="20"/>
                <w:szCs w:val="20"/>
              </w:rPr>
            </w:pPr>
            <w:r w:rsidRPr="00583C2A">
              <w:rPr>
                <w:color w:val="000000"/>
                <w:sz w:val="20"/>
                <w:szCs w:val="20"/>
              </w:rPr>
              <w:t>Hernia of unspecified site, with obstruction</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553.8</w:t>
            </w:r>
          </w:p>
        </w:tc>
        <w:tc>
          <w:tcPr>
            <w:tcW w:w="7200" w:type="dxa"/>
            <w:vAlign w:val="center"/>
          </w:tcPr>
          <w:p w:rsidR="00722561" w:rsidRPr="00583C2A" w:rsidRDefault="00722561" w:rsidP="00FD25DA">
            <w:pPr>
              <w:rPr>
                <w:b/>
                <w:sz w:val="20"/>
                <w:szCs w:val="20"/>
              </w:rPr>
            </w:pPr>
            <w:r w:rsidRPr="00583C2A">
              <w:rPr>
                <w:color w:val="000000"/>
                <w:sz w:val="20"/>
                <w:szCs w:val="20"/>
              </w:rPr>
              <w:t>Hernia of other specified sites without mention of obstruction or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553.9</w:t>
            </w:r>
          </w:p>
        </w:tc>
        <w:tc>
          <w:tcPr>
            <w:tcW w:w="7200" w:type="dxa"/>
            <w:vAlign w:val="center"/>
          </w:tcPr>
          <w:p w:rsidR="00722561" w:rsidRPr="00583C2A" w:rsidRDefault="00722561" w:rsidP="00FD25DA">
            <w:pPr>
              <w:rPr>
                <w:b/>
                <w:sz w:val="20"/>
                <w:szCs w:val="20"/>
              </w:rPr>
            </w:pPr>
            <w:r w:rsidRPr="00583C2A">
              <w:rPr>
                <w:color w:val="000000"/>
                <w:sz w:val="20"/>
                <w:szCs w:val="20"/>
              </w:rPr>
              <w:t>Hernia of unspecified site without mention of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p>
        </w:tc>
        <w:tc>
          <w:tcPr>
            <w:tcW w:w="7200" w:type="dxa"/>
            <w:vAlign w:val="center"/>
          </w:tcPr>
          <w:p w:rsidR="00722561" w:rsidRPr="00583C2A" w:rsidRDefault="00722561" w:rsidP="00FD25DA">
            <w:pPr>
              <w:rPr>
                <w:b/>
                <w:sz w:val="20"/>
                <w:szCs w:val="20"/>
              </w:rPr>
            </w:pPr>
          </w:p>
        </w:tc>
        <w:tc>
          <w:tcPr>
            <w:tcW w:w="2065" w:type="dxa"/>
            <w:vAlign w:val="bottom"/>
          </w:tcPr>
          <w:p w:rsidR="00722561" w:rsidRPr="00583C2A" w:rsidRDefault="00722561" w:rsidP="00FD25DA">
            <w:pPr>
              <w:jc w:val="center"/>
              <w:rPr>
                <w:b/>
                <w:sz w:val="20"/>
                <w:szCs w:val="20"/>
              </w:rPr>
            </w:pPr>
          </w:p>
        </w:tc>
      </w:tr>
      <w:tr w:rsidR="00722561" w:rsidRPr="00583C2A" w:rsidTr="00FD25DA">
        <w:tc>
          <w:tcPr>
            <w:tcW w:w="1525" w:type="dxa"/>
            <w:vAlign w:val="center"/>
          </w:tcPr>
          <w:p w:rsidR="00722561" w:rsidRPr="00583C2A" w:rsidRDefault="00722561" w:rsidP="00FD25DA">
            <w:pPr>
              <w:jc w:val="center"/>
              <w:rPr>
                <w:b/>
                <w:sz w:val="20"/>
                <w:szCs w:val="20"/>
              </w:rPr>
            </w:pPr>
            <w:r w:rsidRPr="00583C2A">
              <w:rPr>
                <w:b/>
                <w:bCs/>
                <w:color w:val="000000"/>
                <w:sz w:val="20"/>
                <w:szCs w:val="20"/>
              </w:rPr>
              <w:t>ICD-10 Code</w:t>
            </w:r>
          </w:p>
        </w:tc>
        <w:tc>
          <w:tcPr>
            <w:tcW w:w="7200" w:type="dxa"/>
            <w:vAlign w:val="center"/>
          </w:tcPr>
          <w:p w:rsidR="00722561" w:rsidRPr="00583C2A" w:rsidRDefault="00722561" w:rsidP="00FD25DA">
            <w:pPr>
              <w:jc w:val="center"/>
              <w:rPr>
                <w:b/>
                <w:sz w:val="20"/>
                <w:szCs w:val="20"/>
              </w:rPr>
            </w:pPr>
            <w:r w:rsidRPr="00583C2A">
              <w:rPr>
                <w:b/>
                <w:bCs/>
                <w:color w:val="000000"/>
                <w:sz w:val="20"/>
                <w:szCs w:val="20"/>
              </w:rPr>
              <w:t>Code Description</w:t>
            </w:r>
          </w:p>
        </w:tc>
        <w:tc>
          <w:tcPr>
            <w:tcW w:w="2065" w:type="dxa"/>
            <w:vAlign w:val="bottom"/>
          </w:tcPr>
          <w:p w:rsidR="00722561" w:rsidRPr="00583C2A" w:rsidRDefault="00722561" w:rsidP="00FD25DA">
            <w:pPr>
              <w:jc w:val="center"/>
              <w:rPr>
                <w:b/>
                <w:sz w:val="20"/>
                <w:szCs w:val="20"/>
              </w:rPr>
            </w:pPr>
            <w:r w:rsidRPr="00583C2A">
              <w:rPr>
                <w:b/>
                <w:bCs/>
                <w:color w:val="000000"/>
                <w:sz w:val="20"/>
                <w:szCs w:val="20"/>
              </w:rPr>
              <w:t>Selection for Study</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K42.0</w:t>
            </w:r>
          </w:p>
        </w:tc>
        <w:tc>
          <w:tcPr>
            <w:tcW w:w="7200" w:type="dxa"/>
            <w:vAlign w:val="center"/>
          </w:tcPr>
          <w:p w:rsidR="00722561" w:rsidRPr="00583C2A" w:rsidRDefault="00722561" w:rsidP="00FD25DA">
            <w:pPr>
              <w:rPr>
                <w:b/>
                <w:sz w:val="20"/>
                <w:szCs w:val="20"/>
              </w:rPr>
            </w:pPr>
            <w:r w:rsidRPr="00583C2A">
              <w:rPr>
                <w:color w:val="000000"/>
                <w:sz w:val="20"/>
                <w:szCs w:val="20"/>
              </w:rPr>
              <w:t>Umbilical hernia with obstruction, without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K42.1</w:t>
            </w:r>
          </w:p>
        </w:tc>
        <w:tc>
          <w:tcPr>
            <w:tcW w:w="7200" w:type="dxa"/>
            <w:vAlign w:val="center"/>
          </w:tcPr>
          <w:p w:rsidR="00722561" w:rsidRPr="00583C2A" w:rsidRDefault="00722561" w:rsidP="00FD25DA">
            <w:pPr>
              <w:rPr>
                <w:b/>
                <w:sz w:val="20"/>
                <w:szCs w:val="20"/>
              </w:rPr>
            </w:pPr>
            <w:r w:rsidRPr="00583C2A">
              <w:rPr>
                <w:color w:val="000000"/>
                <w:sz w:val="20"/>
                <w:szCs w:val="20"/>
              </w:rPr>
              <w:t>Umbilical hernia with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K43.0</w:t>
            </w:r>
          </w:p>
        </w:tc>
        <w:tc>
          <w:tcPr>
            <w:tcW w:w="7200" w:type="dxa"/>
            <w:vAlign w:val="center"/>
          </w:tcPr>
          <w:p w:rsidR="00722561" w:rsidRPr="00583C2A" w:rsidRDefault="00722561" w:rsidP="00FD25DA">
            <w:pPr>
              <w:rPr>
                <w:b/>
                <w:sz w:val="20"/>
                <w:szCs w:val="20"/>
              </w:rPr>
            </w:pPr>
            <w:r w:rsidRPr="00583C2A">
              <w:rPr>
                <w:color w:val="000000"/>
                <w:sz w:val="20"/>
                <w:szCs w:val="20"/>
              </w:rPr>
              <w:t>Incisional hernia with obstruction, without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K43.1</w:t>
            </w:r>
          </w:p>
        </w:tc>
        <w:tc>
          <w:tcPr>
            <w:tcW w:w="7200" w:type="dxa"/>
            <w:vAlign w:val="center"/>
          </w:tcPr>
          <w:p w:rsidR="00722561" w:rsidRPr="00583C2A" w:rsidRDefault="00722561" w:rsidP="00FD25DA">
            <w:pPr>
              <w:rPr>
                <w:b/>
                <w:sz w:val="20"/>
                <w:szCs w:val="20"/>
              </w:rPr>
            </w:pPr>
            <w:r w:rsidRPr="00583C2A">
              <w:rPr>
                <w:color w:val="000000"/>
                <w:sz w:val="20"/>
                <w:szCs w:val="20"/>
              </w:rPr>
              <w:t>Incisional hernia with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K43.2</w:t>
            </w:r>
          </w:p>
        </w:tc>
        <w:tc>
          <w:tcPr>
            <w:tcW w:w="7200" w:type="dxa"/>
            <w:vAlign w:val="center"/>
          </w:tcPr>
          <w:p w:rsidR="00722561" w:rsidRPr="00583C2A" w:rsidRDefault="00722561" w:rsidP="00FD25DA">
            <w:pPr>
              <w:rPr>
                <w:b/>
                <w:sz w:val="20"/>
                <w:szCs w:val="20"/>
              </w:rPr>
            </w:pPr>
            <w:r w:rsidRPr="00583C2A">
              <w:rPr>
                <w:color w:val="000000"/>
                <w:sz w:val="20"/>
                <w:szCs w:val="20"/>
              </w:rPr>
              <w:t>Incisional hernia without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K43.3</w:t>
            </w:r>
          </w:p>
        </w:tc>
        <w:tc>
          <w:tcPr>
            <w:tcW w:w="7200" w:type="dxa"/>
            <w:vAlign w:val="center"/>
          </w:tcPr>
          <w:p w:rsidR="00722561" w:rsidRPr="00583C2A" w:rsidRDefault="00722561" w:rsidP="00FD25DA">
            <w:pPr>
              <w:rPr>
                <w:b/>
                <w:sz w:val="20"/>
                <w:szCs w:val="20"/>
              </w:rPr>
            </w:pPr>
            <w:r w:rsidRPr="00583C2A">
              <w:rPr>
                <w:color w:val="000000"/>
                <w:sz w:val="20"/>
                <w:szCs w:val="20"/>
              </w:rPr>
              <w:t>Parastomal hernia with obstruction, without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K43.4</w:t>
            </w:r>
          </w:p>
        </w:tc>
        <w:tc>
          <w:tcPr>
            <w:tcW w:w="7200" w:type="dxa"/>
            <w:vAlign w:val="center"/>
          </w:tcPr>
          <w:p w:rsidR="00722561" w:rsidRPr="00583C2A" w:rsidRDefault="00722561" w:rsidP="00FD25DA">
            <w:pPr>
              <w:rPr>
                <w:b/>
                <w:sz w:val="20"/>
                <w:szCs w:val="20"/>
              </w:rPr>
            </w:pPr>
            <w:r w:rsidRPr="00583C2A">
              <w:rPr>
                <w:color w:val="000000"/>
                <w:sz w:val="20"/>
                <w:szCs w:val="20"/>
              </w:rPr>
              <w:t>Parastomal hernia with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K43.5</w:t>
            </w:r>
          </w:p>
        </w:tc>
        <w:tc>
          <w:tcPr>
            <w:tcW w:w="7200" w:type="dxa"/>
            <w:vAlign w:val="center"/>
          </w:tcPr>
          <w:p w:rsidR="00722561" w:rsidRPr="00583C2A" w:rsidRDefault="00722561" w:rsidP="00FD25DA">
            <w:pPr>
              <w:rPr>
                <w:b/>
                <w:sz w:val="20"/>
                <w:szCs w:val="20"/>
              </w:rPr>
            </w:pPr>
            <w:r w:rsidRPr="00583C2A">
              <w:rPr>
                <w:color w:val="000000"/>
                <w:sz w:val="20"/>
                <w:szCs w:val="20"/>
              </w:rPr>
              <w:t>Parastomal hernia without obstruction or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K43.6</w:t>
            </w:r>
          </w:p>
        </w:tc>
        <w:tc>
          <w:tcPr>
            <w:tcW w:w="7200" w:type="dxa"/>
            <w:vAlign w:val="center"/>
          </w:tcPr>
          <w:p w:rsidR="00722561" w:rsidRPr="00583C2A" w:rsidRDefault="00722561" w:rsidP="00FD25DA">
            <w:pPr>
              <w:rPr>
                <w:b/>
                <w:sz w:val="20"/>
                <w:szCs w:val="20"/>
              </w:rPr>
            </w:pPr>
            <w:r w:rsidRPr="00583C2A">
              <w:rPr>
                <w:color w:val="000000"/>
                <w:sz w:val="20"/>
                <w:szCs w:val="20"/>
              </w:rPr>
              <w:t>Other and unspecified ventral hernia with obstruction, without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K43.7</w:t>
            </w:r>
          </w:p>
        </w:tc>
        <w:tc>
          <w:tcPr>
            <w:tcW w:w="7200" w:type="dxa"/>
            <w:vAlign w:val="center"/>
          </w:tcPr>
          <w:p w:rsidR="00722561" w:rsidRPr="00583C2A" w:rsidRDefault="00722561" w:rsidP="00FD25DA">
            <w:pPr>
              <w:rPr>
                <w:b/>
                <w:sz w:val="20"/>
                <w:szCs w:val="20"/>
              </w:rPr>
            </w:pPr>
            <w:r w:rsidRPr="00583C2A">
              <w:rPr>
                <w:color w:val="000000"/>
                <w:sz w:val="20"/>
                <w:szCs w:val="20"/>
              </w:rPr>
              <w:t>Other and unspecified ventral hernia with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K43.9</w:t>
            </w:r>
          </w:p>
        </w:tc>
        <w:tc>
          <w:tcPr>
            <w:tcW w:w="7200" w:type="dxa"/>
            <w:vAlign w:val="center"/>
          </w:tcPr>
          <w:p w:rsidR="00722561" w:rsidRPr="00583C2A" w:rsidRDefault="00722561" w:rsidP="00FD25DA">
            <w:pPr>
              <w:rPr>
                <w:b/>
                <w:sz w:val="20"/>
                <w:szCs w:val="20"/>
              </w:rPr>
            </w:pPr>
            <w:r w:rsidRPr="00583C2A">
              <w:rPr>
                <w:color w:val="000000"/>
                <w:sz w:val="20"/>
                <w:szCs w:val="20"/>
              </w:rPr>
              <w:t>Ventral hernia without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K45.0</w:t>
            </w:r>
          </w:p>
        </w:tc>
        <w:tc>
          <w:tcPr>
            <w:tcW w:w="7200" w:type="dxa"/>
            <w:vAlign w:val="center"/>
          </w:tcPr>
          <w:p w:rsidR="00722561" w:rsidRPr="00583C2A" w:rsidRDefault="00722561" w:rsidP="00FD25DA">
            <w:pPr>
              <w:rPr>
                <w:b/>
                <w:sz w:val="20"/>
                <w:szCs w:val="20"/>
              </w:rPr>
            </w:pPr>
            <w:r w:rsidRPr="00583C2A">
              <w:rPr>
                <w:color w:val="000000"/>
                <w:sz w:val="20"/>
                <w:szCs w:val="20"/>
              </w:rPr>
              <w:t>Other specified abdominal hernia with obstruction, without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K45.1</w:t>
            </w:r>
          </w:p>
        </w:tc>
        <w:tc>
          <w:tcPr>
            <w:tcW w:w="7200" w:type="dxa"/>
            <w:vAlign w:val="center"/>
          </w:tcPr>
          <w:p w:rsidR="00722561" w:rsidRPr="00583C2A" w:rsidRDefault="00722561" w:rsidP="00FD25DA">
            <w:pPr>
              <w:rPr>
                <w:b/>
                <w:sz w:val="20"/>
                <w:szCs w:val="20"/>
              </w:rPr>
            </w:pPr>
            <w:r w:rsidRPr="00583C2A">
              <w:rPr>
                <w:color w:val="000000"/>
                <w:sz w:val="20"/>
                <w:szCs w:val="20"/>
              </w:rPr>
              <w:t>Other specified abdominal hernia with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K45.8</w:t>
            </w:r>
          </w:p>
        </w:tc>
        <w:tc>
          <w:tcPr>
            <w:tcW w:w="7200" w:type="dxa"/>
            <w:vAlign w:val="center"/>
          </w:tcPr>
          <w:p w:rsidR="00722561" w:rsidRPr="00583C2A" w:rsidRDefault="00722561" w:rsidP="00FD25DA">
            <w:pPr>
              <w:rPr>
                <w:b/>
                <w:sz w:val="20"/>
                <w:szCs w:val="20"/>
              </w:rPr>
            </w:pPr>
            <w:r w:rsidRPr="00583C2A">
              <w:rPr>
                <w:color w:val="000000"/>
                <w:sz w:val="20"/>
                <w:szCs w:val="20"/>
              </w:rPr>
              <w:t>Other specified abdominal hernia without obstruction or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K46.0</w:t>
            </w:r>
          </w:p>
        </w:tc>
        <w:tc>
          <w:tcPr>
            <w:tcW w:w="7200" w:type="dxa"/>
            <w:vAlign w:val="center"/>
          </w:tcPr>
          <w:p w:rsidR="00722561" w:rsidRPr="00583C2A" w:rsidRDefault="00722561" w:rsidP="00FD25DA">
            <w:pPr>
              <w:rPr>
                <w:b/>
                <w:sz w:val="20"/>
                <w:szCs w:val="20"/>
              </w:rPr>
            </w:pPr>
            <w:r w:rsidRPr="00583C2A">
              <w:rPr>
                <w:color w:val="000000"/>
                <w:sz w:val="20"/>
                <w:szCs w:val="20"/>
              </w:rPr>
              <w:t>Unspecified abdominal hernia with obstruction, without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K46.1</w:t>
            </w:r>
          </w:p>
        </w:tc>
        <w:tc>
          <w:tcPr>
            <w:tcW w:w="7200" w:type="dxa"/>
            <w:vAlign w:val="center"/>
          </w:tcPr>
          <w:p w:rsidR="00722561" w:rsidRPr="00583C2A" w:rsidRDefault="00722561" w:rsidP="00FD25DA">
            <w:pPr>
              <w:rPr>
                <w:b/>
                <w:sz w:val="20"/>
                <w:szCs w:val="20"/>
              </w:rPr>
            </w:pPr>
            <w:r w:rsidRPr="00583C2A">
              <w:rPr>
                <w:color w:val="000000"/>
                <w:sz w:val="20"/>
                <w:szCs w:val="20"/>
              </w:rPr>
              <w:t>Unspecified abdominal hernia with gangrene</w:t>
            </w:r>
          </w:p>
        </w:tc>
        <w:tc>
          <w:tcPr>
            <w:tcW w:w="2065" w:type="dxa"/>
            <w:vAlign w:val="bottom"/>
          </w:tcPr>
          <w:p w:rsidR="00722561" w:rsidRPr="00583C2A" w:rsidRDefault="00722561" w:rsidP="00FD25DA">
            <w:pPr>
              <w:jc w:val="center"/>
              <w:rPr>
                <w:b/>
                <w:sz w:val="20"/>
                <w:szCs w:val="20"/>
              </w:rPr>
            </w:pPr>
            <w:r w:rsidRPr="00583C2A">
              <w:rPr>
                <w:sz w:val="20"/>
                <w:szCs w:val="20"/>
              </w:rPr>
              <w:t>No</w:t>
            </w:r>
          </w:p>
        </w:tc>
      </w:tr>
      <w:tr w:rsidR="00722561" w:rsidRPr="00583C2A" w:rsidTr="00FD25DA">
        <w:tc>
          <w:tcPr>
            <w:tcW w:w="1525" w:type="dxa"/>
            <w:vAlign w:val="center"/>
          </w:tcPr>
          <w:p w:rsidR="00722561" w:rsidRPr="00583C2A" w:rsidRDefault="00722561" w:rsidP="00FD25DA">
            <w:pPr>
              <w:rPr>
                <w:b/>
                <w:sz w:val="20"/>
                <w:szCs w:val="20"/>
              </w:rPr>
            </w:pPr>
            <w:r w:rsidRPr="00583C2A">
              <w:rPr>
                <w:color w:val="000000"/>
                <w:sz w:val="20"/>
                <w:szCs w:val="20"/>
              </w:rPr>
              <w:t>K46.9</w:t>
            </w:r>
          </w:p>
        </w:tc>
        <w:tc>
          <w:tcPr>
            <w:tcW w:w="7200" w:type="dxa"/>
            <w:vAlign w:val="center"/>
          </w:tcPr>
          <w:p w:rsidR="00722561" w:rsidRPr="00583C2A" w:rsidRDefault="00722561" w:rsidP="00FD25DA">
            <w:pPr>
              <w:rPr>
                <w:b/>
                <w:sz w:val="20"/>
                <w:szCs w:val="20"/>
              </w:rPr>
            </w:pPr>
            <w:r w:rsidRPr="00583C2A">
              <w:rPr>
                <w:color w:val="000000"/>
                <w:sz w:val="20"/>
                <w:szCs w:val="20"/>
              </w:rPr>
              <w:t>Unspecified abdominal hernia without obstruction or gangrene</w:t>
            </w:r>
          </w:p>
        </w:tc>
        <w:tc>
          <w:tcPr>
            <w:tcW w:w="2065" w:type="dxa"/>
            <w:vAlign w:val="bottom"/>
          </w:tcPr>
          <w:p w:rsidR="00722561" w:rsidRPr="00583C2A" w:rsidRDefault="00722561" w:rsidP="00FD25DA">
            <w:pPr>
              <w:jc w:val="center"/>
              <w:rPr>
                <w:b/>
                <w:sz w:val="20"/>
                <w:szCs w:val="20"/>
              </w:rPr>
            </w:pPr>
            <w:r w:rsidRPr="00583C2A">
              <w:rPr>
                <w:color w:val="000000"/>
                <w:sz w:val="20"/>
                <w:szCs w:val="20"/>
              </w:rPr>
              <w:t>Yes</w:t>
            </w:r>
          </w:p>
        </w:tc>
      </w:tr>
    </w:tbl>
    <w:p w:rsidR="00722561" w:rsidRDefault="00722561" w:rsidP="00722561">
      <w:pPr>
        <w:spacing w:line="480" w:lineRule="auto"/>
        <w:rPr>
          <w:b/>
          <w:szCs w:val="22"/>
        </w:rPr>
      </w:pPr>
    </w:p>
    <w:p w:rsidR="00722561" w:rsidRPr="00025030" w:rsidRDefault="00722561" w:rsidP="00722561">
      <w:pPr>
        <w:spacing w:line="480" w:lineRule="auto"/>
        <w:rPr>
          <w:szCs w:val="22"/>
        </w:rPr>
      </w:pPr>
      <w:r w:rsidRPr="00517043">
        <w:rPr>
          <w:b/>
          <w:szCs w:val="22"/>
        </w:rPr>
        <w:t xml:space="preserve">Supplemental Table 2. ICD codes of non-inguinal abdominal wall hernia diagnosis. </w:t>
      </w:r>
      <w:r w:rsidRPr="00517043">
        <w:rPr>
          <w:szCs w:val="22"/>
        </w:rPr>
        <w:t>From an initial list of 34 ICD codes, 17 codes were selected in order to screen patients for inclusion within the study. ICD-9 codes were utilized for patients presenting before October 1, 2015 and ICD-10 codes were utilized thereafter.</w:t>
      </w:r>
    </w:p>
    <w:p w:rsidR="00722561" w:rsidRDefault="00722561" w:rsidP="0010540F">
      <w:pPr>
        <w:rPr>
          <w:b/>
          <w:szCs w:val="22"/>
        </w:rPr>
      </w:pPr>
      <w:r>
        <w:rPr>
          <w:b/>
          <w:szCs w:val="22"/>
        </w:rPr>
        <w:br w:type="page"/>
      </w:r>
      <w:r>
        <w:rPr>
          <w:b/>
          <w:szCs w:val="22"/>
        </w:rPr>
        <w:lastRenderedPageBreak/>
        <w:t>SUPPLEMENTAL FIGURE LEGEND</w:t>
      </w:r>
    </w:p>
    <w:p w:rsidR="00722561" w:rsidRDefault="00722561" w:rsidP="00722561">
      <w:pPr>
        <w:spacing w:line="480" w:lineRule="auto"/>
        <w:rPr>
          <w:b/>
          <w:szCs w:val="22"/>
        </w:rPr>
      </w:pPr>
    </w:p>
    <w:p w:rsidR="00722561" w:rsidRPr="00517043" w:rsidRDefault="00722561" w:rsidP="00722561">
      <w:pPr>
        <w:spacing w:line="480" w:lineRule="auto"/>
        <w:rPr>
          <w:bCs/>
          <w:szCs w:val="22"/>
        </w:rPr>
      </w:pPr>
      <w:r w:rsidRPr="00517043">
        <w:rPr>
          <w:b/>
          <w:szCs w:val="22"/>
        </w:rPr>
        <w:t xml:space="preserve">Supplemental Figure 1. Schematic depicting patient allocation into outcome groups. </w:t>
      </w:r>
      <w:r w:rsidRPr="00517043">
        <w:rPr>
          <w:bCs/>
          <w:szCs w:val="22"/>
        </w:rPr>
        <w:t xml:space="preserve">This flowchart details </w:t>
      </w:r>
      <w:r>
        <w:rPr>
          <w:bCs/>
          <w:szCs w:val="22"/>
        </w:rPr>
        <w:t xml:space="preserve">how the large dataset was strategically mined to classify patients to the correct treatment and outcome groups. </w:t>
      </w:r>
      <w:r w:rsidRPr="00517043">
        <w:rPr>
          <w:bCs/>
          <w:szCs w:val="22"/>
        </w:rPr>
        <w:t xml:space="preserve"> </w:t>
      </w:r>
    </w:p>
    <w:p w:rsidR="00722561" w:rsidRDefault="00722561" w:rsidP="00722561">
      <w:pPr>
        <w:spacing w:line="480" w:lineRule="auto"/>
        <w:rPr>
          <w:b/>
          <w:szCs w:val="22"/>
        </w:rPr>
      </w:pPr>
    </w:p>
    <w:p w:rsidR="00663BAB" w:rsidRDefault="00663BAB">
      <w:r>
        <w:br w:type="page"/>
      </w:r>
    </w:p>
    <w:p w:rsidR="00722561" w:rsidRDefault="00663BAB">
      <w:pPr>
        <w:rPr>
          <w:b/>
          <w:bCs/>
        </w:rPr>
      </w:pPr>
      <w:r w:rsidRPr="00663BAB">
        <w:rPr>
          <w:b/>
          <w:bCs/>
        </w:rPr>
        <w:lastRenderedPageBreak/>
        <w:t>Supplemental Figure 1</w:t>
      </w:r>
    </w:p>
    <w:p w:rsidR="00663BAB" w:rsidRDefault="00663BAB">
      <w:pPr>
        <w:rPr>
          <w:b/>
          <w:bCs/>
        </w:rPr>
      </w:pPr>
    </w:p>
    <w:p w:rsidR="00663BAB" w:rsidRDefault="00663BAB">
      <w:pPr>
        <w:rPr>
          <w:b/>
          <w:bCs/>
        </w:rPr>
      </w:pPr>
    </w:p>
    <w:p w:rsidR="00663BAB" w:rsidRPr="00663BAB" w:rsidRDefault="00663BAB">
      <w:pPr>
        <w:rPr>
          <w:b/>
          <w:bCs/>
        </w:rPr>
      </w:pPr>
      <w:r w:rsidRPr="00663BAB">
        <w:rPr>
          <w:b/>
          <w:bCs/>
          <w:noProof/>
        </w:rPr>
        <w:drawing>
          <wp:inline distT="0" distB="0" distL="0" distR="0" wp14:anchorId="5FD96A66" wp14:editId="7F101857">
            <wp:extent cx="5943600" cy="5943600"/>
            <wp:effectExtent l="0" t="0" r="0" b="0"/>
            <wp:docPr id="2" name="Picture 1" descr="A close up of a map&#10;&#10;Description automatically generated">
              <a:extLst xmlns:a="http://schemas.openxmlformats.org/drawingml/2006/main">
                <a:ext uri="{FF2B5EF4-FFF2-40B4-BE49-F238E27FC236}">
                  <a16:creationId xmlns:a16="http://schemas.microsoft.com/office/drawing/2014/main" id="{AE4D461F-55E3-2044-AE72-16DE6DE07514}"/>
                </a:ext>
              </a:extLst>
            </wp:docPr>
            <wp:cNvGraphicFramePr/>
            <a:graphic xmlns:a="http://schemas.openxmlformats.org/drawingml/2006/main">
              <a:graphicData uri="http://schemas.openxmlformats.org/drawingml/2006/picture">
                <pic:pic xmlns:pic="http://schemas.openxmlformats.org/drawingml/2006/picture">
                  <pic:nvPicPr>
                    <pic:cNvPr id="2" name="Picture 1" descr="A close up of a map&#10;&#10;Description automatically generated">
                      <a:extLst>
                        <a:ext uri="{FF2B5EF4-FFF2-40B4-BE49-F238E27FC236}">
                          <a16:creationId xmlns:a16="http://schemas.microsoft.com/office/drawing/2014/main" id="{AE4D461F-55E3-2044-AE72-16DE6DE07514}"/>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663BAB" w:rsidRPr="00663BAB" w:rsidSect="00F84219">
      <w:headerReference w:type="even" r:id="rId9"/>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2C" w:rsidRDefault="0072252C" w:rsidP="00834FC5">
      <w:r>
        <w:separator/>
      </w:r>
    </w:p>
  </w:endnote>
  <w:endnote w:type="continuationSeparator" w:id="0">
    <w:p w:rsidR="0072252C" w:rsidRDefault="0072252C" w:rsidP="0083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2C" w:rsidRDefault="0072252C" w:rsidP="00834FC5">
      <w:r>
        <w:separator/>
      </w:r>
    </w:p>
  </w:footnote>
  <w:footnote w:type="continuationSeparator" w:id="0">
    <w:p w:rsidR="0072252C" w:rsidRDefault="0072252C" w:rsidP="0083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711230"/>
      <w:docPartObj>
        <w:docPartGallery w:val="Page Numbers (Top of Page)"/>
        <w:docPartUnique/>
      </w:docPartObj>
    </w:sdtPr>
    <w:sdtEndPr>
      <w:rPr>
        <w:rStyle w:val="PageNumber"/>
      </w:rPr>
    </w:sdtEndPr>
    <w:sdtContent>
      <w:p w:rsidR="00834FC5" w:rsidRDefault="00834FC5" w:rsidP="00F31D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4FC5" w:rsidRDefault="00834FC5" w:rsidP="00834F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338659"/>
      <w:docPartObj>
        <w:docPartGallery w:val="Page Numbers (Top of Page)"/>
        <w:docPartUnique/>
      </w:docPartObj>
    </w:sdtPr>
    <w:sdtEndPr>
      <w:rPr>
        <w:rStyle w:val="PageNumber"/>
      </w:rPr>
    </w:sdtEndPr>
    <w:sdtContent>
      <w:p w:rsidR="00834FC5" w:rsidRDefault="00834FC5" w:rsidP="00F31D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34FC5" w:rsidRDefault="00834FC5" w:rsidP="00834F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5026"/>
    <w:multiLevelType w:val="hybridMultilevel"/>
    <w:tmpl w:val="703E55E2"/>
    <w:lvl w:ilvl="0" w:tplc="AEA815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B20D17"/>
    <w:multiLevelType w:val="hybridMultilevel"/>
    <w:tmpl w:val="9FBA0C70"/>
    <w:lvl w:ilvl="0" w:tplc="AB7681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74ED5"/>
    <w:multiLevelType w:val="hybridMultilevel"/>
    <w:tmpl w:val="8B723112"/>
    <w:lvl w:ilvl="0" w:tplc="AB7681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61"/>
    <w:rsid w:val="00072F48"/>
    <w:rsid w:val="0010540F"/>
    <w:rsid w:val="00221B26"/>
    <w:rsid w:val="0024529F"/>
    <w:rsid w:val="0029031E"/>
    <w:rsid w:val="002C49FB"/>
    <w:rsid w:val="003135A9"/>
    <w:rsid w:val="00342828"/>
    <w:rsid w:val="00346F19"/>
    <w:rsid w:val="00396DE1"/>
    <w:rsid w:val="00401847"/>
    <w:rsid w:val="004B37FB"/>
    <w:rsid w:val="004D209A"/>
    <w:rsid w:val="005F113E"/>
    <w:rsid w:val="00653A49"/>
    <w:rsid w:val="00663BAB"/>
    <w:rsid w:val="00667E04"/>
    <w:rsid w:val="006F3AE1"/>
    <w:rsid w:val="0072252C"/>
    <w:rsid w:val="00722561"/>
    <w:rsid w:val="007F79DA"/>
    <w:rsid w:val="00834FC5"/>
    <w:rsid w:val="008729DE"/>
    <w:rsid w:val="00987868"/>
    <w:rsid w:val="00A65A71"/>
    <w:rsid w:val="00AB623B"/>
    <w:rsid w:val="00AE34BA"/>
    <w:rsid w:val="00B2225A"/>
    <w:rsid w:val="00B4512C"/>
    <w:rsid w:val="00B61A9E"/>
    <w:rsid w:val="00BA27A7"/>
    <w:rsid w:val="00BE3CDE"/>
    <w:rsid w:val="00BF159F"/>
    <w:rsid w:val="00C5464E"/>
    <w:rsid w:val="00D857F6"/>
    <w:rsid w:val="00E2241A"/>
    <w:rsid w:val="00E82B30"/>
    <w:rsid w:val="00EF3709"/>
    <w:rsid w:val="00F6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DD6B6-E994-6442-945D-DCF52A44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561"/>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2561"/>
    <w:rPr>
      <w:i/>
      <w:iCs/>
    </w:rPr>
  </w:style>
  <w:style w:type="table" w:styleId="TableGrid">
    <w:name w:val="Table Grid"/>
    <w:basedOn w:val="TableNormal"/>
    <w:uiPriority w:val="39"/>
    <w:rsid w:val="00722561"/>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561"/>
    <w:pPr>
      <w:ind w:left="720"/>
      <w:contextualSpacing/>
    </w:pPr>
  </w:style>
  <w:style w:type="paragraph" w:styleId="Header">
    <w:name w:val="header"/>
    <w:basedOn w:val="Normal"/>
    <w:link w:val="HeaderChar"/>
    <w:uiPriority w:val="99"/>
    <w:unhideWhenUsed/>
    <w:rsid w:val="00834FC5"/>
    <w:pPr>
      <w:tabs>
        <w:tab w:val="center" w:pos="4680"/>
        <w:tab w:val="right" w:pos="9360"/>
      </w:tabs>
    </w:pPr>
  </w:style>
  <w:style w:type="character" w:customStyle="1" w:styleId="HeaderChar">
    <w:name w:val="Header Char"/>
    <w:basedOn w:val="DefaultParagraphFont"/>
    <w:link w:val="Header"/>
    <w:uiPriority w:val="99"/>
    <w:rsid w:val="00834FC5"/>
    <w:rPr>
      <w:rFonts w:ascii="Times New Roman" w:hAnsi="Times New Roman" w:cs="Times New Roman"/>
      <w:sz w:val="22"/>
    </w:rPr>
  </w:style>
  <w:style w:type="character" w:styleId="PageNumber">
    <w:name w:val="page number"/>
    <w:basedOn w:val="DefaultParagraphFont"/>
    <w:uiPriority w:val="99"/>
    <w:semiHidden/>
    <w:unhideWhenUsed/>
    <w:rsid w:val="00834FC5"/>
  </w:style>
  <w:style w:type="paragraph" w:styleId="BalloonText">
    <w:name w:val="Balloon Text"/>
    <w:basedOn w:val="Normal"/>
    <w:link w:val="BalloonTextChar"/>
    <w:uiPriority w:val="99"/>
    <w:semiHidden/>
    <w:unhideWhenUsed/>
    <w:rsid w:val="00AB623B"/>
    <w:rPr>
      <w:sz w:val="18"/>
      <w:szCs w:val="18"/>
    </w:rPr>
  </w:style>
  <w:style w:type="character" w:customStyle="1" w:styleId="BalloonTextChar">
    <w:name w:val="Balloon Text Char"/>
    <w:basedOn w:val="DefaultParagraphFont"/>
    <w:link w:val="BalloonText"/>
    <w:uiPriority w:val="99"/>
    <w:semiHidden/>
    <w:rsid w:val="00AB62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E34A-B77A-1440-AA95-DA90D268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Windt, Dirk</dc:creator>
  <cp:keywords/>
  <dc:description/>
  <cp:lastModifiedBy>Van Der Windt, Dirk</cp:lastModifiedBy>
  <cp:revision>2</cp:revision>
  <dcterms:created xsi:type="dcterms:W3CDTF">2019-12-18T01:07:00Z</dcterms:created>
  <dcterms:modified xsi:type="dcterms:W3CDTF">2019-12-18T01:07:00Z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http://www.zotero.org/styles/annals-of-surgery</vt:lpwstr>
  </property>
  <property fmtid="{D5CDD505-2E9C-101B-9397-08002B2CF9AE}" pid="7" name="Mendeley Recent Style Name 2_1">
    <vt:lpwstr>Annals of Surgery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http://www.zotero.org/styles/the-annals-of-thoracic-surgery</vt:lpwstr>
  </property>
  <property fmtid="{D5CDD505-2E9C-101B-9397-08002B2CF9AE}" pid="19" name="Mendeley Recent Style Name 8_1">
    <vt:lpwstr>The Annals of Thoracic Surgery</vt:lpwstr>
  </property>
  <property fmtid="{D5CDD505-2E9C-101B-9397-08002B2CF9AE}" pid="20" name="Mendeley Recent Style Id 9_1">
    <vt:lpwstr>http://www.zotero.org/styles/the-journal-of-thoracic-and-cardiovascular-surgery</vt:lpwstr>
  </property>
  <property fmtid="{D5CDD505-2E9C-101B-9397-08002B2CF9AE}" pid="21" name="Mendeley Recent Style Name 9_1">
    <vt:lpwstr>The Journal of Thoracic and Cardiovascular Surgery</vt:lpwstr>
  </property>
  <property fmtid="{D5CDD505-2E9C-101B-9397-08002B2CF9AE}" pid="22" name="Mendeley Document_1">
    <vt:lpwstr>True</vt:lpwstr>
  </property>
  <property fmtid="{D5CDD505-2E9C-101B-9397-08002B2CF9AE}" pid="23" name="Mendeley Unique User Id_1">
    <vt:lpwstr>475accd8-de07-3a10-95f2-ed7cf8f71131</vt:lpwstr>
  </property>
  <property fmtid="{D5CDD505-2E9C-101B-9397-08002B2CF9AE}" pid="24" name="Mendeley Citation Style_1">
    <vt:lpwstr>http://www.zotero.org/styles/annals-of-surgery</vt:lpwstr>
  </property>
</Properties>
</file>