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D3" w:rsidRDefault="00F176D3"/>
    <w:p w:rsidR="00F176D3" w:rsidRDefault="00F176D3">
      <w:r>
        <w:t>Supplementary Table 2 IDEAL Checklists for IDEAL Stages 1, 2a, 2b, and 4—examples Included to Demonstrate Good Reporting for Key/Unique Items in Each IDEAL Stage</w:t>
      </w:r>
    </w:p>
    <w:tbl>
      <w:tblPr>
        <w:tblW w:w="138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1"/>
        <w:gridCol w:w="658"/>
        <w:gridCol w:w="10862"/>
      </w:tblGrid>
      <w:tr w:rsidR="00F176D3">
        <w:trPr>
          <w:trHeight w:val="170"/>
        </w:trPr>
        <w:tc>
          <w:tcPr>
            <w:tcW w:w="2269" w:type="dxa"/>
            <w:shd w:val="clear" w:color="auto" w:fill="FFFFFF"/>
            <w:vAlign w:val="bottom"/>
          </w:tcPr>
          <w:p w:rsidR="00F176D3" w:rsidRDefault="00F176D3">
            <w:pPr>
              <w:pStyle w:val="TableHeader"/>
              <w:spacing w:before="40" w:after="40" w:line="240" w:lineRule="auto"/>
              <w:rPr>
                <w:rFonts w:ascii="Calibri (Body)" w:hAnsi="Calibri (Body)" w:cs="Calibri (Body)"/>
                <w:position w:val="4"/>
                <w:sz w:val="18"/>
                <w:szCs w:val="18"/>
              </w:rPr>
            </w:pPr>
          </w:p>
        </w:tc>
        <w:tc>
          <w:tcPr>
            <w:tcW w:w="709" w:type="dxa"/>
            <w:gridSpan w:val="2"/>
            <w:shd w:val="clear" w:color="auto" w:fill="FFFFFF"/>
            <w:vAlign w:val="bottom"/>
          </w:tcPr>
          <w:p w:rsidR="00F176D3" w:rsidRDefault="00F176D3">
            <w:pPr>
              <w:pStyle w:val="TableHeader"/>
              <w:spacing w:before="40" w:after="40" w:line="240" w:lineRule="auto"/>
              <w:rPr>
                <w:rFonts w:ascii="Calibri (Body)" w:hAnsi="Calibri (Body)" w:cs="Calibri (Body)"/>
                <w:position w:val="4"/>
                <w:sz w:val="18"/>
                <w:szCs w:val="18"/>
              </w:rPr>
            </w:pPr>
            <w:r>
              <w:rPr>
                <w:rFonts w:ascii="Calibri (Body)" w:hAnsi="Calibri (Body)" w:cs="Calibri (Body)"/>
                <w:position w:val="4"/>
                <w:sz w:val="18"/>
                <w:szCs w:val="18"/>
              </w:rPr>
              <w:t>Item</w:t>
            </w:r>
          </w:p>
        </w:tc>
        <w:tc>
          <w:tcPr>
            <w:tcW w:w="10862" w:type="dxa"/>
            <w:shd w:val="clear" w:color="auto" w:fill="FFFFFF"/>
            <w:vAlign w:val="bottom"/>
          </w:tcPr>
          <w:p w:rsidR="00F176D3" w:rsidRDefault="00F176D3">
            <w:pPr>
              <w:pStyle w:val="TableHeader"/>
              <w:spacing w:before="40" w:after="40" w:line="240" w:lineRule="auto"/>
              <w:rPr>
                <w:sz w:val="18"/>
                <w:szCs w:val="18"/>
              </w:rPr>
            </w:pPr>
            <w:r>
              <w:rPr>
                <w:sz w:val="18"/>
                <w:szCs w:val="18"/>
              </w:rPr>
              <w:t>Checklist Item and example for key IDEAL items</w:t>
            </w:r>
          </w:p>
        </w:tc>
      </w:tr>
      <w:tr w:rsidR="00F176D3">
        <w:tc>
          <w:tcPr>
            <w:tcW w:w="2269" w:type="dxa"/>
            <w:tcBorders>
              <w:right w:val="nil"/>
            </w:tcBorders>
            <w:shd w:val="clear" w:color="auto" w:fill="DEEAF6"/>
          </w:tcPr>
          <w:p w:rsidR="00F176D3" w:rsidRDefault="00F176D3">
            <w:pPr>
              <w:spacing w:line="240" w:lineRule="auto"/>
              <w:rPr>
                <w:b/>
                <w:bCs/>
                <w:color w:val="000000"/>
                <w:sz w:val="18"/>
                <w:szCs w:val="18"/>
              </w:rPr>
            </w:pPr>
            <w:r>
              <w:rPr>
                <w:b/>
                <w:bCs/>
                <w:color w:val="000000"/>
                <w:sz w:val="18"/>
                <w:szCs w:val="18"/>
              </w:rPr>
              <w:t>STAGE 1</w:t>
            </w:r>
          </w:p>
        </w:tc>
        <w:tc>
          <w:tcPr>
            <w:tcW w:w="709" w:type="dxa"/>
            <w:gridSpan w:val="2"/>
            <w:tcBorders>
              <w:left w:val="nil"/>
              <w:right w:val="nil"/>
            </w:tcBorders>
            <w:shd w:val="clear" w:color="auto" w:fill="DEEAF6"/>
          </w:tcPr>
          <w:p w:rsidR="00F176D3" w:rsidRDefault="00F176D3">
            <w:pPr>
              <w:spacing w:line="240" w:lineRule="auto"/>
              <w:jc w:val="center"/>
              <w:rPr>
                <w:color w:val="000000"/>
                <w:sz w:val="18"/>
                <w:szCs w:val="18"/>
              </w:rPr>
            </w:pPr>
          </w:p>
        </w:tc>
        <w:tc>
          <w:tcPr>
            <w:tcW w:w="10862" w:type="dxa"/>
            <w:tcBorders>
              <w:left w:val="nil"/>
            </w:tcBorders>
            <w:shd w:val="clear" w:color="auto" w:fill="DEEAF6"/>
          </w:tcPr>
          <w:p w:rsidR="00F176D3" w:rsidRDefault="00F176D3">
            <w:pPr>
              <w:spacing w:line="240" w:lineRule="auto"/>
              <w:rPr>
                <w:b/>
                <w:bCs/>
                <w:color w:val="000000"/>
                <w:sz w:val="18"/>
                <w:szCs w:val="18"/>
              </w:rPr>
            </w:pPr>
          </w:p>
        </w:tc>
      </w:tr>
      <w:tr w:rsidR="00F176D3">
        <w:tc>
          <w:tcPr>
            <w:tcW w:w="2269" w:type="dxa"/>
            <w:tcBorders>
              <w:bottom w:val="nil"/>
            </w:tcBorders>
          </w:tcPr>
          <w:p w:rsidR="00F176D3" w:rsidRDefault="00F176D3">
            <w:pPr>
              <w:spacing w:line="240" w:lineRule="auto"/>
              <w:rPr>
                <w:i/>
                <w:iCs/>
                <w:caps/>
                <w:color w:val="000000"/>
                <w:sz w:val="18"/>
                <w:szCs w:val="18"/>
              </w:rPr>
            </w:pPr>
            <w:r>
              <w:rPr>
                <w:color w:val="000000"/>
                <w:sz w:val="18"/>
                <w:szCs w:val="18"/>
              </w:rPr>
              <w:t>Title and Abstract</w:t>
            </w:r>
          </w:p>
        </w:tc>
        <w:tc>
          <w:tcPr>
            <w:tcW w:w="709" w:type="dxa"/>
            <w:gridSpan w:val="2"/>
            <w:tcBorders>
              <w:bottom w:val="nil"/>
            </w:tcBorders>
          </w:tcPr>
          <w:p w:rsidR="00F176D3" w:rsidRDefault="00F176D3">
            <w:pPr>
              <w:spacing w:line="240" w:lineRule="auto"/>
              <w:jc w:val="center"/>
              <w:rPr>
                <w:color w:val="000000"/>
                <w:sz w:val="18"/>
                <w:szCs w:val="18"/>
              </w:rPr>
            </w:pPr>
            <w:r>
              <w:rPr>
                <w:color w:val="000000"/>
                <w:sz w:val="18"/>
                <w:szCs w:val="18"/>
              </w:rPr>
              <w:t>1a</w:t>
            </w:r>
          </w:p>
        </w:tc>
        <w:tc>
          <w:tcPr>
            <w:tcW w:w="10862" w:type="dxa"/>
          </w:tcPr>
          <w:p w:rsidR="00F176D3" w:rsidRDefault="00F176D3">
            <w:pPr>
              <w:spacing w:line="240" w:lineRule="auto"/>
              <w:rPr>
                <w:b/>
                <w:bCs/>
                <w:color w:val="000000"/>
                <w:sz w:val="18"/>
                <w:szCs w:val="18"/>
              </w:rPr>
            </w:pPr>
            <w:r>
              <w:rPr>
                <w:b/>
                <w:bCs/>
                <w:color w:val="000000"/>
                <w:sz w:val="18"/>
                <w:szCs w:val="18"/>
              </w:rPr>
              <w:t>Identify the technique or device in the title, including IDEAL Stage 1 or ‘first in human’ in the title or abstract.</w:t>
            </w:r>
          </w:p>
        </w:tc>
      </w:tr>
      <w:tr w:rsidR="00F176D3">
        <w:trPr>
          <w:trHeight w:val="41"/>
        </w:trPr>
        <w:tc>
          <w:tcPr>
            <w:tcW w:w="2269" w:type="dxa"/>
            <w:tcBorders>
              <w:top w:val="nil"/>
            </w:tcBorders>
          </w:tcPr>
          <w:p w:rsidR="00F176D3" w:rsidRDefault="00F176D3">
            <w:pPr>
              <w:spacing w:line="240" w:lineRule="auto"/>
              <w:rPr>
                <w:i/>
                <w:iCs/>
                <w:caps/>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1b</w:t>
            </w:r>
          </w:p>
        </w:tc>
        <w:tc>
          <w:tcPr>
            <w:tcW w:w="10862" w:type="dxa"/>
          </w:tcPr>
          <w:p w:rsidR="00F176D3" w:rsidRDefault="00F176D3">
            <w:pPr>
              <w:spacing w:line="240" w:lineRule="auto"/>
              <w:rPr>
                <w:b/>
                <w:bCs/>
                <w:sz w:val="18"/>
                <w:szCs w:val="18"/>
                <w:lang w:val="en-CA"/>
              </w:rPr>
            </w:pPr>
            <w:r>
              <w:rPr>
                <w:b/>
                <w:bCs/>
                <w:sz w:val="18"/>
                <w:szCs w:val="18"/>
              </w:rPr>
              <w:t>Provide a structured summary of background, methods, results, and conclusions.</w:t>
            </w:r>
          </w:p>
        </w:tc>
      </w:tr>
      <w:tr w:rsidR="00F176D3">
        <w:tc>
          <w:tcPr>
            <w:tcW w:w="2269" w:type="dxa"/>
            <w:tcBorders>
              <w:right w:val="nil"/>
            </w:tcBorders>
          </w:tcPr>
          <w:p w:rsidR="00F176D3" w:rsidRDefault="00F176D3">
            <w:pPr>
              <w:spacing w:line="240" w:lineRule="auto"/>
              <w:rPr>
                <w:b/>
                <w:bCs/>
                <w:sz w:val="18"/>
                <w:szCs w:val="18"/>
              </w:rPr>
            </w:pPr>
            <w:r>
              <w:rPr>
                <w:b/>
                <w:bCs/>
                <w:sz w:val="18"/>
                <w:szCs w:val="18"/>
              </w:rPr>
              <w:t>Introduction</w:t>
            </w:r>
          </w:p>
        </w:tc>
        <w:tc>
          <w:tcPr>
            <w:tcW w:w="709" w:type="dxa"/>
            <w:gridSpan w:val="2"/>
            <w:tcBorders>
              <w:left w:val="nil"/>
              <w:right w:val="nil"/>
            </w:tcBorders>
          </w:tcPr>
          <w:p w:rsidR="00F176D3" w:rsidRDefault="00F176D3">
            <w:pPr>
              <w:spacing w:line="240" w:lineRule="auto"/>
              <w:jc w:val="center"/>
              <w:rPr>
                <w:sz w:val="18"/>
                <w:szCs w:val="18"/>
              </w:rPr>
            </w:pPr>
          </w:p>
        </w:tc>
        <w:tc>
          <w:tcPr>
            <w:tcW w:w="10862" w:type="dxa"/>
            <w:tcBorders>
              <w:left w:val="nil"/>
            </w:tcBorders>
          </w:tcPr>
          <w:p w:rsidR="00F176D3" w:rsidRDefault="00F176D3">
            <w:pPr>
              <w:spacing w:line="240" w:lineRule="auto"/>
              <w:rPr>
                <w:b/>
                <w:bCs/>
                <w:sz w:val="18"/>
                <w:szCs w:val="18"/>
              </w:rPr>
            </w:pPr>
          </w:p>
        </w:tc>
      </w:tr>
      <w:tr w:rsidR="00F176D3">
        <w:trPr>
          <w:cantSplit/>
        </w:trPr>
        <w:tc>
          <w:tcPr>
            <w:tcW w:w="2269" w:type="dxa"/>
            <w:vMerge w:val="restart"/>
          </w:tcPr>
          <w:p w:rsidR="00F176D3" w:rsidRDefault="00F176D3">
            <w:pPr>
              <w:spacing w:line="240" w:lineRule="auto"/>
              <w:rPr>
                <w:sz w:val="18"/>
                <w:szCs w:val="18"/>
              </w:rPr>
            </w:pPr>
            <w:r>
              <w:rPr>
                <w:sz w:val="18"/>
                <w:szCs w:val="18"/>
              </w:rPr>
              <w:t>Background and objectives</w:t>
            </w:r>
          </w:p>
        </w:tc>
        <w:tc>
          <w:tcPr>
            <w:tcW w:w="709" w:type="dxa"/>
            <w:gridSpan w:val="2"/>
            <w:tcBorders>
              <w:bottom w:val="nil"/>
            </w:tcBorders>
          </w:tcPr>
          <w:p w:rsidR="00F176D3" w:rsidRDefault="00F176D3">
            <w:pPr>
              <w:spacing w:line="240" w:lineRule="auto"/>
              <w:jc w:val="center"/>
              <w:rPr>
                <w:sz w:val="18"/>
                <w:szCs w:val="18"/>
              </w:rPr>
            </w:pPr>
            <w:r>
              <w:rPr>
                <w:sz w:val="18"/>
                <w:szCs w:val="18"/>
              </w:rPr>
              <w:t>2a</w:t>
            </w:r>
          </w:p>
        </w:tc>
        <w:tc>
          <w:tcPr>
            <w:tcW w:w="10862" w:type="dxa"/>
          </w:tcPr>
          <w:p w:rsidR="00F176D3" w:rsidRDefault="00F176D3">
            <w:pPr>
              <w:spacing w:line="240" w:lineRule="auto"/>
              <w:rPr>
                <w:b/>
                <w:bCs/>
                <w:sz w:val="18"/>
                <w:szCs w:val="18"/>
              </w:rPr>
            </w:pPr>
            <w:r>
              <w:rPr>
                <w:b/>
                <w:bCs/>
                <w:sz w:val="18"/>
                <w:szCs w:val="18"/>
              </w:rPr>
              <w:t>Review of existing scientific literature, providing a clear explanation of the rationale for the new technique, including unmet clinical need.</w:t>
            </w:r>
          </w:p>
        </w:tc>
      </w:tr>
      <w:tr w:rsidR="00F176D3">
        <w:trPr>
          <w:cantSplit/>
          <w:trHeight w:val="413"/>
        </w:trPr>
        <w:tc>
          <w:tcPr>
            <w:tcW w:w="2269" w:type="dxa"/>
            <w:vMerge/>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2b</w:t>
            </w:r>
          </w:p>
          <w:p w:rsidR="00F176D3" w:rsidRDefault="00F176D3">
            <w:pPr>
              <w:spacing w:line="240" w:lineRule="auto"/>
              <w:jc w:val="center"/>
              <w:rPr>
                <w:sz w:val="18"/>
                <w:szCs w:val="18"/>
              </w:rPr>
            </w:pPr>
          </w:p>
          <w:p w:rsidR="00F176D3" w:rsidRDefault="00F176D3">
            <w:pPr>
              <w:spacing w:line="240" w:lineRule="auto"/>
              <w:jc w:val="center"/>
              <w:rPr>
                <w:sz w:val="18"/>
                <w:szCs w:val="18"/>
              </w:rPr>
            </w:pPr>
          </w:p>
        </w:tc>
        <w:tc>
          <w:tcPr>
            <w:tcW w:w="10862" w:type="dxa"/>
          </w:tcPr>
          <w:p w:rsidR="00F176D3" w:rsidRDefault="00F176D3">
            <w:pPr>
              <w:spacing w:line="240" w:lineRule="auto"/>
              <w:rPr>
                <w:b/>
                <w:bCs/>
                <w:sz w:val="18"/>
                <w:szCs w:val="18"/>
              </w:rPr>
            </w:pPr>
            <w:r>
              <w:rPr>
                <w:b/>
                <w:bCs/>
                <w:sz w:val="18"/>
                <w:szCs w:val="18"/>
              </w:rPr>
              <w:t>Details of pre-clinical development of the technique, including assessment of risks of failure and analysis of efforts to avoid harm.*</w:t>
            </w:r>
          </w:p>
          <w:p w:rsidR="00F176D3" w:rsidRDefault="00F176D3">
            <w:pPr>
              <w:spacing w:line="240" w:lineRule="auto"/>
              <w:rPr>
                <w:sz w:val="18"/>
                <w:szCs w:val="18"/>
              </w:rPr>
            </w:pPr>
            <w:r>
              <w:rPr>
                <w:sz w:val="18"/>
                <w:szCs w:val="18"/>
              </w:rPr>
              <w:t>Example</w:t>
            </w:r>
            <w:r>
              <w:rPr>
                <w:b/>
                <w:bCs/>
                <w:sz w:val="18"/>
                <w:szCs w:val="18"/>
              </w:rPr>
              <w:t>:</w:t>
            </w:r>
            <w:r>
              <w:rPr>
                <w:sz w:val="18"/>
                <w:szCs w:val="18"/>
              </w:rPr>
              <w:t xml:space="preserve"> “Central to achieving successful graft function is the ability to minimize warm ischemia]. Thus a critical part of the phase 0 study was the development of techniques to cool the graft during RKT, particularly during the potentially longer initial cases.”</w:t>
            </w:r>
            <w:r>
              <w:rPr>
                <w:sz w:val="18"/>
                <w:szCs w:val="18"/>
              </w:rPr>
              <w:fldChar w:fldCharType="begin" w:fldLock="1"/>
            </w:r>
            <w:r>
              <w:rPr>
                <w:sz w:val="18"/>
                <w:szCs w:val="18"/>
              </w:rPr>
              <w:instrText>ADDIN CSL_CITATION {"citationItems":[{"id":"ITEM-1","itemData":{"DOI":"10.1016/j.eururo.2013.11.011","ISSN":"18737560","abstract":"Background Surgical innovation is essential for progress of surgical science, but its implementation comes with potential harms during the learning phase. The Balliol Collaboration has recommended a set of guidelines (Innovation, Development, Exploration, Assessment, Long-term study [IDEAL]) that permit innovation while minimizing complications. Objective To utilize the IDEAL model of surgical innovation in the development of a novel surgical technique, robotic kidney transplantation (RKT) with regional hypothermia, and describe the process of discovery and development. Design, setting, and participants Phase 0 (simulation) studies included the establishment of techniques for pelvic cooling, graft placement in a robotic prostatectomy model, and simulation of the RKT procedure in a cadaveric model. Phase 1 (innovation) studies began in January 2013 and involved treatment of a highly selective small group of patients (n = 7), using the principles utilized in the phase 0 studies, at a tertiary referral center. Intervention IDEAL model implementation in the development of RKT with regional hypothermia. Outcome measurements and statistical analysis For phase 0 studies, the outcomes evaluated included pelvic and body temperature measurements, and technical feasibility assessment. The primary outcome during phase 1 was post-transplant graft function. Other outcomes measured were operative and ischemic times, perioperative complications, and intracorporeal graft surface temperature. Results and limitations Phase 0 (simulation phase): Pelvic cooling to 15-20oC was achieved reproducibly. Using the surgical approach developed for robotic radical prostatectomy, vascular and ureterovesical anastomoses could be done without redocking the robot. Phase 1 (innovation phase): All patients underwent live-donor RKT in the lithotomy position. All grafts functioned immediately. Mean console, anastomotic, and warm ischemia times were 154 min, 29 min, and 2 min, respectively. One patient was re-explored on postoperative day 1. Conclusions Adherence to the IDEAL guidelines put forth by the Balliol Collaboration provided a practical framework for the establishment of a novel surgical procedure, RKT with regional hypothermia, without exposing the initial patients to unacceptable risk. Patient summary The IDEAL model allows safe introduction of new surgical techniques without compromising patient outcomes. © 2013 European Association of Urology.","author":[{"dropping-particle":"","family":"Menon","given":"Mani","non-dropping-particle":"","parse-names":false,"suffix":""},{"dropping-particle":"","family":"Abaza","given":"Ronney","non-dropping-particle":"","parse-names":false,"suffix":""},{"dropping-particle":"","family":"Sood","given":"Akshay","non-dropping-particle":"","parse-names":false,"suffix":""},{"dropping-particle":"","family":"Ahlawat","given":"Rajesh","non-dropping-particle":"","parse-names":false,"suffix":""},{"dropping-particle":"","family":"Ghani","given":"Khurshid R.","non-dropping-particle":"","parse-names":false,"suffix":""},{"dropping-particle":"","family":"Jeong","given":"Wooju","non-dropping-particle":"","parse-names":false,"suffix":""},{"dropping-particle":"","family":"Kher","given":"Vijay","non-dropping-particle":"","parse-names":false,"suffix":""},{"dropping-particle":"","family":"Kumar","given":"Ramesh K.","non-dropping-particle":"","parse-names":false,"suffix":""},{"dropping-particle":"","family":"Bhandari","given":"Mahendra","non-dropping-particle":"","parse-names":false,"suffix":""}],"container-title":"European Urology","id":"ITEM-1","issue":"5","issued":{"date-parts":[["2014"]]},"page":"1001-1009","publisher":"European Association of Urology","title":"Robotic kidney transplantation with regional hypothermia: Evolution of a novel procedure utilizing the IDEAL guidelines (IDEAL phase 0 and 1)","type":"article-journal","volume":"65"},"uris":["http://www.mendeley.com/documents/?uuid=b4fc04cc-459b-4484-97b5-3e0806af2ae0"]}],"mendeley":{"formattedCitation":"&lt;sup&gt;1&lt;/sup&gt;","plainTextFormattedCitation":"1","previouslyFormattedCitation":"&lt;sup&gt;1&lt;/sup&gt;"},"properties":{"noteIndex":0},"schema":"https://github.com/citation-style-language/schema/raw/master/csl-citation.json"}</w:instrText>
            </w:r>
            <w:r>
              <w:rPr>
                <w:sz w:val="18"/>
                <w:szCs w:val="18"/>
              </w:rPr>
              <w:fldChar w:fldCharType="separate"/>
            </w:r>
            <w:r>
              <w:rPr>
                <w:noProof/>
                <w:sz w:val="18"/>
                <w:szCs w:val="18"/>
                <w:vertAlign w:val="superscript"/>
              </w:rPr>
              <w:t>1</w:t>
            </w:r>
            <w:r>
              <w:rPr>
                <w:sz w:val="18"/>
                <w:szCs w:val="18"/>
              </w:rPr>
              <w:fldChar w:fldCharType="end"/>
            </w:r>
            <w:r>
              <w:rPr>
                <w:sz w:val="18"/>
                <w:szCs w:val="18"/>
              </w:rPr>
              <w:t xml:space="preserve"> </w:t>
            </w:r>
          </w:p>
        </w:tc>
      </w:tr>
      <w:tr w:rsidR="00F176D3">
        <w:tc>
          <w:tcPr>
            <w:tcW w:w="2269" w:type="dxa"/>
            <w:tcBorders>
              <w:right w:val="nil"/>
            </w:tcBorders>
          </w:tcPr>
          <w:p w:rsidR="00F176D3" w:rsidRDefault="00F176D3">
            <w:pPr>
              <w:spacing w:line="240" w:lineRule="auto"/>
              <w:rPr>
                <w:b/>
                <w:bCs/>
                <w:sz w:val="18"/>
                <w:szCs w:val="18"/>
              </w:rPr>
            </w:pPr>
            <w:r>
              <w:rPr>
                <w:b/>
                <w:bCs/>
                <w:sz w:val="18"/>
                <w:szCs w:val="18"/>
              </w:rPr>
              <w:t>Methods</w:t>
            </w:r>
          </w:p>
        </w:tc>
        <w:tc>
          <w:tcPr>
            <w:tcW w:w="709" w:type="dxa"/>
            <w:gridSpan w:val="2"/>
            <w:tcBorders>
              <w:left w:val="nil"/>
              <w:right w:val="nil"/>
            </w:tcBorders>
          </w:tcPr>
          <w:p w:rsidR="00F176D3" w:rsidRDefault="00F176D3">
            <w:pPr>
              <w:spacing w:line="240" w:lineRule="auto"/>
              <w:jc w:val="center"/>
              <w:rPr>
                <w:sz w:val="18"/>
                <w:szCs w:val="18"/>
              </w:rPr>
            </w:pPr>
          </w:p>
        </w:tc>
        <w:tc>
          <w:tcPr>
            <w:tcW w:w="10862" w:type="dxa"/>
            <w:tcBorders>
              <w:left w:val="nil"/>
            </w:tcBorders>
          </w:tcPr>
          <w:p w:rsidR="00F176D3" w:rsidRDefault="00F176D3">
            <w:pPr>
              <w:spacing w:line="240" w:lineRule="auto"/>
              <w:rPr>
                <w:b/>
                <w:bCs/>
                <w:sz w:val="18"/>
                <w:szCs w:val="18"/>
              </w:rPr>
            </w:pPr>
          </w:p>
        </w:tc>
      </w:tr>
      <w:tr w:rsidR="00F176D3">
        <w:tc>
          <w:tcPr>
            <w:tcW w:w="2269" w:type="dxa"/>
          </w:tcPr>
          <w:p w:rsidR="00F176D3" w:rsidRDefault="00F176D3">
            <w:pPr>
              <w:spacing w:line="240" w:lineRule="auto"/>
              <w:rPr>
                <w:sz w:val="18"/>
                <w:szCs w:val="18"/>
              </w:rPr>
            </w:pPr>
            <w:r>
              <w:rPr>
                <w:sz w:val="18"/>
                <w:szCs w:val="18"/>
              </w:rPr>
              <w:t>Design</w:t>
            </w:r>
          </w:p>
        </w:tc>
        <w:tc>
          <w:tcPr>
            <w:tcW w:w="709" w:type="dxa"/>
            <w:gridSpan w:val="2"/>
          </w:tcPr>
          <w:p w:rsidR="00F176D3" w:rsidRDefault="00F176D3">
            <w:pPr>
              <w:spacing w:line="240" w:lineRule="auto"/>
              <w:jc w:val="center"/>
              <w:rPr>
                <w:sz w:val="18"/>
                <w:szCs w:val="18"/>
              </w:rPr>
            </w:pPr>
            <w:r>
              <w:rPr>
                <w:sz w:val="18"/>
                <w:szCs w:val="18"/>
              </w:rPr>
              <w:t>3</w:t>
            </w:r>
          </w:p>
        </w:tc>
        <w:tc>
          <w:tcPr>
            <w:tcW w:w="10862" w:type="dxa"/>
          </w:tcPr>
          <w:p w:rsidR="00F176D3" w:rsidRDefault="00F176D3">
            <w:pPr>
              <w:spacing w:line="240" w:lineRule="auto"/>
              <w:rPr>
                <w:b/>
                <w:bCs/>
                <w:sz w:val="18"/>
                <w:szCs w:val="18"/>
              </w:rPr>
            </w:pPr>
            <w:r>
              <w:rPr>
                <w:b/>
                <w:bCs/>
                <w:sz w:val="18"/>
                <w:szCs w:val="18"/>
              </w:rPr>
              <w:t xml:space="preserve">Description of study </w:t>
            </w:r>
            <w:r>
              <w:rPr>
                <w:b/>
                <w:bCs/>
                <w:color w:val="000000"/>
                <w:sz w:val="18"/>
                <w:szCs w:val="18"/>
              </w:rPr>
              <w:t xml:space="preserve">design (e.g. </w:t>
            </w:r>
            <w:r>
              <w:rPr>
                <w:b/>
                <w:bCs/>
                <w:sz w:val="18"/>
                <w:szCs w:val="18"/>
              </w:rPr>
              <w:t xml:space="preserve">case report or very small case series). </w:t>
            </w:r>
            <w:r>
              <w:rPr>
                <w:sz w:val="18"/>
                <w:szCs w:val="18"/>
              </w:rPr>
              <w:t xml:space="preserve">Example:  “Phase 0 (simulation) studies included the establishment of techniques for pelvic cooling, graft placement in a robotic prostatectomy model, and simulation of the RKT procedure in a cadaveric model. Phase 1 (innovation) studies began in January 2013 and involved treatment of a highly selective small group of patients (n = 7), using the principles utilized in the phase 0 studies, at a tertiary referral center.” </w:t>
            </w:r>
            <w:r>
              <w:rPr>
                <w:sz w:val="18"/>
                <w:szCs w:val="18"/>
              </w:rPr>
              <w:fldChar w:fldCharType="begin" w:fldLock="1"/>
            </w:r>
            <w:r>
              <w:rPr>
                <w:sz w:val="18"/>
                <w:szCs w:val="18"/>
              </w:rPr>
              <w:instrText>ADDIN CSL_CITATION {"citationItems":[{"id":"ITEM-1","itemData":{"DOI":"10.1016/j.eururo.2013.11.011","ISSN":"18737560","abstract":"Background Surgical innovation is essential for progress of surgical science, but its implementation comes with potential harms during the learning phase. The Balliol Collaboration has recommended a set of guidelines (Innovation, Development, Exploration, Assessment, Long-term study [IDEAL]) that permit innovation while minimizing complications. Objective To utilize the IDEAL model of surgical innovation in the development of a novel surgical technique, robotic kidney transplantation (RKT) with regional hypothermia, and describe the process of discovery and development. Design, setting, and participants Phase 0 (simulation) studies included the establishment of techniques for pelvic cooling, graft placement in a robotic prostatectomy model, and simulation of the RKT procedure in a cadaveric model. Phase 1 (innovation) studies began in January 2013 and involved treatment of a highly selective small group of patients (n = 7), using the principles utilized in the phase 0 studies, at a tertiary referral center. Intervention IDEAL model implementation in the development of RKT with regional hypothermia. Outcome measurements and statistical analysis For phase 0 studies, the outcomes evaluated included pelvic and body temperature measurements, and technical feasibility assessment. The primary outcome during phase 1 was post-transplant graft function. Other outcomes measured were operative and ischemic times, perioperative complications, and intracorporeal graft surface temperature. Results and limitations Phase 0 (simulation phase): Pelvic cooling to 15-20oC was achieved reproducibly. Using the surgical approach developed for robotic radical prostatectomy, vascular and ureterovesical anastomoses could be done without redocking the robot. Phase 1 (innovation phase): All patients underwent live-donor RKT in the lithotomy position. All grafts functioned immediately. Mean console, anastomotic, and warm ischemia times were 154 min, 29 min, and 2 min, respectively. One patient was re-explored on postoperative day 1. Conclusions Adherence to the IDEAL guidelines put forth by the Balliol Collaboration provided a practical framework for the establishment of a novel surgical procedure, RKT with regional hypothermia, without exposing the initial patients to unacceptable risk. Patient summary The IDEAL model allows safe introduction of new surgical techniques without compromising patient outcomes. © 2013 European Association of Urology.","author":[{"dropping-particle":"","family":"Menon","given":"Mani","non-dropping-particle":"","parse-names":false,"suffix":""},{"dropping-particle":"","family":"Abaza","given":"Ronney","non-dropping-particle":"","parse-names":false,"suffix":""},{"dropping-particle":"","family":"Sood","given":"Akshay","non-dropping-particle":"","parse-names":false,"suffix":""},{"dropping-particle":"","family":"Ahlawat","given":"Rajesh","non-dropping-particle":"","parse-names":false,"suffix":""},{"dropping-particle":"","family":"Ghani","given":"Khurshid R.","non-dropping-particle":"","parse-names":false,"suffix":""},{"dropping-particle":"","family":"Jeong","given":"Wooju","non-dropping-particle":"","parse-names":false,"suffix":""},{"dropping-particle":"","family":"Kher","given":"Vijay","non-dropping-particle":"","parse-names":false,"suffix":""},{"dropping-particle":"","family":"Kumar","given":"Ramesh K.","non-dropping-particle":"","parse-names":false,"suffix":""},{"dropping-particle":"","family":"Bhandari","given":"Mahendra","non-dropping-particle":"","parse-names":false,"suffix":""}],"container-title":"European Urology","id":"ITEM-1","issue":"5","issued":{"date-parts":[["2014"]]},"page":"1001-1009","publisher":"European Association of Urology","title":"Robotic kidney transplantation with regional hypothermia: Evolution of a novel procedure utilizing the IDEAL guidelines (IDEAL phase 0 and 1)","type":"article-journal","volume":"65"},"uris":["http://www.mendeley.com/documents/?uuid=b4fc04cc-459b-4484-97b5-3e0806af2ae0"]}],"mendeley":{"formattedCitation":"&lt;sup&gt;1&lt;/sup&gt;","plainTextFormattedCitation":"1","previouslyFormattedCitation":"&lt;sup&gt;1&lt;/sup&gt;"},"properties":{"noteIndex":0},"schema":"https://github.com/citation-style-language/schema/raw/master/csl-citation.json"}</w:instrText>
            </w:r>
            <w:r>
              <w:rPr>
                <w:sz w:val="18"/>
                <w:szCs w:val="18"/>
              </w:rPr>
              <w:fldChar w:fldCharType="separate"/>
            </w:r>
            <w:r>
              <w:rPr>
                <w:noProof/>
                <w:sz w:val="18"/>
                <w:szCs w:val="18"/>
                <w:vertAlign w:val="superscript"/>
              </w:rPr>
              <w:t>1</w:t>
            </w:r>
            <w:r>
              <w:rPr>
                <w:sz w:val="18"/>
                <w:szCs w:val="18"/>
              </w:rPr>
              <w:fldChar w:fldCharType="end"/>
            </w:r>
          </w:p>
        </w:tc>
      </w:tr>
      <w:tr w:rsidR="00F176D3">
        <w:trPr>
          <w:cantSplit/>
        </w:trPr>
        <w:tc>
          <w:tcPr>
            <w:tcW w:w="2269" w:type="dxa"/>
            <w:vMerge w:val="restart"/>
          </w:tcPr>
          <w:p w:rsidR="00F176D3" w:rsidRDefault="00F176D3">
            <w:pPr>
              <w:spacing w:line="240" w:lineRule="auto"/>
              <w:rPr>
                <w:sz w:val="18"/>
                <w:szCs w:val="18"/>
              </w:rPr>
            </w:pPr>
            <w:r>
              <w:rPr>
                <w:sz w:val="18"/>
                <w:szCs w:val="18"/>
              </w:rPr>
              <w:t>Participants</w:t>
            </w:r>
          </w:p>
        </w:tc>
        <w:tc>
          <w:tcPr>
            <w:tcW w:w="709" w:type="dxa"/>
            <w:gridSpan w:val="2"/>
            <w:tcBorders>
              <w:bottom w:val="nil"/>
            </w:tcBorders>
          </w:tcPr>
          <w:p w:rsidR="00F176D3" w:rsidRDefault="00F176D3">
            <w:pPr>
              <w:spacing w:line="240" w:lineRule="auto"/>
              <w:jc w:val="center"/>
              <w:rPr>
                <w:sz w:val="18"/>
                <w:szCs w:val="18"/>
              </w:rPr>
            </w:pPr>
            <w:r>
              <w:rPr>
                <w:sz w:val="18"/>
                <w:szCs w:val="18"/>
              </w:rPr>
              <w:t>4a</w:t>
            </w:r>
          </w:p>
        </w:tc>
        <w:tc>
          <w:tcPr>
            <w:tcW w:w="10862" w:type="dxa"/>
          </w:tcPr>
          <w:p w:rsidR="00F176D3" w:rsidRDefault="00F176D3">
            <w:pPr>
              <w:spacing w:line="240" w:lineRule="auto"/>
              <w:rPr>
                <w:b/>
                <w:bCs/>
                <w:sz w:val="18"/>
                <w:szCs w:val="18"/>
              </w:rPr>
            </w:pPr>
            <w:r>
              <w:rPr>
                <w:b/>
                <w:bCs/>
                <w:sz w:val="18"/>
                <w:szCs w:val="18"/>
              </w:rPr>
              <w:t xml:space="preserve">Transparent account of patient selection, with explicit detail about inclusion and exclusion criteria. </w:t>
            </w:r>
            <w:r>
              <w:rPr>
                <w:sz w:val="18"/>
                <w:szCs w:val="18"/>
              </w:rPr>
              <w:t>Example: “We assessed 16 patients, of whom 12 were placed on the waiting list; of the four patients excluded, two had residual phalluses that were deemed adequate for all penile functions, making risk–benefit ratios unfavourable, and two had psychiatric diseases that precluded safe transplantation….Suitable participants underwent tissue typing, blood grouping, and screens for hepatitis B virus, cytomegalovirus, and HIV” “Patients with HIV or hepatitis B virus infections who failed to develop immunity to the hepatitis B virus were excluded. Other exclusion criteria were any active bacterial infection…”</w:t>
            </w:r>
            <w:r>
              <w:rPr>
                <w:sz w:val="18"/>
                <w:szCs w:val="18"/>
              </w:rPr>
              <w:fldChar w:fldCharType="begin" w:fldLock="1"/>
            </w:r>
            <w:r>
              <w:rPr>
                <w:sz w:val="18"/>
                <w:szCs w:val="18"/>
              </w:rPr>
              <w:instrText>ADDIN CSL_CITATION {"citationItems":[{"id":"ITEM-1","itemData":{"DOI":"10.1016/S0140-6736(17)31807-X","author":[{"dropping-particle":"Van Der","family":"Merwe","given":"André","non-dropping-particle":"","parse-names":false,"suffix":""},{"dropping-particle":"","family":"Graewe","given":"Frank","non-dropping-particle":"","parse-names":false,"suffix":""},{"dropping-particle":"","family":"Zühlke","given":"Alexander","non-dropping-particle":"","parse-names":false,"suffix":""},{"dropping-particle":"","family":"Barsdorf","given":"Nicola W","non-dropping-particle":"","parse-names":false,"suffix":""},{"dropping-particle":"","family":"Zarrabi","given":"Amir D","non-dropping-particle":"","parse-names":false,"suffix":""},{"dropping-particle":"","family":"Viljoen","given":"Jeremy T","non-dropping-particle":"","parse-names":false,"suffix":""},{"dropping-particle":"","family":"Ackermann","given":"Hilgard","non-dropping-particle":"","parse-names":false,"suffix":""},{"dropping-particle":"V","family":"Spies","given":"Pieter","non-dropping-particle":"","parse-names":false,"suffix":""}],"id":"ITEM-1","issued":{"date-parts":[["2017"]]},"title":"Penile allotransplantation for penis amputation following ritual circumcision : a case report with 24 months of follow-up","type":"article-journal","volume":"390"},"uris":["http://www.mendeley.com/documents/?uuid=8a0ecce3-9c2e-4624-878d-7c33051d6ea1"]}],"mendeley":{"formattedCitation":"&lt;sup&gt;2&lt;/sup&gt;","plainTextFormattedCitation":"2","previouslyFormattedCitation":"&lt;sup&gt;2&lt;/sup&gt;"},"properties":{"noteIndex":0},"schema":"https://github.com/citation-style-language/schema/raw/master/csl-citation.json"}</w:instrText>
            </w:r>
            <w:r>
              <w:rPr>
                <w:sz w:val="18"/>
                <w:szCs w:val="18"/>
              </w:rPr>
              <w:fldChar w:fldCharType="separate"/>
            </w:r>
            <w:r>
              <w:rPr>
                <w:noProof/>
                <w:sz w:val="18"/>
                <w:szCs w:val="18"/>
                <w:vertAlign w:val="superscript"/>
              </w:rPr>
              <w:t>2</w:t>
            </w:r>
            <w:r>
              <w:rPr>
                <w:sz w:val="18"/>
                <w:szCs w:val="18"/>
              </w:rPr>
              <w:fldChar w:fldCharType="end"/>
            </w:r>
          </w:p>
        </w:tc>
      </w:tr>
      <w:tr w:rsidR="00F176D3">
        <w:trPr>
          <w:cantSplit/>
        </w:trPr>
        <w:tc>
          <w:tcPr>
            <w:tcW w:w="2269" w:type="dxa"/>
            <w:vMerge/>
            <w:tcBorders>
              <w:bottom w:val="single" w:sz="4" w:space="0" w:color="FFFFFF"/>
            </w:tcBorders>
          </w:tcPr>
          <w:p w:rsidR="00F176D3" w:rsidRDefault="00F176D3">
            <w:pPr>
              <w:spacing w:line="240" w:lineRule="auto"/>
              <w:rPr>
                <w:sz w:val="18"/>
                <w:szCs w:val="18"/>
              </w:rPr>
            </w:pPr>
          </w:p>
        </w:tc>
        <w:tc>
          <w:tcPr>
            <w:tcW w:w="709" w:type="dxa"/>
            <w:gridSpan w:val="2"/>
            <w:tcBorders>
              <w:top w:val="nil"/>
              <w:bottom w:val="nil"/>
            </w:tcBorders>
          </w:tcPr>
          <w:p w:rsidR="00F176D3" w:rsidRDefault="00F176D3">
            <w:pPr>
              <w:spacing w:line="240" w:lineRule="auto"/>
              <w:jc w:val="center"/>
              <w:rPr>
                <w:sz w:val="18"/>
                <w:szCs w:val="18"/>
              </w:rPr>
            </w:pPr>
            <w:r>
              <w:rPr>
                <w:sz w:val="18"/>
                <w:szCs w:val="18"/>
              </w:rPr>
              <w:t>4b</w:t>
            </w:r>
          </w:p>
        </w:tc>
        <w:tc>
          <w:tcPr>
            <w:tcW w:w="10862" w:type="dxa"/>
            <w:shd w:val="clear" w:color="auto" w:fill="FFFFFF"/>
          </w:tcPr>
          <w:p w:rsidR="00F176D3" w:rsidRDefault="00F176D3">
            <w:pPr>
              <w:spacing w:line="240" w:lineRule="auto"/>
              <w:rPr>
                <w:b/>
                <w:bCs/>
                <w:sz w:val="18"/>
                <w:szCs w:val="18"/>
              </w:rPr>
            </w:pPr>
            <w:r>
              <w:rPr>
                <w:b/>
                <w:bCs/>
                <w:sz w:val="18"/>
                <w:szCs w:val="18"/>
              </w:rPr>
              <w:t xml:space="preserve">Informed consent process described, including explanation of risks and acknowledgement of level of experience with technique/device. If informed consent is not obtained due to unplanned technique or modification, describe the discussion with the patient after the innovation. occurred. </w:t>
            </w:r>
            <w:r>
              <w:rPr>
                <w:sz w:val="18"/>
                <w:szCs w:val="18"/>
              </w:rPr>
              <w:t>Example: “All patients gave their written informed consent to test our navigation system for renal colleting system puncture after the risks, benefits, and alternatives were discussed. Institutional review board approval was obtained before the start of the study. Patients were specifically informed that this was first clinical application of this novel system.”</w:t>
            </w:r>
            <w:r>
              <w:rPr>
                <w:sz w:val="18"/>
                <w:szCs w:val="18"/>
              </w:rPr>
              <w:fldChar w:fldCharType="begin" w:fldLock="1"/>
            </w:r>
            <w:r>
              <w:rPr>
                <w:sz w:val="18"/>
                <w:szCs w:val="18"/>
              </w:rPr>
              <w:instrText>ADDIN CSL_CITATION {"citationItems":[{"id":"ITEM-1","itemData":{"DOI":"10.1016/j.eururo.2017.03.011","ISSN":"1873-7560 (Electronic)","PMID":"28377202","abstract":"BACKGROUND: Puncture of the renal collecting system represents a challenging step in percutaneous nephrolithotomy (PCNL). Limitations related to the use of standard fluoroscopic-based and ultrasound-based maneuvers have been recognized. OBJECTIVES: To describe the technique and early clinical outcomes of a novel navigation system for percutaneous kidney access. DESIGN, SETTING, AND PARTICIPANTS: This was a proof-of-concept study (IDEAL phase 1) conducted at a single academic center. Ten PCNL procedures were performed for patients with kidney stones. SURGICAL PROCEDURE: Flexible ureterorenoscopy was performed to determine the optimal renal calyx for access. An electromagnetic sensor was inserted through the working channel. Then the selected calyx was punctured with a needle with a sensor on the tip guided by real-time three-dimensional images observed on the monitor. OUTCOME MEASUREMENTS AND STATISTICAL ANALYSIS: The primary endpoints were the accuracy and clinical applicability of the system in clinical use. Secondary endpoints were the time to successful puncture, the number of attempts for successful puncture, and complications. RESULTS AND LIMITATIONS: Ten patients were enrolled in the study. The median age was 47.1 yr (30-63), median body mass index was 22.85kg/m(2) (19-28.3), and median stone size was 2.13cm (1.5-2.5cm). All stones were in the renal pelvis. The Guy's stone score was 1 in nine cases and 2 in one case. All 10 punctures of the collecting system were successfully completed at the first attempt without X-ray exposure. The median time to successful puncture starting from insertion of the needle was 20 s (range 15-35). No complications occurred. CONCLUSIONS: We describe the first clinical application of a novel navigation system using real-time electromagnetic sensors for percutaneous kidney access. This new technology overcomes the intrinsic limitations of traditional methods of kidney access, allowing safe, precise, fast, and effective puncture of the renal collecting system. PATIENT SUMMARY: We describe a new technology allowing safe and easy puncture of the kidney without radiation exposure. This could significantly facilitate one of the most challenging steps in percutaneous removal of kidney stones.","author":[{"dropping-particle":"","family":"Lima","given":"Estevao","non-dropping-particle":"","parse-names":false,"suffix":""},{"dropping-particle":"","family":"Rodrigues","given":"Pedro L","non-dropping-particle":"","parse-names":false,"suffix":""},{"dropping-particle":"","family":"Mota","given":"Paulo","non-dropping-particle":"","parse-names":false,"suffix":""},{"dropping-particle":"","family":"Carvalho","given":"Nuno","non-dropping-particle":"","parse-names":false,"suffix":""},{"dropping-particle":"","family":"Dias","given":"Emanuel","non-dropping-particle":"","parse-names":false,"suffix":""},{"dropping-particle":"","family":"Correia-Pinto","given":"Jorge","non-dropping-particle":"","parse-names":false,"suffix":""},{"dropping-particle":"","family":"Autorino","given":"Riccardo","non-dropping-particle":"","parse-names":false,"suffix":""},{"dropping-particle":"","family":"Vilaca","given":"Joao L","non-dropping-particle":"","parse-names":false,"suffix":""}],"container-title":"European urology","id":"ITEM-1","issue":"4","issued":{"date-parts":[["2017","10"]]},"language":"eng","page":"610-616","publisher-place":"Switzerland","title":"Ureteroscopy-assisted Percutaneous Kidney Access Made Easy: First Clinical Experience with a Novel Navigation System Using Electromagnetic Guidance (IDEAL Stage 1).","type":"article-journal","volume":"72"},"uris":["http://www.mendeley.com/documents/?uuid=69052f0d-30a8-467e-993c-8d511a20945f"]}],"mendeley":{"formattedCitation":"&lt;sup&gt;3&lt;/sup&gt;","plainTextFormattedCitation":"3","previouslyFormattedCitation":"&lt;sup&gt;3&lt;/sup&gt;"},"properties":{"noteIndex":0},"schema":"https://github.com/citation-style-language/schema/raw/master/csl-citation.json"}</w:instrText>
            </w:r>
            <w:r>
              <w:rPr>
                <w:sz w:val="18"/>
                <w:szCs w:val="18"/>
              </w:rPr>
              <w:fldChar w:fldCharType="separate"/>
            </w:r>
            <w:r>
              <w:rPr>
                <w:noProof/>
                <w:sz w:val="18"/>
                <w:szCs w:val="18"/>
                <w:vertAlign w:val="superscript"/>
              </w:rPr>
              <w:t>3</w:t>
            </w:r>
            <w:r>
              <w:rPr>
                <w:sz w:val="18"/>
                <w:szCs w:val="18"/>
              </w:rPr>
              <w:fldChar w:fldCharType="end"/>
            </w:r>
          </w:p>
        </w:tc>
      </w:tr>
      <w:tr w:rsidR="00F176D3">
        <w:tc>
          <w:tcPr>
            <w:tcW w:w="2269" w:type="dxa"/>
            <w:tcBorders>
              <w:top w:val="single" w:sz="4" w:space="0" w:color="FFFFFF"/>
            </w:tcBorders>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4c</w:t>
            </w:r>
          </w:p>
        </w:tc>
        <w:tc>
          <w:tcPr>
            <w:tcW w:w="10862" w:type="dxa"/>
          </w:tcPr>
          <w:p w:rsidR="00F176D3" w:rsidRDefault="00F176D3">
            <w:pPr>
              <w:spacing w:line="240" w:lineRule="auto"/>
              <w:rPr>
                <w:b/>
                <w:bCs/>
                <w:sz w:val="18"/>
                <w:szCs w:val="18"/>
              </w:rPr>
            </w:pPr>
            <w:r>
              <w:rPr>
                <w:b/>
                <w:bCs/>
                <w:sz w:val="18"/>
                <w:szCs w:val="18"/>
              </w:rPr>
              <w:t>Setting, location, and timeframe of when and where the novel technique was performed, including hospital characteristics and appropriate details regarding the operator/team (e.g. experience).</w:t>
            </w:r>
          </w:p>
        </w:tc>
      </w:tr>
      <w:tr w:rsidR="00F176D3">
        <w:tc>
          <w:tcPr>
            <w:tcW w:w="2269" w:type="dxa"/>
            <w:tcBorders>
              <w:bottom w:val="single" w:sz="4" w:space="0" w:color="FFFFFF"/>
            </w:tcBorders>
          </w:tcPr>
          <w:p w:rsidR="00F176D3" w:rsidRDefault="00F176D3">
            <w:pPr>
              <w:spacing w:line="240" w:lineRule="auto"/>
              <w:rPr>
                <w:sz w:val="18"/>
                <w:szCs w:val="18"/>
              </w:rPr>
            </w:pPr>
            <w:r>
              <w:rPr>
                <w:sz w:val="18"/>
                <w:szCs w:val="18"/>
              </w:rPr>
              <w:t>Intervention</w:t>
            </w:r>
          </w:p>
        </w:tc>
        <w:tc>
          <w:tcPr>
            <w:tcW w:w="709" w:type="dxa"/>
            <w:gridSpan w:val="2"/>
            <w:tcBorders>
              <w:bottom w:val="nil"/>
            </w:tcBorders>
          </w:tcPr>
          <w:p w:rsidR="00F176D3" w:rsidRDefault="00F176D3">
            <w:pPr>
              <w:spacing w:line="240" w:lineRule="auto"/>
              <w:jc w:val="center"/>
              <w:rPr>
                <w:sz w:val="18"/>
                <w:szCs w:val="18"/>
              </w:rPr>
            </w:pPr>
            <w:r>
              <w:rPr>
                <w:sz w:val="18"/>
                <w:szCs w:val="18"/>
              </w:rPr>
              <w:t>5a</w:t>
            </w:r>
          </w:p>
        </w:tc>
        <w:tc>
          <w:tcPr>
            <w:tcW w:w="10862" w:type="dxa"/>
          </w:tcPr>
          <w:p w:rsidR="00F176D3" w:rsidRDefault="00F176D3">
            <w:pPr>
              <w:spacing w:line="240" w:lineRule="auto"/>
              <w:rPr>
                <w:b/>
                <w:bCs/>
                <w:color w:val="000000"/>
                <w:sz w:val="18"/>
                <w:szCs w:val="18"/>
              </w:rPr>
            </w:pPr>
            <w:r>
              <w:rPr>
                <w:b/>
                <w:bCs/>
                <w:color w:val="000000"/>
                <w:sz w:val="18"/>
                <w:szCs w:val="18"/>
              </w:rPr>
              <w:t xml:space="preserve">Clear and detailed description of the new technique/device, including necessary pre- and post-procedure care. </w:t>
            </w:r>
            <w:r>
              <w:rPr>
                <w:sz w:val="18"/>
                <w:szCs w:val="18"/>
              </w:rPr>
              <w:t>Example</w:t>
            </w:r>
            <w:r>
              <w:rPr>
                <w:color w:val="000000"/>
                <w:sz w:val="18"/>
                <w:szCs w:val="18"/>
              </w:rPr>
              <w:t>: “The accompanying video illustrates the technology and provides a step-by-step description of the procedure. Under general anesthesia, the patient is placed in the supine position to allow a combined approach with flexible ureterorenoscopy and percutaneous.”</w:t>
            </w:r>
            <w:r>
              <w:rPr>
                <w:color w:val="000000"/>
                <w:sz w:val="18"/>
                <w:szCs w:val="18"/>
              </w:rPr>
              <w:fldChar w:fldCharType="begin" w:fldLock="1"/>
            </w:r>
            <w:r>
              <w:rPr>
                <w:color w:val="000000"/>
                <w:sz w:val="18"/>
                <w:szCs w:val="18"/>
              </w:rPr>
              <w:instrText>ADDIN CSL_CITATION {"citationItems":[{"id":"ITEM-1","itemData":{"DOI":"10.1016/j.eururo.2017.03.011","ISSN":"1873-7560 (Electronic)","PMID":"28377202","abstract":"BACKGROUND: Puncture of the renal collecting system represents a challenging step in percutaneous nephrolithotomy (PCNL). Limitations related to the use of standard fluoroscopic-based and ultrasound-based maneuvers have been recognized. OBJECTIVES: To describe the technique and early clinical outcomes of a novel navigation system for percutaneous kidney access. DESIGN, SETTING, AND PARTICIPANTS: This was a proof-of-concept study (IDEAL phase 1) conducted at a single academic center. Ten PCNL procedures were performed for patients with kidney stones. SURGICAL PROCEDURE: Flexible ureterorenoscopy was performed to determine the optimal renal calyx for access. An electromagnetic sensor was inserted through the working channel. Then the selected calyx was punctured with a needle with a sensor on the tip guided by real-time three-dimensional images observed on the monitor. OUTCOME MEASUREMENTS AND STATISTICAL ANALYSIS: The primary endpoints were the accuracy and clinical applicability of the system in clinical use. Secondary endpoints were the time to successful puncture, the number of attempts for successful puncture, and complications. RESULTS AND LIMITATIONS: Ten patients were enrolled in the study. The median age was 47.1 yr (30-63), median body mass index was 22.85kg/m(2) (19-28.3), and median stone size was 2.13cm (1.5-2.5cm). All stones were in the renal pelvis. The Guy's stone score was 1 in nine cases and 2 in one case. All 10 punctures of the collecting system were successfully completed at the first attempt without X-ray exposure. The median time to successful puncture starting from insertion of the needle was 20 s (range 15-35). No complications occurred. CONCLUSIONS: We describe the first clinical application of a novel navigation system using real-time electromagnetic sensors for percutaneous kidney access. This new technology overcomes the intrinsic limitations of traditional methods of kidney access, allowing safe, precise, fast, and effective puncture of the renal collecting system. PATIENT SUMMARY: We describe a new technology allowing safe and easy puncture of the kidney without radiation exposure. This could significantly facilitate one of the most challenging steps in percutaneous removal of kidney stones.","author":[{"dropping-particle":"","family":"Lima","given":"Estevao","non-dropping-particle":"","parse-names":false,"suffix":""},{"dropping-particle":"","family":"Rodrigues","given":"Pedro L","non-dropping-particle":"","parse-names":false,"suffix":""},{"dropping-particle":"","family":"Mota","given":"Paulo","non-dropping-particle":"","parse-names":false,"suffix":""},{"dropping-particle":"","family":"Carvalho","given":"Nuno","non-dropping-particle":"","parse-names":false,"suffix":""},{"dropping-particle":"","family":"Dias","given":"Emanuel","non-dropping-particle":"","parse-names":false,"suffix":""},{"dropping-particle":"","family":"Correia-Pinto","given":"Jorge","non-dropping-particle":"","parse-names":false,"suffix":""},{"dropping-particle":"","family":"Autorino","given":"Riccardo","non-dropping-particle":"","parse-names":false,"suffix":""},{"dropping-particle":"","family":"Vilaca","given":"Joao L","non-dropping-particle":"","parse-names":false,"suffix":""}],"container-title":"European urology","id":"ITEM-1","issue":"4","issued":{"date-parts":[["2017","10"]]},"language":"eng","page":"610-616","publisher-place":"Switzerland","title":"Ureteroscopy-assisted Percutaneous Kidney Access Made Easy: First Clinical Experience with a Novel Navigation System Using Electromagnetic Guidance (IDEAL Stage 1).","type":"article-journal","volume":"72"},"uris":["http://www.mendeley.com/documents/?uuid=69052f0d-30a8-467e-993c-8d511a20945f"]}],"mendeley":{"formattedCitation":"&lt;sup&gt;3&lt;/sup&gt;","plainTextFormattedCitation":"3","previouslyFormattedCitation":"&lt;sup&gt;3&lt;/sup&gt;"},"properties":{"noteIndex":0},"schema":"https://github.com/citation-style-language/schema/raw/master/csl-citation.json"}</w:instrText>
            </w:r>
            <w:r>
              <w:rPr>
                <w:color w:val="000000"/>
                <w:sz w:val="18"/>
                <w:szCs w:val="18"/>
              </w:rPr>
              <w:fldChar w:fldCharType="separate"/>
            </w:r>
            <w:r>
              <w:rPr>
                <w:noProof/>
                <w:color w:val="000000"/>
                <w:sz w:val="18"/>
                <w:szCs w:val="18"/>
                <w:vertAlign w:val="superscript"/>
              </w:rPr>
              <w:t>3</w:t>
            </w:r>
            <w:r>
              <w:rPr>
                <w:color w:val="000000"/>
                <w:sz w:val="18"/>
                <w:szCs w:val="18"/>
              </w:rPr>
              <w:fldChar w:fldCharType="end"/>
            </w:r>
          </w:p>
        </w:tc>
      </w:tr>
      <w:tr w:rsidR="00F176D3">
        <w:tc>
          <w:tcPr>
            <w:tcW w:w="2269" w:type="dxa"/>
            <w:tcBorders>
              <w:top w:val="single" w:sz="4" w:space="0" w:color="FFFFFF"/>
            </w:tcBorders>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5b</w:t>
            </w:r>
          </w:p>
        </w:tc>
        <w:tc>
          <w:tcPr>
            <w:tcW w:w="10862" w:type="dxa"/>
          </w:tcPr>
          <w:p w:rsidR="00F176D3" w:rsidRDefault="00F176D3">
            <w:pPr>
              <w:spacing w:line="240" w:lineRule="auto"/>
              <w:rPr>
                <w:b/>
                <w:bCs/>
                <w:sz w:val="18"/>
                <w:szCs w:val="18"/>
              </w:rPr>
            </w:pPr>
            <w:r>
              <w:rPr>
                <w:b/>
                <w:bCs/>
                <w:sz w:val="18"/>
                <w:szCs w:val="18"/>
              </w:rPr>
              <w:t>Patient safety monitoring methods and safeguards.</w:t>
            </w:r>
          </w:p>
        </w:tc>
      </w:tr>
      <w:tr w:rsidR="00F176D3">
        <w:tc>
          <w:tcPr>
            <w:tcW w:w="2269" w:type="dxa"/>
          </w:tcPr>
          <w:p w:rsidR="00F176D3" w:rsidRDefault="00F176D3">
            <w:pPr>
              <w:spacing w:line="240" w:lineRule="auto"/>
              <w:rPr>
                <w:sz w:val="18"/>
                <w:szCs w:val="18"/>
              </w:rPr>
            </w:pPr>
            <w:r>
              <w:rPr>
                <w:sz w:val="18"/>
                <w:szCs w:val="18"/>
              </w:rPr>
              <w:t>Outcomes</w:t>
            </w:r>
          </w:p>
        </w:tc>
        <w:tc>
          <w:tcPr>
            <w:tcW w:w="709" w:type="dxa"/>
            <w:gridSpan w:val="2"/>
          </w:tcPr>
          <w:p w:rsidR="00F176D3" w:rsidRDefault="00F176D3">
            <w:pPr>
              <w:spacing w:line="240" w:lineRule="auto"/>
              <w:jc w:val="center"/>
              <w:rPr>
                <w:sz w:val="18"/>
                <w:szCs w:val="18"/>
              </w:rPr>
            </w:pPr>
            <w:r>
              <w:rPr>
                <w:sz w:val="18"/>
                <w:szCs w:val="18"/>
              </w:rPr>
              <w:t>6</w:t>
            </w:r>
          </w:p>
        </w:tc>
        <w:tc>
          <w:tcPr>
            <w:tcW w:w="10862" w:type="dxa"/>
          </w:tcPr>
          <w:p w:rsidR="00F176D3" w:rsidRDefault="00F176D3">
            <w:pPr>
              <w:spacing w:line="240" w:lineRule="auto"/>
              <w:rPr>
                <w:b/>
                <w:bCs/>
                <w:sz w:val="18"/>
                <w:szCs w:val="18"/>
              </w:rPr>
            </w:pPr>
            <w:r>
              <w:rPr>
                <w:b/>
                <w:bCs/>
                <w:sz w:val="18"/>
                <w:szCs w:val="18"/>
              </w:rPr>
              <w:t xml:space="preserve">Description of outcome measure(s) selected and how they were assessed, including patient reported outcome measures, if appropriate, utilising those measures that are standardised and validated, when available and applicable. When these are not available, provide rationale for the outcome measure(s) used. </w:t>
            </w:r>
            <w:r>
              <w:rPr>
                <w:sz w:val="18"/>
                <w:szCs w:val="18"/>
              </w:rPr>
              <w:t xml:space="preserve">Example: “Table 1, Table 2 summarize the demographic, perioperative, and postoperative data of the initial seven patients.”“Mean intraoperative kidney surface temperature measured just before reperfusion was 22.5oC and inversely related to the rewarming time (Fig. 5b)….. No patient developed systemic hypothermia. Mean serum creatinine on postoperative day (POD) 1 and 7 was 2.2 mg/dl and 1.2 mg/dl, respectively (Fig. 5c). No patient required dialysis.” </w:t>
            </w:r>
            <w:r>
              <w:rPr>
                <w:color w:val="000000"/>
                <w:sz w:val="18"/>
                <w:szCs w:val="18"/>
              </w:rPr>
              <w:fldChar w:fldCharType="begin" w:fldLock="1"/>
            </w:r>
            <w:r>
              <w:rPr>
                <w:color w:val="000000"/>
                <w:sz w:val="18"/>
                <w:szCs w:val="18"/>
              </w:rPr>
              <w:instrText>ADDIN CSL_CITATION {"citationItems":[{"id":"ITEM-1","itemData":{"DOI":"10.1016/j.eururo.2017.03.011","ISSN":"1873-7560 (Electronic)","PMID":"28377202","abstract":"BACKGROUND: Puncture of the renal collecting system represents a challenging step in percutaneous nephrolithotomy (PCNL). Limitations related to the use of standard fluoroscopic-based and ultrasound-based maneuvers have been recognized. OBJECTIVES: To describe the technique and early clinical outcomes of a novel navigation system for percutaneous kidney access. DESIGN, SETTING, AND PARTICIPANTS: This was a proof-of-concept study (IDEAL phase 1) conducted at a single academic center. Ten PCNL procedures were performed for patients with kidney stones. SURGICAL PROCEDURE: Flexible ureterorenoscopy was performed to determine the optimal renal calyx for access. An electromagnetic sensor was inserted through the working channel. Then the selected calyx was punctured with a needle with a sensor on the tip guided by real-time three-dimensional images observed on the monitor. OUTCOME MEASUREMENTS AND STATISTICAL ANALYSIS: The primary endpoints were the accuracy and clinical applicability of the system in clinical use. Secondary endpoints were the time to successful puncture, the number of attempts for successful puncture, and complications. RESULTS AND LIMITATIONS: Ten patients were enrolled in the study. The median age was 47.1 yr (30-63), median body mass index was 22.85kg/m(2) (19-28.3), and median stone size was 2.13cm (1.5-2.5cm). All stones were in the renal pelvis. The Guy's stone score was 1 in nine cases and 2 in one case. All 10 punctures of the collecting system were successfully completed at the first attempt without X-ray exposure. The median time to successful puncture starting from insertion of the needle was 20 s (range 15-35). No complications occurred. CONCLUSIONS: We describe the first clinical application of a novel navigation system using real-time electromagnetic sensors for percutaneous kidney access. This new technology overcomes the intrinsic limitations of traditional methods of kidney access, allowing safe, precise, fast, and effective puncture of the renal collecting system. PATIENT SUMMARY: We describe a new technology allowing safe and easy puncture of the kidney without radiation exposure. This could significantly facilitate one of the most challenging steps in percutaneous removal of kidney stones.","author":[{"dropping-particle":"","family":"Lima","given":"Estevao","non-dropping-particle":"","parse-names":false,"suffix":""},{"dropping-particle":"","family":"Rodrigues","given":"Pedro L","non-dropping-particle":"","parse-names":false,"suffix":""},{"dropping-particle":"","family":"Mota","given":"Paulo","non-dropping-particle":"","parse-names":false,"suffix":""},{"dropping-particle":"","family":"Carvalho","given":"Nuno","non-dropping-particle":"","parse-names":false,"suffix":""},{"dropping-particle":"","family":"Dias","given":"Emanuel","non-dropping-particle":"","parse-names":false,"suffix":""},{"dropping-particle":"","family":"Correia-Pinto","given":"Jorge","non-dropping-particle":"","parse-names":false,"suffix":""},{"dropping-particle":"","family":"Autorino","given":"Riccardo","non-dropping-particle":"","parse-names":false,"suffix":""},{"dropping-particle":"","family":"Vilaca","given":"Joao L","non-dropping-particle":"","parse-names":false,"suffix":""}],"container-title":"European urology","id":"ITEM-1","issue":"4","issued":{"date-parts":[["2017","10"]]},"language":"eng","page":"610-616","publisher-place":"Switzerland","title":"Ureteroscopy-assisted Percutaneous Kidney Access Made Easy: First Clinical Experience with a Novel Navigation System Using Electromagnetic Guidance (IDEAL Stage 1).","type":"article-journal","volume":"72"},"uris":["http://www.mendeley.com/documents/?uuid=69052f0d-30a8-467e-993c-8d511a20945f"]}],"mendeley":{"formattedCitation":"&lt;sup&gt;3&lt;/sup&gt;","plainTextFormattedCitation":"3","previouslyFormattedCitation":"&lt;sup&gt;3&lt;/sup&gt;"},"properties":{"noteIndex":0},"schema":"https://github.com/citation-style-language/schema/raw/master/csl-citation.json"}</w:instrText>
            </w:r>
            <w:r>
              <w:rPr>
                <w:color w:val="000000"/>
                <w:sz w:val="18"/>
                <w:szCs w:val="18"/>
              </w:rPr>
              <w:fldChar w:fldCharType="separate"/>
            </w:r>
            <w:r>
              <w:rPr>
                <w:noProof/>
                <w:color w:val="000000"/>
                <w:sz w:val="18"/>
                <w:szCs w:val="18"/>
                <w:vertAlign w:val="superscript"/>
              </w:rPr>
              <w:t>3</w:t>
            </w:r>
            <w:r>
              <w:rPr>
                <w:color w:val="000000"/>
                <w:sz w:val="18"/>
                <w:szCs w:val="18"/>
              </w:rPr>
              <w:fldChar w:fldCharType="end"/>
            </w:r>
          </w:p>
        </w:tc>
      </w:tr>
      <w:tr w:rsidR="00F176D3">
        <w:tc>
          <w:tcPr>
            <w:tcW w:w="2269" w:type="dxa"/>
            <w:tcBorders>
              <w:right w:val="nil"/>
            </w:tcBorders>
          </w:tcPr>
          <w:p w:rsidR="00F176D3" w:rsidRDefault="00F176D3">
            <w:pPr>
              <w:spacing w:line="240" w:lineRule="auto"/>
              <w:rPr>
                <w:b/>
                <w:bCs/>
                <w:sz w:val="18"/>
                <w:szCs w:val="18"/>
              </w:rPr>
            </w:pPr>
            <w:r>
              <w:rPr>
                <w:b/>
                <w:bCs/>
                <w:sz w:val="18"/>
                <w:szCs w:val="18"/>
              </w:rPr>
              <w:t>Results</w:t>
            </w:r>
          </w:p>
        </w:tc>
        <w:tc>
          <w:tcPr>
            <w:tcW w:w="709" w:type="dxa"/>
            <w:gridSpan w:val="2"/>
            <w:tcBorders>
              <w:left w:val="nil"/>
              <w:right w:val="nil"/>
            </w:tcBorders>
          </w:tcPr>
          <w:p w:rsidR="00F176D3" w:rsidRDefault="00F176D3">
            <w:pPr>
              <w:spacing w:line="240" w:lineRule="auto"/>
              <w:jc w:val="center"/>
              <w:rPr>
                <w:sz w:val="18"/>
                <w:szCs w:val="18"/>
              </w:rPr>
            </w:pPr>
          </w:p>
        </w:tc>
        <w:tc>
          <w:tcPr>
            <w:tcW w:w="10862" w:type="dxa"/>
            <w:tcBorders>
              <w:left w:val="nil"/>
            </w:tcBorders>
          </w:tcPr>
          <w:p w:rsidR="00F176D3" w:rsidRDefault="00F176D3">
            <w:pPr>
              <w:spacing w:line="240" w:lineRule="auto"/>
              <w:rPr>
                <w:b/>
                <w:bCs/>
                <w:color w:val="000000"/>
                <w:sz w:val="18"/>
                <w:szCs w:val="18"/>
              </w:rPr>
            </w:pPr>
          </w:p>
        </w:tc>
      </w:tr>
      <w:tr w:rsidR="00F176D3">
        <w:tc>
          <w:tcPr>
            <w:tcW w:w="2269" w:type="dxa"/>
            <w:tcBorders>
              <w:bottom w:val="single" w:sz="4" w:space="0" w:color="FFFFFF"/>
            </w:tcBorders>
          </w:tcPr>
          <w:p w:rsidR="00F176D3" w:rsidRDefault="00F176D3">
            <w:pPr>
              <w:spacing w:line="240" w:lineRule="auto"/>
              <w:rPr>
                <w:sz w:val="18"/>
                <w:szCs w:val="18"/>
              </w:rPr>
            </w:pPr>
            <w:r>
              <w:rPr>
                <w:sz w:val="18"/>
                <w:szCs w:val="18"/>
              </w:rPr>
              <w:t>Baseline Data</w:t>
            </w:r>
          </w:p>
        </w:tc>
        <w:tc>
          <w:tcPr>
            <w:tcW w:w="709" w:type="dxa"/>
            <w:gridSpan w:val="2"/>
          </w:tcPr>
          <w:p w:rsidR="00F176D3" w:rsidRDefault="00F176D3">
            <w:pPr>
              <w:spacing w:line="240" w:lineRule="auto"/>
              <w:jc w:val="center"/>
              <w:rPr>
                <w:sz w:val="18"/>
                <w:szCs w:val="18"/>
              </w:rPr>
            </w:pPr>
            <w:r>
              <w:rPr>
                <w:sz w:val="18"/>
                <w:szCs w:val="18"/>
              </w:rPr>
              <w:t>7</w:t>
            </w:r>
          </w:p>
        </w:tc>
        <w:tc>
          <w:tcPr>
            <w:tcW w:w="10862" w:type="dxa"/>
          </w:tcPr>
          <w:p w:rsidR="00F176D3" w:rsidRDefault="00F176D3">
            <w:pPr>
              <w:spacing w:line="240" w:lineRule="auto"/>
              <w:rPr>
                <w:b/>
                <w:bCs/>
                <w:sz w:val="18"/>
                <w:szCs w:val="18"/>
              </w:rPr>
            </w:pPr>
            <w:r>
              <w:rPr>
                <w:b/>
                <w:bCs/>
                <w:color w:val="000000"/>
                <w:sz w:val="18"/>
                <w:szCs w:val="18"/>
              </w:rPr>
              <w:t>B</w:t>
            </w:r>
            <w:r>
              <w:rPr>
                <w:b/>
                <w:bCs/>
                <w:sz w:val="18"/>
                <w:szCs w:val="18"/>
              </w:rPr>
              <w:t xml:space="preserve">aseline demographic and clinical characteristics for each patient. Include how many patients were assessed for treatment and a description of which patients were included, excluded, or refused, and why (to be displayed in a flow diagram format, when appropriate). </w:t>
            </w:r>
            <w:r>
              <w:rPr>
                <w:sz w:val="18"/>
                <w:szCs w:val="18"/>
              </w:rPr>
              <w:t xml:space="preserve">Example: </w:t>
            </w:r>
            <w:r>
              <w:rPr>
                <w:sz w:val="18"/>
                <w:szCs w:val="18"/>
                <w:lang w:val="en-US"/>
              </w:rPr>
              <w:t xml:space="preserve">“We screened all potential participants physically and psychologically. We assessed 16 patients, of whom 12 were placed on the waiting list; of the four patients excluded, two had residual phalluses that were deemed adequate for all penile functions, making risk–benefit ratios unfavourable, and two had psychiatric diseases that precluded safe transplantation. “Patients with HIV or hepatitis B virus infections who failed to develop immunity to the hepatitis B virus were excluded. Other exclusion criteria were any active bacterial infection (including tuberculosis), any evidence of psychiatric disease or history of substance abuse….” </w:t>
            </w:r>
            <w:r>
              <w:rPr>
                <w:sz w:val="18"/>
                <w:szCs w:val="18"/>
                <w:lang w:val="en-US"/>
              </w:rPr>
              <w:fldChar w:fldCharType="begin" w:fldLock="1"/>
            </w:r>
            <w:r>
              <w:rPr>
                <w:sz w:val="18"/>
                <w:szCs w:val="18"/>
                <w:lang w:val="en-US"/>
              </w:rPr>
              <w:instrText>ADDIN CSL_CITATION {"citationItems":[{"id":"ITEM-1","itemData":{"DOI":"10.1016/S0140-6736(17)31807-X","author":[{"dropping-particle":"Van Der","family":"Merwe","given":"André","non-dropping-particle":"","parse-names":false,"suffix":""},{"dropping-particle":"","family":"Graewe","given":"Frank","non-dropping-particle":"","parse-names":false,"suffix":""},{"dropping-particle":"","family":"Zühlke","given":"Alexander","non-dropping-particle":"","parse-names":false,"suffix":""},{"dropping-particle":"","family":"Barsdorf","given":"Nicola W","non-dropping-particle":"","parse-names":false,"suffix":""},{"dropping-particle":"","family":"Zarrabi","given":"Amir D","non-dropping-particle":"","parse-names":false,"suffix":""},{"dropping-particle":"","family":"Viljoen","given":"Jeremy T","non-dropping-particle":"","parse-names":false,"suffix":""},{"dropping-particle":"","family":"Ackermann","given":"Hilgard","non-dropping-particle":"","parse-names":false,"suffix":""},{"dropping-particle":"V","family":"Spies","given":"Pieter","non-dropping-particle":"","parse-names":false,"suffix":""}],"id":"ITEM-1","issued":{"date-parts":[["2017"]]},"title":"Penile allotransplantation for penis amputation following ritual circumcision : a case report with 24 months of follow-up","type":"article-journal","volume":"390"},"uris":["http://www.mendeley.com/documents/?uuid=8a0ecce3-9c2e-4624-878d-7c33051d6ea1"]}],"mendeley":{"formattedCitation":"&lt;sup&gt;2&lt;/sup&gt;","plainTextFormattedCitation":"2","previouslyFormattedCitation":"&lt;sup&gt;2&lt;/sup&gt;"},"properties":{"noteIndex":0},"schema":"https://github.com/citation-style-language/schema/raw/master/csl-citation.json"}</w:instrText>
            </w:r>
            <w:r>
              <w:rPr>
                <w:sz w:val="18"/>
                <w:szCs w:val="18"/>
                <w:lang w:val="en-US"/>
              </w:rPr>
              <w:fldChar w:fldCharType="separate"/>
            </w:r>
            <w:r>
              <w:rPr>
                <w:noProof/>
                <w:sz w:val="18"/>
                <w:szCs w:val="18"/>
                <w:vertAlign w:val="superscript"/>
                <w:lang w:val="en-US"/>
              </w:rPr>
              <w:t>2</w:t>
            </w:r>
            <w:r>
              <w:rPr>
                <w:sz w:val="18"/>
                <w:szCs w:val="18"/>
                <w:lang w:val="en-US"/>
              </w:rPr>
              <w:fldChar w:fldCharType="end"/>
            </w:r>
          </w:p>
        </w:tc>
      </w:tr>
      <w:tr w:rsidR="00F176D3">
        <w:tc>
          <w:tcPr>
            <w:tcW w:w="2269" w:type="dxa"/>
            <w:tcBorders>
              <w:bottom w:val="single" w:sz="4" w:space="0" w:color="FFFFFF"/>
            </w:tcBorders>
          </w:tcPr>
          <w:p w:rsidR="00F176D3" w:rsidRDefault="00F176D3">
            <w:pPr>
              <w:spacing w:line="240" w:lineRule="auto"/>
              <w:rPr>
                <w:noProof/>
                <w:sz w:val="18"/>
                <w:szCs w:val="18"/>
              </w:rPr>
            </w:pPr>
            <w:r>
              <w:rPr>
                <w:noProof/>
                <w:sz w:val="18"/>
                <w:szCs w:val="18"/>
              </w:rPr>
              <w:t>Intervention</w:t>
            </w:r>
          </w:p>
        </w:tc>
        <w:tc>
          <w:tcPr>
            <w:tcW w:w="709" w:type="dxa"/>
            <w:gridSpan w:val="2"/>
          </w:tcPr>
          <w:p w:rsidR="00F176D3" w:rsidRDefault="00F176D3">
            <w:pPr>
              <w:spacing w:line="240" w:lineRule="auto"/>
              <w:jc w:val="center"/>
              <w:rPr>
                <w:sz w:val="18"/>
                <w:szCs w:val="18"/>
              </w:rPr>
            </w:pPr>
            <w:r>
              <w:rPr>
                <w:sz w:val="18"/>
                <w:szCs w:val="18"/>
              </w:rPr>
              <w:t>8</w:t>
            </w:r>
          </w:p>
        </w:tc>
        <w:tc>
          <w:tcPr>
            <w:tcW w:w="10862" w:type="dxa"/>
          </w:tcPr>
          <w:p w:rsidR="00F176D3" w:rsidRDefault="00F176D3">
            <w:pPr>
              <w:spacing w:line="240" w:lineRule="auto"/>
              <w:rPr>
                <w:b/>
                <w:bCs/>
                <w:color w:val="000000"/>
                <w:sz w:val="18"/>
                <w:szCs w:val="18"/>
              </w:rPr>
            </w:pPr>
            <w:r>
              <w:rPr>
                <w:b/>
                <w:bCs/>
                <w:color w:val="000000"/>
                <w:sz w:val="18"/>
                <w:szCs w:val="18"/>
              </w:rPr>
              <w:t xml:space="preserve">Technical feasibility of technique, including visual aids (e.g. photographs, videos, etc) when available. </w:t>
            </w:r>
            <w:r>
              <w:rPr>
                <w:sz w:val="18"/>
                <w:szCs w:val="18"/>
              </w:rPr>
              <w:t xml:space="preserve">Example: </w:t>
            </w:r>
            <w:r>
              <w:rPr>
                <w:color w:val="000000"/>
                <w:sz w:val="18"/>
                <w:szCs w:val="18"/>
                <w:lang w:val="en-US"/>
              </w:rPr>
              <w:t xml:space="preserve">“2.2. Demonstration of ability to achieve effective pelvic cooling: Central to achieving successful graft function is the ability to minimize warm ischemia. Thus a critical part of the phase 0 study was the development of techniques to cool the graft during RKT, particularly during the potentially longer initial cases. This was established at the Vattikuti Urology Institute during robot-assisted (laparoscopic) radical prostatectomy (RARP) in &gt;300 patients, where 240–300 ml of ice slush was introduced through the GelPOINT.” </w:t>
            </w:r>
            <w:r>
              <w:rPr>
                <w:color w:val="000000"/>
                <w:sz w:val="18"/>
                <w:szCs w:val="18"/>
                <w:lang w:val="en-US"/>
              </w:rPr>
              <w:fldChar w:fldCharType="begin" w:fldLock="1"/>
            </w:r>
            <w:r>
              <w:rPr>
                <w:color w:val="000000"/>
                <w:sz w:val="18"/>
                <w:szCs w:val="18"/>
                <w:lang w:val="en-US"/>
              </w:rPr>
              <w:instrText>ADDIN CSL_CITATION {"citationItems":[{"id":"ITEM-1","itemData":{"DOI":"10.1016/j.eururo.2013.11.011","ISSN":"18737560","abstract":"Background Surgical innovation is essential for progress of surgical science, but its implementation comes with potential harms during the learning phase. The Balliol Collaboration has recommended a set of guidelines (Innovation, Development, Exploration, Assessment, Long-term study [IDEAL]) that permit innovation while minimizing complications. Objective To utilize the IDEAL model of surgical innovation in the development of a novel surgical technique, robotic kidney transplantation (RKT) with regional hypothermia, and describe the process of discovery and development. Design, setting, and participants Phase 0 (simulation) studies included the establishment of techniques for pelvic cooling, graft placement in a robotic prostatectomy model, and simulation of the RKT procedure in a cadaveric model. Phase 1 (innovation) studies began in January 2013 and involved treatment of a highly selective small group of patients (n = 7), using the principles utilized in the phase 0 studies, at a tertiary referral center. Intervention IDEAL model implementation in the development of RKT with regional hypothermia. Outcome measurements and statistical analysis For phase 0 studies, the outcomes evaluated included pelvic and body temperature measurements, and technical feasibility assessment. The primary outcome during phase 1 was post-transplant graft function. Other outcomes measured were operative and ischemic times, perioperative complications, and intracorporeal graft surface temperature. Results and limitations Phase 0 (simulation phase): Pelvic cooling to 15-20oC was achieved reproducibly. Using the surgical approach developed for robotic radical prostatectomy, vascular and ureterovesical anastomoses could be done without redocking the robot. Phase 1 (innovation phase): All patients underwent live-donor RKT in the lithotomy position. All grafts functioned immediately. Mean console, anastomotic, and warm ischemia times were 154 min, 29 min, and 2 min, respectively. One patient was re-explored on postoperative day 1. Conclusions Adherence to the IDEAL guidelines put forth by the Balliol Collaboration provided a practical framework for the establishment of a novel surgical procedure, RKT with regional hypothermia, without exposing the initial patients to unacceptable risk. Patient summary The IDEAL model allows safe introduction of new surgical techniques without compromising patient outcomes. © 2013 European Association of Urology.","author":[{"dropping-particle":"","family":"Menon","given":"Mani","non-dropping-particle":"","parse-names":false,"suffix":""},{"dropping-particle":"","family":"Abaza","given":"Ronney","non-dropping-particle":"","parse-names":false,"suffix":""},{"dropping-particle":"","family":"Sood","given":"Akshay","non-dropping-particle":"","parse-names":false,"suffix":""},{"dropping-particle":"","family":"Ahlawat","given":"Rajesh","non-dropping-particle":"","parse-names":false,"suffix":""},{"dropping-particle":"","family":"Ghani","given":"Khurshid R.","non-dropping-particle":"","parse-names":false,"suffix":""},{"dropping-particle":"","family":"Jeong","given":"Wooju","non-dropping-particle":"","parse-names":false,"suffix":""},{"dropping-particle":"","family":"Kher","given":"Vijay","non-dropping-particle":"","parse-names":false,"suffix":""},{"dropping-particle":"","family":"Kumar","given":"Ramesh K.","non-dropping-particle":"","parse-names":false,"suffix":""},{"dropping-particle":"","family":"Bhandari","given":"Mahendra","non-dropping-particle":"","parse-names":false,"suffix":""}],"container-title":"European Urology","id":"ITEM-1","issue":"5","issued":{"date-parts":[["2014"]]},"page":"1001-1009","publisher":"European Association of Urology","title":"Robotic kidney transplantation with regional hypothermia: Evolution of a novel procedure utilizing the IDEAL guidelines (IDEAL phase 0 and 1)","type":"article-journal","volume":"65"},"uris":["http://www.mendeley.com/documents/?uuid=b4fc04cc-459b-4484-97b5-3e0806af2ae0"]}],"mendeley":{"formattedCitation":"&lt;sup&gt;1&lt;/sup&gt;","plainTextFormattedCitation":"1","previouslyFormattedCitation":"&lt;sup&gt;1&lt;/sup&gt;"},"properties":{"noteIndex":0},"schema":"https://github.com/citation-style-language/schema/raw/master/csl-citation.json"}</w:instrText>
            </w:r>
            <w:r>
              <w:rPr>
                <w:color w:val="000000"/>
                <w:sz w:val="18"/>
                <w:szCs w:val="18"/>
                <w:lang w:val="en-US"/>
              </w:rPr>
              <w:fldChar w:fldCharType="separate"/>
            </w:r>
            <w:r>
              <w:rPr>
                <w:noProof/>
                <w:color w:val="000000"/>
                <w:sz w:val="18"/>
                <w:szCs w:val="18"/>
                <w:vertAlign w:val="superscript"/>
                <w:lang w:val="en-US"/>
              </w:rPr>
              <w:t>1</w:t>
            </w:r>
            <w:r>
              <w:rPr>
                <w:color w:val="000000"/>
                <w:sz w:val="18"/>
                <w:szCs w:val="18"/>
                <w:lang w:val="en-US"/>
              </w:rPr>
              <w:fldChar w:fldCharType="end"/>
            </w:r>
          </w:p>
        </w:tc>
      </w:tr>
      <w:tr w:rsidR="00F176D3">
        <w:tc>
          <w:tcPr>
            <w:tcW w:w="2269" w:type="dxa"/>
            <w:tcBorders>
              <w:bottom w:val="single" w:sz="4" w:space="0" w:color="FFFFFF"/>
            </w:tcBorders>
          </w:tcPr>
          <w:p w:rsidR="00F176D3" w:rsidRDefault="00F176D3">
            <w:pPr>
              <w:spacing w:line="240" w:lineRule="auto"/>
              <w:rPr>
                <w:sz w:val="18"/>
                <w:szCs w:val="18"/>
              </w:rPr>
            </w:pPr>
            <w:r>
              <w:rPr>
                <w:sz w:val="18"/>
                <w:szCs w:val="18"/>
              </w:rPr>
              <w:t>Outcomes</w:t>
            </w:r>
          </w:p>
        </w:tc>
        <w:tc>
          <w:tcPr>
            <w:tcW w:w="709" w:type="dxa"/>
            <w:gridSpan w:val="2"/>
            <w:tcBorders>
              <w:bottom w:val="single" w:sz="4" w:space="0" w:color="000000"/>
            </w:tcBorders>
          </w:tcPr>
          <w:p w:rsidR="00F176D3" w:rsidRDefault="00F176D3">
            <w:pPr>
              <w:spacing w:line="240" w:lineRule="auto"/>
              <w:jc w:val="center"/>
              <w:rPr>
                <w:sz w:val="18"/>
                <w:szCs w:val="18"/>
              </w:rPr>
            </w:pPr>
            <w:r>
              <w:rPr>
                <w:sz w:val="18"/>
                <w:szCs w:val="18"/>
              </w:rPr>
              <w:t>9</w:t>
            </w:r>
          </w:p>
        </w:tc>
        <w:tc>
          <w:tcPr>
            <w:tcW w:w="10862" w:type="dxa"/>
            <w:tcBorders>
              <w:bottom w:val="single" w:sz="4" w:space="0" w:color="000000"/>
            </w:tcBorders>
          </w:tcPr>
          <w:p w:rsidR="00F176D3" w:rsidRDefault="00F176D3">
            <w:pPr>
              <w:spacing w:line="240" w:lineRule="auto"/>
              <w:rPr>
                <w:color w:val="000000"/>
                <w:sz w:val="18"/>
                <w:szCs w:val="18"/>
              </w:rPr>
            </w:pPr>
            <w:r>
              <w:rPr>
                <w:b/>
                <w:bCs/>
                <w:color w:val="000000"/>
                <w:sz w:val="18"/>
                <w:szCs w:val="18"/>
              </w:rPr>
              <w:t xml:space="preserve">Appropriate clinical outcomes, including </w:t>
            </w:r>
            <w:r>
              <w:rPr>
                <w:b/>
                <w:bCs/>
                <w:sz w:val="18"/>
                <w:szCs w:val="18"/>
              </w:rPr>
              <w:t xml:space="preserve">patient-reported </w:t>
            </w:r>
            <w:r>
              <w:rPr>
                <w:b/>
                <w:bCs/>
                <w:color w:val="000000"/>
                <w:sz w:val="18"/>
                <w:szCs w:val="18"/>
              </w:rPr>
              <w:t>outcome measures</w:t>
            </w:r>
            <w:r>
              <w:rPr>
                <w:b/>
                <w:bCs/>
                <w:sz w:val="18"/>
                <w:szCs w:val="18"/>
              </w:rPr>
              <w:t xml:space="preserve">, when applicable. </w:t>
            </w:r>
            <w:r>
              <w:rPr>
                <w:sz w:val="18"/>
                <w:szCs w:val="18"/>
              </w:rPr>
              <w:t>Example: “Clinical Outcomes: At the time of study completion, the median clinical follow-up time was 13 months (IQR 10–17 months)…. The mean BPI severity score at baseline was 3.8 (range 1–7) and decreased to 2.7 (range 0–5) at 4 weeks post-treatment, with all but one patient reporting a decrease in pain. All patients experienced a partial pain response during follow-up according to the consensus criteria. At 4 weeks post-treatment substantial improvements were reported in all domains of the SOSGOQ, BM-22, QLQ-C15, and the EQ-5D with further improvement over time.”</w:t>
            </w:r>
            <w:r>
              <w:rPr>
                <w:sz w:val="18"/>
                <w:szCs w:val="18"/>
              </w:rPr>
              <w:fldChar w:fldCharType="begin" w:fldLock="1"/>
            </w:r>
            <w:r>
              <w:rPr>
                <w:sz w:val="18"/>
                <w:szCs w:val="18"/>
              </w:rPr>
              <w:instrText>ADDIN CSL_CITATION {"citationItems":[{"id":"ITEM-1","itemData":{"DOI":"10.3389/fonc.2018.00626","ISSN":"2234-943X","author":[{"dropping-particle":"","family":"Versteeg","given":"Anne L.","non-dropping-particle":"","parse-names":false,"suffix":""},{"dropping-particle":"","family":"Velden","given":"Joanne M.","non-dropping-particle":"van der","parse-names":false,"suffix":""},{"dropping-particle":"","family":"Hes","given":"Jochem","non-dropping-particle":"","parse-names":false,"suffix":""},{"dropping-particle":"","family":"Eppinga","given":"Wietse","non-dropping-particle":"","parse-names":false,"suffix":""},{"dropping-particle":"","family":"Kasperts","given":"Nicolien","non-dropping-particle":"","parse-names":false,"suffix":""},{"dropping-particle":"","family":"Verkooijen","given":"Helena M.","non-dropping-particle":"","parse-names":false,"suffix":""},{"dropping-particle":"","family":"Oner","given":"F. C.","non-dropping-particle":"","parse-names":false,"suffix":""},{"dropping-particle":"","family":"Seravalli","given":"Enrica","non-dropping-particle":"","parse-names":false,"suffix":""},{"dropping-particle":"","family":"Verlaan","given":"Jorrit-jan","non-dropping-particle":"","parse-names":false,"suffix":""}],"container-title":"Frontiers in Oncology","id":"ITEM-1","issue":"December","issued":{"date-parts":[["2018","12","20"]]},"page":"1-7","title":"Stereotactic Radiotherapy Followed by Surgical Stabilization Within 24 h for Unstable Spinal Metastases; A Stage I/IIa Study According to the IDEAL Framework","type":"article-journal","volume":"8"},"uris":["http://www.mendeley.com/documents/?uuid=57cdb16a-f188-4948-915c-597436798b62"]}],"mendeley":{"formattedCitation":"&lt;sup&gt;4&lt;/sup&gt;","plainTextFormattedCitation":"4","previouslyFormattedCitation":"&lt;sup&gt;4&lt;/sup&gt;"},"properties":{"noteIndex":0},"schema":"https://github.com/citation-style-language/schema/raw/master/csl-citation.json"}</w:instrText>
            </w:r>
            <w:r>
              <w:rPr>
                <w:sz w:val="18"/>
                <w:szCs w:val="18"/>
              </w:rPr>
              <w:fldChar w:fldCharType="separate"/>
            </w:r>
            <w:r>
              <w:rPr>
                <w:noProof/>
                <w:sz w:val="18"/>
                <w:szCs w:val="18"/>
                <w:vertAlign w:val="superscript"/>
              </w:rPr>
              <w:t>4</w:t>
            </w:r>
            <w:r>
              <w:rPr>
                <w:sz w:val="18"/>
                <w:szCs w:val="18"/>
              </w:rPr>
              <w:fldChar w:fldCharType="end"/>
            </w:r>
          </w:p>
        </w:tc>
      </w:tr>
      <w:tr w:rsidR="00F176D3">
        <w:tc>
          <w:tcPr>
            <w:tcW w:w="2269" w:type="dxa"/>
          </w:tcPr>
          <w:p w:rsidR="00F176D3" w:rsidRDefault="00F176D3">
            <w:pPr>
              <w:spacing w:line="240" w:lineRule="auto"/>
              <w:rPr>
                <w:sz w:val="18"/>
                <w:szCs w:val="18"/>
              </w:rPr>
            </w:pPr>
            <w:r>
              <w:rPr>
                <w:sz w:val="18"/>
                <w:szCs w:val="18"/>
              </w:rPr>
              <w:t>Harms</w:t>
            </w:r>
          </w:p>
        </w:tc>
        <w:tc>
          <w:tcPr>
            <w:tcW w:w="709" w:type="dxa"/>
            <w:gridSpan w:val="2"/>
          </w:tcPr>
          <w:p w:rsidR="00F176D3" w:rsidRDefault="00F176D3">
            <w:pPr>
              <w:spacing w:line="240" w:lineRule="auto"/>
              <w:jc w:val="center"/>
              <w:rPr>
                <w:sz w:val="18"/>
                <w:szCs w:val="18"/>
              </w:rPr>
            </w:pPr>
            <w:r>
              <w:rPr>
                <w:sz w:val="18"/>
                <w:szCs w:val="18"/>
              </w:rPr>
              <w:t>10</w:t>
            </w:r>
          </w:p>
        </w:tc>
        <w:tc>
          <w:tcPr>
            <w:tcW w:w="10862" w:type="dxa"/>
          </w:tcPr>
          <w:p w:rsidR="00F176D3" w:rsidRDefault="00F176D3">
            <w:pPr>
              <w:spacing w:line="240" w:lineRule="auto"/>
              <w:rPr>
                <w:sz w:val="18"/>
                <w:szCs w:val="18"/>
              </w:rPr>
            </w:pPr>
            <w:r>
              <w:rPr>
                <w:b/>
                <w:bCs/>
                <w:color w:val="000000"/>
                <w:sz w:val="18"/>
                <w:szCs w:val="18"/>
              </w:rPr>
              <w:t xml:space="preserve">Transparent account of all harms or unintended effects reported for each patient. </w:t>
            </w:r>
            <w:r>
              <w:rPr>
                <w:sz w:val="18"/>
                <w:szCs w:val="18"/>
              </w:rPr>
              <w:t xml:space="preserve">Example: </w:t>
            </w:r>
            <w:r>
              <w:rPr>
                <w:color w:val="000000"/>
                <w:sz w:val="18"/>
                <w:szCs w:val="18"/>
              </w:rPr>
              <w:t>“Adverse Events: In the interval between SBRT and surgery we observed two grade 1 adverse events; nausea and radiation dermatitis (erythema). Cement leakage outside the vertebral body was observed intra-operatively with fluoroscopy in three patients. In one patient, this caused grade 3 radiculitis due to compression of the exiting left L3 nerve root requiring re-operation to decompress the root…”</w:t>
            </w:r>
            <w:r>
              <w:rPr>
                <w:sz w:val="18"/>
                <w:szCs w:val="18"/>
              </w:rPr>
              <w:fldChar w:fldCharType="begin" w:fldLock="1"/>
            </w:r>
            <w:r>
              <w:rPr>
                <w:sz w:val="18"/>
                <w:szCs w:val="18"/>
              </w:rPr>
              <w:instrText>ADDIN CSL_CITATION {"citationItems":[{"id":"ITEM-1","itemData":{"DOI":"10.3389/fonc.2018.00626","ISSN":"2234-943X","author":[{"dropping-particle":"","family":"Versteeg","given":"Anne L.","non-dropping-particle":"","parse-names":false,"suffix":""},{"dropping-particle":"","family":"Velden","given":"Joanne M.","non-dropping-particle":"van der","parse-names":false,"suffix":""},{"dropping-particle":"","family":"Hes","given":"Jochem","non-dropping-particle":"","parse-names":false,"suffix":""},{"dropping-particle":"","family":"Eppinga","given":"Wietse","non-dropping-particle":"","parse-names":false,"suffix":""},{"dropping-particle":"","family":"Kasperts","given":"Nicolien","non-dropping-particle":"","parse-names":false,"suffix":""},{"dropping-particle":"","family":"Verkooijen","given":"Helena M.","non-dropping-particle":"","parse-names":false,"suffix":""},{"dropping-particle":"","family":"Oner","given":"F. C.","non-dropping-particle":"","parse-names":false,"suffix":""},{"dropping-particle":"","family":"Seravalli","given":"Enrica","non-dropping-particle":"","parse-names":false,"suffix":""},{"dropping-particle":"","family":"Verlaan","given":"Jorrit-jan","non-dropping-particle":"","parse-names":false,"suffix":""}],"container-title":"Frontiers in Oncology","id":"ITEM-1","issue":"December","issued":{"date-parts":[["2018","12","20"]]},"page":"1-7","title":"Stereotactic Radiotherapy Followed by Surgical Stabilization Within 24 h for Unstable Spinal Metastases; A Stage I/IIa Study According to the IDEAL Framework","type":"article-journal","volume":"8"},"uris":["http://www.mendeley.com/documents/?uuid=57cdb16a-f188-4948-915c-597436798b62"]}],"mendeley":{"formattedCitation":"&lt;sup&gt;4&lt;/sup&gt;","plainTextFormattedCitation":"4","previouslyFormattedCitation":"&lt;sup&gt;4&lt;/sup&gt;"},"properties":{"noteIndex":0},"schema":"https://github.com/citation-style-language/schema/raw/master/csl-citation.json"}</w:instrText>
            </w:r>
            <w:r>
              <w:rPr>
                <w:sz w:val="18"/>
                <w:szCs w:val="18"/>
              </w:rPr>
              <w:fldChar w:fldCharType="separate"/>
            </w:r>
            <w:r>
              <w:rPr>
                <w:noProof/>
                <w:sz w:val="18"/>
                <w:szCs w:val="18"/>
                <w:vertAlign w:val="superscript"/>
              </w:rPr>
              <w:t>4</w:t>
            </w:r>
            <w:r>
              <w:rPr>
                <w:sz w:val="18"/>
                <w:szCs w:val="18"/>
              </w:rPr>
              <w:fldChar w:fldCharType="end"/>
            </w:r>
          </w:p>
        </w:tc>
      </w:tr>
      <w:tr w:rsidR="00F176D3">
        <w:tc>
          <w:tcPr>
            <w:tcW w:w="2269" w:type="dxa"/>
            <w:tcBorders>
              <w:right w:val="nil"/>
            </w:tcBorders>
          </w:tcPr>
          <w:p w:rsidR="00F176D3" w:rsidRDefault="00F176D3">
            <w:pPr>
              <w:spacing w:line="240" w:lineRule="auto"/>
              <w:rPr>
                <w:b/>
                <w:bCs/>
                <w:sz w:val="18"/>
                <w:szCs w:val="18"/>
              </w:rPr>
            </w:pPr>
            <w:r>
              <w:rPr>
                <w:b/>
                <w:bCs/>
                <w:sz w:val="18"/>
                <w:szCs w:val="18"/>
              </w:rPr>
              <w:t>Discussion</w:t>
            </w:r>
          </w:p>
        </w:tc>
        <w:tc>
          <w:tcPr>
            <w:tcW w:w="709" w:type="dxa"/>
            <w:gridSpan w:val="2"/>
            <w:tcBorders>
              <w:left w:val="nil"/>
              <w:right w:val="nil"/>
            </w:tcBorders>
          </w:tcPr>
          <w:p w:rsidR="00F176D3" w:rsidRDefault="00F176D3">
            <w:pPr>
              <w:spacing w:line="240" w:lineRule="auto"/>
              <w:jc w:val="center"/>
              <w:rPr>
                <w:sz w:val="18"/>
                <w:szCs w:val="18"/>
              </w:rPr>
            </w:pPr>
          </w:p>
        </w:tc>
        <w:tc>
          <w:tcPr>
            <w:tcW w:w="10862" w:type="dxa"/>
            <w:tcBorders>
              <w:left w:val="nil"/>
            </w:tcBorders>
          </w:tcPr>
          <w:p w:rsidR="00F176D3" w:rsidRDefault="00F176D3">
            <w:pPr>
              <w:spacing w:line="240" w:lineRule="auto"/>
              <w:rPr>
                <w:b/>
                <w:bCs/>
                <w:color w:val="000000"/>
                <w:sz w:val="18"/>
                <w:szCs w:val="18"/>
              </w:rPr>
            </w:pPr>
          </w:p>
        </w:tc>
      </w:tr>
      <w:tr w:rsidR="00F176D3">
        <w:tc>
          <w:tcPr>
            <w:tcW w:w="2269" w:type="dxa"/>
          </w:tcPr>
          <w:p w:rsidR="00F176D3" w:rsidRDefault="00F176D3">
            <w:pPr>
              <w:spacing w:line="240" w:lineRule="auto"/>
              <w:rPr>
                <w:sz w:val="18"/>
                <w:szCs w:val="18"/>
              </w:rPr>
            </w:pPr>
            <w:r>
              <w:rPr>
                <w:sz w:val="18"/>
                <w:szCs w:val="18"/>
              </w:rPr>
              <w:t>Stage End-Points</w:t>
            </w:r>
          </w:p>
        </w:tc>
        <w:tc>
          <w:tcPr>
            <w:tcW w:w="709" w:type="dxa"/>
            <w:gridSpan w:val="2"/>
          </w:tcPr>
          <w:p w:rsidR="00F176D3" w:rsidRDefault="00F176D3">
            <w:pPr>
              <w:spacing w:line="240" w:lineRule="auto"/>
              <w:jc w:val="center"/>
              <w:rPr>
                <w:sz w:val="18"/>
                <w:szCs w:val="18"/>
              </w:rPr>
            </w:pPr>
            <w:r>
              <w:rPr>
                <w:sz w:val="18"/>
                <w:szCs w:val="18"/>
              </w:rPr>
              <w:t>11</w:t>
            </w:r>
          </w:p>
        </w:tc>
        <w:tc>
          <w:tcPr>
            <w:tcW w:w="10862" w:type="dxa"/>
          </w:tcPr>
          <w:p w:rsidR="00F176D3" w:rsidRDefault="00F176D3">
            <w:pPr>
              <w:spacing w:line="240" w:lineRule="auto"/>
              <w:rPr>
                <w:sz w:val="18"/>
                <w:szCs w:val="18"/>
              </w:rPr>
            </w:pPr>
            <w:r>
              <w:rPr>
                <w:b/>
                <w:bCs/>
                <w:color w:val="000000"/>
                <w:sz w:val="18"/>
                <w:szCs w:val="18"/>
              </w:rPr>
              <w:t>Author’s overall appraisal of the new technique, including discussion of risks and harms reported and suggestions to avoid them in future cases based on initial experience.</w:t>
            </w:r>
            <w:r>
              <w:rPr>
                <w:sz w:val="18"/>
                <w:szCs w:val="18"/>
              </w:rPr>
              <w:t xml:space="preserve"> Example</w:t>
            </w:r>
            <w:r>
              <w:rPr>
                <w:color w:val="000000"/>
                <w:sz w:val="18"/>
                <w:szCs w:val="18"/>
              </w:rPr>
              <w:t xml:space="preserve">: “Our findings show that penile allotransplantation is feasible and can result in restoration of sexual function, penile sensation, and normal urination.” “Although the results of the transplant have been rewarding, we are aware that the potential long-term consequences of sustained immunosuppression remain a risk and will be monitored for carefully.” </w:t>
            </w:r>
            <w:r>
              <w:rPr>
                <w:color w:val="000000"/>
                <w:sz w:val="18"/>
                <w:szCs w:val="18"/>
              </w:rPr>
              <w:fldChar w:fldCharType="begin" w:fldLock="1"/>
            </w:r>
            <w:r>
              <w:rPr>
                <w:color w:val="000000"/>
                <w:sz w:val="18"/>
                <w:szCs w:val="18"/>
              </w:rPr>
              <w:instrText>ADDIN CSL_CITATION {"citationItems":[{"id":"ITEM-1","itemData":{"DOI":"10.1016/S0140-6736(17)31807-X","author":[{"dropping-particle":"Van Der","family":"Merwe","given":"André","non-dropping-particle":"","parse-names":false,"suffix":""},{"dropping-particle":"","family":"Graewe","given":"Frank","non-dropping-particle":"","parse-names":false,"suffix":""},{"dropping-particle":"","family":"Zühlke","given":"Alexander","non-dropping-particle":"","parse-names":false,"suffix":""},{"dropping-particle":"","family":"Barsdorf","given":"Nicola W","non-dropping-particle":"","parse-names":false,"suffix":""},{"dropping-particle":"","family":"Zarrabi","given":"Amir D","non-dropping-particle":"","parse-names":false,"suffix":""},{"dropping-particle":"","family":"Viljoen","given":"Jeremy T","non-dropping-particle":"","parse-names":false,"suffix":""},{"dropping-particle":"","family":"Ackermann","given":"Hilgard","non-dropping-particle":"","parse-names":false,"suffix":""},{"dropping-particle":"V","family":"Spies","given":"Pieter","non-dropping-particle":"","parse-names":false,"suffix":""}],"id":"ITEM-1","issued":{"date-parts":[["2017"]]},"title":"Penile allotransplantation for penis amputation following ritual circumcision : a case report with 24 months of follow-up","type":"article-journal","volume":"390"},"uris":["http://www.mendeley.com/documents/?uuid=8a0ecce3-9c2e-4624-878d-7c33051d6ea1"]}],"mendeley":{"formattedCitation":"&lt;sup&gt;2&lt;/sup&gt;","plainTextFormattedCitation":"2","previouslyFormattedCitation":"&lt;sup&gt;2&lt;/sup&gt;"},"properties":{"noteIndex":0},"schema":"https://github.com/citation-style-language/schema/raw/master/csl-citation.json"}</w:instrText>
            </w:r>
            <w:r>
              <w:rPr>
                <w:color w:val="000000"/>
                <w:sz w:val="18"/>
                <w:szCs w:val="18"/>
              </w:rPr>
              <w:fldChar w:fldCharType="separate"/>
            </w:r>
            <w:r>
              <w:rPr>
                <w:noProof/>
                <w:color w:val="000000"/>
                <w:sz w:val="18"/>
                <w:szCs w:val="18"/>
                <w:vertAlign w:val="superscript"/>
              </w:rPr>
              <w:t>2</w:t>
            </w:r>
            <w:r>
              <w:rPr>
                <w:color w:val="000000"/>
                <w:sz w:val="18"/>
                <w:szCs w:val="18"/>
              </w:rPr>
              <w:fldChar w:fldCharType="end"/>
            </w:r>
          </w:p>
        </w:tc>
      </w:tr>
      <w:tr w:rsidR="00F176D3">
        <w:trPr>
          <w:trHeight w:val="413"/>
        </w:trPr>
        <w:tc>
          <w:tcPr>
            <w:tcW w:w="2269" w:type="dxa"/>
            <w:tcBorders>
              <w:bottom w:val="single" w:sz="4" w:space="0" w:color="FFFFFF"/>
            </w:tcBorders>
          </w:tcPr>
          <w:p w:rsidR="00F176D3" w:rsidRDefault="00F176D3">
            <w:pPr>
              <w:spacing w:line="240" w:lineRule="auto"/>
              <w:rPr>
                <w:sz w:val="18"/>
                <w:szCs w:val="18"/>
              </w:rPr>
            </w:pPr>
            <w:r>
              <w:rPr>
                <w:sz w:val="18"/>
                <w:szCs w:val="18"/>
              </w:rPr>
              <w:t>Conclusions</w:t>
            </w:r>
          </w:p>
        </w:tc>
        <w:tc>
          <w:tcPr>
            <w:tcW w:w="709" w:type="dxa"/>
            <w:gridSpan w:val="2"/>
          </w:tcPr>
          <w:p w:rsidR="00F176D3" w:rsidRDefault="00F176D3">
            <w:pPr>
              <w:spacing w:line="240" w:lineRule="auto"/>
              <w:jc w:val="center"/>
              <w:rPr>
                <w:sz w:val="18"/>
                <w:szCs w:val="18"/>
              </w:rPr>
            </w:pPr>
            <w:r>
              <w:rPr>
                <w:sz w:val="18"/>
                <w:szCs w:val="18"/>
              </w:rPr>
              <w:t>12</w:t>
            </w:r>
          </w:p>
        </w:tc>
        <w:tc>
          <w:tcPr>
            <w:tcW w:w="10862" w:type="dxa"/>
          </w:tcPr>
          <w:p w:rsidR="00F176D3" w:rsidRDefault="00F176D3">
            <w:pPr>
              <w:spacing w:line="240" w:lineRule="auto"/>
              <w:rPr>
                <w:color w:val="C00000"/>
                <w:sz w:val="18"/>
                <w:szCs w:val="18"/>
              </w:rPr>
            </w:pPr>
            <w:r>
              <w:rPr>
                <w:b/>
                <w:bCs/>
                <w:color w:val="000000"/>
                <w:sz w:val="18"/>
                <w:szCs w:val="18"/>
              </w:rPr>
              <w:t xml:space="preserve">Conclusions and relevance, including plans to progress to future IDEAL stages, or plans to discontinue further research. </w:t>
            </w:r>
            <w:r>
              <w:rPr>
                <w:sz w:val="18"/>
                <w:szCs w:val="18"/>
              </w:rPr>
              <w:t xml:space="preserve">Example: </w:t>
            </w:r>
            <w:r>
              <w:rPr>
                <w:color w:val="000000"/>
                <w:sz w:val="18"/>
                <w:szCs w:val="18"/>
              </w:rPr>
              <w:t>“In conclusion, this study demonstrated the safety and feasibility of SBRT, with active sparing of the surgical area, followed by surgical stabilization within 24 h for the treatment of symptomatic unstable spinal metastases with none of the patients demonstrating disturbed wound healing.“ ” An IDEAL stage IIb study is currently planned to evaluate the effectiveness of the new treatment strategy and to obtain additional data to potentially change the standard of care for patients with symptomatic unstable spinal metastases.”</w:t>
            </w:r>
            <w:r>
              <w:rPr>
                <w:sz w:val="18"/>
                <w:szCs w:val="18"/>
              </w:rPr>
              <w:t xml:space="preserve"> </w:t>
            </w:r>
            <w:r>
              <w:rPr>
                <w:sz w:val="18"/>
                <w:szCs w:val="18"/>
              </w:rPr>
              <w:fldChar w:fldCharType="begin" w:fldLock="1"/>
            </w:r>
            <w:r>
              <w:rPr>
                <w:sz w:val="18"/>
                <w:szCs w:val="18"/>
              </w:rPr>
              <w:instrText>ADDIN CSL_CITATION {"citationItems":[{"id":"ITEM-1","itemData":{"DOI":"10.3389/fonc.2018.00626","ISSN":"2234-943X","author":[{"dropping-particle":"","family":"Versteeg","given":"Anne L.","non-dropping-particle":"","parse-names":false,"suffix":""},{"dropping-particle":"","family":"Velden","given":"Joanne M.","non-dropping-particle":"van der","parse-names":false,"suffix":""},{"dropping-particle":"","family":"Hes","given":"Jochem","non-dropping-particle":"","parse-names":false,"suffix":""},{"dropping-particle":"","family":"Eppinga","given":"Wietse","non-dropping-particle":"","parse-names":false,"suffix":""},{"dropping-particle":"","family":"Kasperts","given":"Nicolien","non-dropping-particle":"","parse-names":false,"suffix":""},{"dropping-particle":"","family":"Verkooijen","given":"Helena M.","non-dropping-particle":"","parse-names":false,"suffix":""},{"dropping-particle":"","family":"Oner","given":"F. C.","non-dropping-particle":"","parse-names":false,"suffix":""},{"dropping-particle":"","family":"Seravalli","given":"Enrica","non-dropping-particle":"","parse-names":false,"suffix":""},{"dropping-particle":"","family":"Verlaan","given":"Jorrit-jan","non-dropping-particle":"","parse-names":false,"suffix":""}],"container-title":"Frontiers in Oncology","id":"ITEM-1","issue":"December","issued":{"date-parts":[["2018","12","20"]]},"page":"1-7","title":"Stereotactic Radiotherapy Followed by Surgical Stabilization Within 24 h for Unstable Spinal Metastases; A Stage I/IIa Study According to the IDEAL Framework","type":"article-journal","volume":"8"},"uris":["http://www.mendeley.com/documents/?uuid=57cdb16a-f188-4948-915c-597436798b62"]}],"mendeley":{"formattedCitation":"&lt;sup&gt;4&lt;/sup&gt;","plainTextFormattedCitation":"4","previouslyFormattedCitation":"&lt;sup&gt;4&lt;/sup&gt;"},"properties":{"noteIndex":0},"schema":"https://github.com/citation-style-language/schema/raw/master/csl-citation.json"}</w:instrText>
            </w:r>
            <w:r>
              <w:rPr>
                <w:sz w:val="18"/>
                <w:szCs w:val="18"/>
              </w:rPr>
              <w:fldChar w:fldCharType="separate"/>
            </w:r>
            <w:r>
              <w:rPr>
                <w:noProof/>
                <w:sz w:val="18"/>
                <w:szCs w:val="18"/>
                <w:vertAlign w:val="superscript"/>
              </w:rPr>
              <w:t>4</w:t>
            </w:r>
            <w:r>
              <w:rPr>
                <w:sz w:val="18"/>
                <w:szCs w:val="18"/>
              </w:rPr>
              <w:fldChar w:fldCharType="end"/>
            </w:r>
          </w:p>
        </w:tc>
      </w:tr>
      <w:tr w:rsidR="00F176D3">
        <w:tc>
          <w:tcPr>
            <w:tcW w:w="2269" w:type="dxa"/>
            <w:tcBorders>
              <w:right w:val="nil"/>
            </w:tcBorders>
          </w:tcPr>
          <w:p w:rsidR="00F176D3" w:rsidRDefault="00F176D3">
            <w:pPr>
              <w:spacing w:line="240" w:lineRule="auto"/>
              <w:rPr>
                <w:b/>
                <w:bCs/>
                <w:color w:val="000000"/>
                <w:sz w:val="18"/>
                <w:szCs w:val="18"/>
              </w:rPr>
            </w:pPr>
            <w:r>
              <w:rPr>
                <w:b/>
                <w:bCs/>
                <w:color w:val="000000"/>
                <w:sz w:val="18"/>
                <w:szCs w:val="18"/>
              </w:rPr>
              <w:t>Other Information</w:t>
            </w:r>
          </w:p>
        </w:tc>
        <w:tc>
          <w:tcPr>
            <w:tcW w:w="709" w:type="dxa"/>
            <w:gridSpan w:val="2"/>
            <w:tcBorders>
              <w:left w:val="nil"/>
              <w:right w:val="nil"/>
            </w:tcBorders>
          </w:tcPr>
          <w:p w:rsidR="00F176D3" w:rsidRDefault="00F176D3">
            <w:pPr>
              <w:spacing w:line="240" w:lineRule="auto"/>
              <w:jc w:val="center"/>
              <w:rPr>
                <w:color w:val="000000"/>
                <w:sz w:val="18"/>
                <w:szCs w:val="18"/>
              </w:rPr>
            </w:pPr>
          </w:p>
        </w:tc>
        <w:tc>
          <w:tcPr>
            <w:tcW w:w="10862" w:type="dxa"/>
            <w:tcBorders>
              <w:left w:val="nil"/>
            </w:tcBorders>
          </w:tcPr>
          <w:p w:rsidR="00F176D3" w:rsidRDefault="00F176D3">
            <w:pPr>
              <w:spacing w:line="240" w:lineRule="auto"/>
              <w:rPr>
                <w:color w:val="000000"/>
                <w:sz w:val="18"/>
                <w:szCs w:val="18"/>
              </w:rPr>
            </w:pPr>
          </w:p>
        </w:tc>
      </w:tr>
      <w:tr w:rsidR="00F176D3">
        <w:tc>
          <w:tcPr>
            <w:tcW w:w="2269" w:type="dxa"/>
            <w:tcBorders>
              <w:bottom w:val="nil"/>
            </w:tcBorders>
          </w:tcPr>
          <w:p w:rsidR="00F176D3" w:rsidRDefault="00F176D3">
            <w:pPr>
              <w:spacing w:line="240" w:lineRule="auto"/>
              <w:rPr>
                <w:color w:val="000000"/>
                <w:sz w:val="18"/>
                <w:szCs w:val="18"/>
              </w:rPr>
            </w:pPr>
            <w:r>
              <w:rPr>
                <w:color w:val="000000"/>
                <w:sz w:val="18"/>
                <w:szCs w:val="18"/>
              </w:rPr>
              <w:t>Protocol</w:t>
            </w:r>
          </w:p>
        </w:tc>
        <w:tc>
          <w:tcPr>
            <w:tcW w:w="709" w:type="dxa"/>
            <w:gridSpan w:val="2"/>
            <w:tcBorders>
              <w:bottom w:val="nil"/>
            </w:tcBorders>
          </w:tcPr>
          <w:p w:rsidR="00F176D3" w:rsidRDefault="00F176D3">
            <w:pPr>
              <w:spacing w:line="240" w:lineRule="auto"/>
              <w:jc w:val="center"/>
              <w:rPr>
                <w:color w:val="000000"/>
                <w:sz w:val="18"/>
                <w:szCs w:val="18"/>
              </w:rPr>
            </w:pPr>
            <w:r>
              <w:rPr>
                <w:color w:val="000000"/>
                <w:sz w:val="18"/>
                <w:szCs w:val="18"/>
              </w:rPr>
              <w:t>13</w:t>
            </w:r>
          </w:p>
        </w:tc>
        <w:tc>
          <w:tcPr>
            <w:tcW w:w="10862" w:type="dxa"/>
          </w:tcPr>
          <w:p w:rsidR="00F176D3" w:rsidRDefault="00F176D3">
            <w:pPr>
              <w:spacing w:line="240" w:lineRule="auto"/>
              <w:rPr>
                <w:b/>
                <w:bCs/>
                <w:color w:val="000000"/>
                <w:sz w:val="18"/>
                <w:szCs w:val="18"/>
              </w:rPr>
            </w:pPr>
            <w:r>
              <w:rPr>
                <w:b/>
                <w:bCs/>
                <w:color w:val="000000"/>
                <w:sz w:val="18"/>
                <w:szCs w:val="18"/>
              </w:rPr>
              <w:t>Please quote reference or DOI if a protocol was written in advance and made available. If a protocol was not made available, consider including as a supplement if the journal allows</w:t>
            </w:r>
          </w:p>
        </w:tc>
      </w:tr>
      <w:tr w:rsidR="00F176D3">
        <w:trPr>
          <w:trHeight w:val="305"/>
        </w:trPr>
        <w:tc>
          <w:tcPr>
            <w:tcW w:w="2269" w:type="dxa"/>
            <w:tcBorders>
              <w:top w:val="nil"/>
              <w:bottom w:val="nil"/>
            </w:tcBorders>
          </w:tcPr>
          <w:p w:rsidR="00F176D3" w:rsidRDefault="00F176D3">
            <w:pPr>
              <w:spacing w:line="240" w:lineRule="auto"/>
              <w:rPr>
                <w:sz w:val="18"/>
                <w:szCs w:val="18"/>
              </w:rPr>
            </w:pPr>
            <w:r>
              <w:rPr>
                <w:sz w:val="18"/>
                <w:szCs w:val="18"/>
              </w:rPr>
              <w:t>Ethics</w:t>
            </w:r>
          </w:p>
        </w:tc>
        <w:tc>
          <w:tcPr>
            <w:tcW w:w="709" w:type="dxa"/>
            <w:gridSpan w:val="2"/>
            <w:tcBorders>
              <w:top w:val="nil"/>
              <w:bottom w:val="nil"/>
            </w:tcBorders>
          </w:tcPr>
          <w:p w:rsidR="00F176D3" w:rsidRDefault="00F176D3">
            <w:pPr>
              <w:spacing w:line="240" w:lineRule="auto"/>
              <w:jc w:val="center"/>
              <w:rPr>
                <w:sz w:val="18"/>
                <w:szCs w:val="18"/>
              </w:rPr>
            </w:pPr>
            <w:r>
              <w:rPr>
                <w:sz w:val="18"/>
                <w:szCs w:val="18"/>
              </w:rPr>
              <w:t>14</w:t>
            </w:r>
          </w:p>
        </w:tc>
        <w:tc>
          <w:tcPr>
            <w:tcW w:w="10862" w:type="dxa"/>
          </w:tcPr>
          <w:p w:rsidR="00F176D3" w:rsidRDefault="00F176D3">
            <w:pPr>
              <w:spacing w:line="240" w:lineRule="auto"/>
              <w:rPr>
                <w:b/>
                <w:bCs/>
                <w:sz w:val="18"/>
                <w:szCs w:val="18"/>
              </w:rPr>
            </w:pPr>
            <w:r>
              <w:rPr>
                <w:b/>
                <w:bCs/>
                <w:sz w:val="18"/>
                <w:szCs w:val="18"/>
              </w:rPr>
              <w:t xml:space="preserve">Reference to ethical approvals obtained, and independent </w:t>
            </w:r>
            <w:r>
              <w:rPr>
                <w:b/>
                <w:bCs/>
                <w:color w:val="000000"/>
                <w:sz w:val="18"/>
                <w:szCs w:val="18"/>
              </w:rPr>
              <w:t>oversight, if applicable</w:t>
            </w:r>
          </w:p>
        </w:tc>
      </w:tr>
      <w:tr w:rsidR="00F176D3">
        <w:tc>
          <w:tcPr>
            <w:tcW w:w="2269" w:type="dxa"/>
            <w:tcBorders>
              <w:top w:val="nil"/>
              <w:bottom w:val="nil"/>
            </w:tcBorders>
          </w:tcPr>
          <w:p w:rsidR="00F176D3" w:rsidRDefault="00F176D3">
            <w:pPr>
              <w:spacing w:line="240" w:lineRule="auto"/>
              <w:rPr>
                <w:i/>
                <w:iCs/>
                <w:caps/>
                <w:sz w:val="18"/>
                <w:szCs w:val="18"/>
              </w:rPr>
            </w:pPr>
            <w:r>
              <w:rPr>
                <w:sz w:val="18"/>
                <w:szCs w:val="18"/>
              </w:rPr>
              <w:t>Funding</w:t>
            </w:r>
          </w:p>
        </w:tc>
        <w:tc>
          <w:tcPr>
            <w:tcW w:w="709" w:type="dxa"/>
            <w:gridSpan w:val="2"/>
            <w:tcBorders>
              <w:top w:val="nil"/>
              <w:bottom w:val="nil"/>
            </w:tcBorders>
          </w:tcPr>
          <w:p w:rsidR="00F176D3" w:rsidRDefault="00F176D3">
            <w:pPr>
              <w:spacing w:line="240" w:lineRule="auto"/>
              <w:jc w:val="center"/>
              <w:rPr>
                <w:sz w:val="18"/>
                <w:szCs w:val="18"/>
              </w:rPr>
            </w:pPr>
            <w:r>
              <w:rPr>
                <w:sz w:val="18"/>
                <w:szCs w:val="18"/>
              </w:rPr>
              <w:t>15</w:t>
            </w:r>
          </w:p>
        </w:tc>
        <w:tc>
          <w:tcPr>
            <w:tcW w:w="10862" w:type="dxa"/>
          </w:tcPr>
          <w:p w:rsidR="00F176D3" w:rsidRDefault="00F176D3">
            <w:pPr>
              <w:spacing w:line="240" w:lineRule="auto"/>
              <w:rPr>
                <w:b/>
                <w:bCs/>
                <w:sz w:val="18"/>
                <w:szCs w:val="18"/>
                <w:lang w:val="en-CA"/>
              </w:rPr>
            </w:pPr>
            <w:r>
              <w:rPr>
                <w:b/>
                <w:bCs/>
                <w:sz w:val="18"/>
                <w:szCs w:val="18"/>
              </w:rPr>
              <w:t xml:space="preserve">Sources of funding </w:t>
            </w:r>
            <w:r>
              <w:rPr>
                <w:b/>
                <w:bCs/>
                <w:sz w:val="18"/>
                <w:szCs w:val="18"/>
                <w:lang w:val="en-CA"/>
              </w:rPr>
              <w:t xml:space="preserve">and support, role of </w:t>
            </w:r>
            <w:r>
              <w:rPr>
                <w:b/>
                <w:bCs/>
                <w:color w:val="000000"/>
                <w:sz w:val="18"/>
                <w:szCs w:val="18"/>
                <w:lang w:val="en-CA"/>
              </w:rPr>
              <w:t>funders, and other conflicts of interest</w:t>
            </w:r>
          </w:p>
        </w:tc>
      </w:tr>
      <w:tr w:rsidR="00F176D3">
        <w:tc>
          <w:tcPr>
            <w:tcW w:w="2269" w:type="dxa"/>
            <w:tcBorders>
              <w:top w:val="nil"/>
            </w:tcBorders>
          </w:tcPr>
          <w:p w:rsidR="00F176D3" w:rsidRDefault="00F176D3">
            <w:pPr>
              <w:spacing w:line="240" w:lineRule="auto"/>
              <w:rPr>
                <w:sz w:val="18"/>
                <w:szCs w:val="18"/>
              </w:rPr>
            </w:pPr>
            <w:r>
              <w:rPr>
                <w:sz w:val="18"/>
                <w:szCs w:val="18"/>
              </w:rPr>
              <w:t>Regulatory Approvals</w:t>
            </w:r>
          </w:p>
        </w:tc>
        <w:tc>
          <w:tcPr>
            <w:tcW w:w="709" w:type="dxa"/>
            <w:gridSpan w:val="2"/>
            <w:tcBorders>
              <w:top w:val="nil"/>
            </w:tcBorders>
          </w:tcPr>
          <w:p w:rsidR="00F176D3" w:rsidRDefault="00F176D3">
            <w:pPr>
              <w:spacing w:line="240" w:lineRule="auto"/>
              <w:jc w:val="center"/>
              <w:rPr>
                <w:sz w:val="18"/>
                <w:szCs w:val="18"/>
              </w:rPr>
            </w:pPr>
            <w:r>
              <w:rPr>
                <w:sz w:val="18"/>
                <w:szCs w:val="18"/>
              </w:rPr>
              <w:t>16</w:t>
            </w:r>
          </w:p>
        </w:tc>
        <w:tc>
          <w:tcPr>
            <w:tcW w:w="10862" w:type="dxa"/>
          </w:tcPr>
          <w:p w:rsidR="00F176D3" w:rsidRDefault="00F176D3">
            <w:pPr>
              <w:spacing w:line="240" w:lineRule="auto"/>
              <w:rPr>
                <w:b/>
                <w:bCs/>
                <w:sz w:val="18"/>
                <w:szCs w:val="18"/>
              </w:rPr>
            </w:pPr>
            <w:r>
              <w:rPr>
                <w:b/>
                <w:bCs/>
                <w:sz w:val="18"/>
                <w:szCs w:val="18"/>
              </w:rPr>
              <w:t>Regulatory approvals being sought or obtained (e.g. CE Marking, FDA approval, etc) including the date of approval, if applicable</w:t>
            </w:r>
          </w:p>
        </w:tc>
      </w:tr>
      <w:tr w:rsidR="00F176D3">
        <w:tc>
          <w:tcPr>
            <w:tcW w:w="2320" w:type="dxa"/>
            <w:gridSpan w:val="2"/>
            <w:tcBorders>
              <w:left w:val="nil"/>
              <w:right w:val="nil"/>
            </w:tcBorders>
          </w:tcPr>
          <w:p w:rsidR="00F176D3" w:rsidRDefault="00F176D3">
            <w:pPr>
              <w:spacing w:before="80" w:after="80" w:line="240" w:lineRule="auto"/>
              <w:rPr>
                <w:b/>
                <w:bCs/>
                <w:sz w:val="18"/>
                <w:szCs w:val="18"/>
              </w:rPr>
            </w:pPr>
          </w:p>
        </w:tc>
        <w:tc>
          <w:tcPr>
            <w:tcW w:w="658" w:type="dxa"/>
            <w:tcBorders>
              <w:left w:val="nil"/>
              <w:right w:val="nil"/>
            </w:tcBorders>
          </w:tcPr>
          <w:p w:rsidR="00F176D3" w:rsidRDefault="00F176D3">
            <w:pPr>
              <w:spacing w:before="80" w:after="80" w:line="240" w:lineRule="auto"/>
              <w:jc w:val="center"/>
              <w:rPr>
                <w:sz w:val="18"/>
                <w:szCs w:val="18"/>
              </w:rPr>
            </w:pPr>
          </w:p>
        </w:tc>
        <w:tc>
          <w:tcPr>
            <w:tcW w:w="10862" w:type="dxa"/>
            <w:tcBorders>
              <w:left w:val="nil"/>
              <w:right w:val="nil"/>
            </w:tcBorders>
          </w:tcPr>
          <w:p w:rsidR="00F176D3" w:rsidRDefault="00F176D3">
            <w:pPr>
              <w:spacing w:before="80" w:after="80" w:line="240" w:lineRule="auto"/>
              <w:rPr>
                <w:sz w:val="18"/>
                <w:szCs w:val="18"/>
              </w:rPr>
            </w:pPr>
          </w:p>
        </w:tc>
      </w:tr>
      <w:tr w:rsidR="00F176D3">
        <w:tc>
          <w:tcPr>
            <w:tcW w:w="2320" w:type="dxa"/>
            <w:gridSpan w:val="2"/>
            <w:tcBorders>
              <w:right w:val="nil"/>
            </w:tcBorders>
            <w:shd w:val="clear" w:color="auto" w:fill="DEEAF6"/>
          </w:tcPr>
          <w:p w:rsidR="00F176D3" w:rsidRDefault="00F176D3">
            <w:pPr>
              <w:spacing w:before="80" w:after="80" w:line="240" w:lineRule="auto"/>
              <w:rPr>
                <w:b/>
                <w:bCs/>
                <w:sz w:val="18"/>
                <w:szCs w:val="18"/>
              </w:rPr>
            </w:pPr>
            <w:r>
              <w:rPr>
                <w:b/>
                <w:bCs/>
                <w:sz w:val="18"/>
                <w:szCs w:val="18"/>
              </w:rPr>
              <w:t>STAGE 2a</w:t>
            </w:r>
          </w:p>
        </w:tc>
        <w:tc>
          <w:tcPr>
            <w:tcW w:w="658" w:type="dxa"/>
            <w:tcBorders>
              <w:left w:val="nil"/>
              <w:right w:val="nil"/>
            </w:tcBorders>
            <w:shd w:val="clear" w:color="auto" w:fill="DEEAF6"/>
          </w:tcPr>
          <w:p w:rsidR="00F176D3" w:rsidRDefault="00F176D3">
            <w:pPr>
              <w:spacing w:before="80" w:after="80" w:line="240" w:lineRule="auto"/>
              <w:jc w:val="center"/>
              <w:rPr>
                <w:sz w:val="18"/>
                <w:szCs w:val="18"/>
              </w:rPr>
            </w:pPr>
          </w:p>
        </w:tc>
        <w:tc>
          <w:tcPr>
            <w:tcW w:w="10862" w:type="dxa"/>
            <w:tcBorders>
              <w:left w:val="nil"/>
            </w:tcBorders>
            <w:shd w:val="clear" w:color="auto" w:fill="DEEAF6"/>
          </w:tcPr>
          <w:p w:rsidR="00F176D3" w:rsidRDefault="00F176D3">
            <w:pPr>
              <w:spacing w:before="80" w:after="80" w:line="240" w:lineRule="auto"/>
              <w:rPr>
                <w:sz w:val="18"/>
                <w:szCs w:val="18"/>
              </w:rPr>
            </w:pPr>
          </w:p>
        </w:tc>
      </w:tr>
      <w:tr w:rsidR="00F176D3">
        <w:tc>
          <w:tcPr>
            <w:tcW w:w="2320" w:type="dxa"/>
            <w:gridSpan w:val="2"/>
            <w:tcBorders>
              <w:bottom w:val="nil"/>
            </w:tcBorders>
            <w:shd w:val="clear" w:color="auto" w:fill="FFFFFF"/>
          </w:tcPr>
          <w:p w:rsidR="00F176D3" w:rsidRDefault="00F176D3">
            <w:pPr>
              <w:spacing w:before="80" w:after="80" w:line="240" w:lineRule="auto"/>
              <w:rPr>
                <w:b/>
                <w:bCs/>
                <w:sz w:val="18"/>
                <w:szCs w:val="18"/>
              </w:rPr>
            </w:pPr>
            <w:r>
              <w:rPr>
                <w:sz w:val="18"/>
                <w:szCs w:val="18"/>
              </w:rPr>
              <w:t>Title and Abstract</w:t>
            </w:r>
          </w:p>
        </w:tc>
        <w:tc>
          <w:tcPr>
            <w:tcW w:w="658" w:type="dxa"/>
            <w:tcBorders>
              <w:bottom w:val="nil"/>
            </w:tcBorders>
            <w:shd w:val="clear" w:color="auto" w:fill="FFFFFF"/>
          </w:tcPr>
          <w:p w:rsidR="00F176D3" w:rsidRDefault="00F176D3">
            <w:pPr>
              <w:spacing w:before="80" w:after="80" w:line="240" w:lineRule="auto"/>
              <w:jc w:val="center"/>
              <w:rPr>
                <w:sz w:val="18"/>
                <w:szCs w:val="18"/>
              </w:rPr>
            </w:pPr>
            <w:r>
              <w:rPr>
                <w:sz w:val="18"/>
                <w:szCs w:val="18"/>
              </w:rPr>
              <w:t>1a</w:t>
            </w:r>
          </w:p>
        </w:tc>
        <w:tc>
          <w:tcPr>
            <w:tcW w:w="10862" w:type="dxa"/>
            <w:shd w:val="clear" w:color="auto" w:fill="FFFFFF"/>
          </w:tcPr>
          <w:p w:rsidR="00F176D3" w:rsidRDefault="00F176D3">
            <w:pPr>
              <w:spacing w:before="80" w:after="80" w:line="240" w:lineRule="auto"/>
              <w:rPr>
                <w:sz w:val="18"/>
                <w:szCs w:val="18"/>
              </w:rPr>
            </w:pPr>
            <w:r>
              <w:rPr>
                <w:b/>
                <w:bCs/>
                <w:sz w:val="18"/>
                <w:szCs w:val="18"/>
                <w:lang w:val="en"/>
              </w:rPr>
              <w:t>Identification as a prospective case series of a novel technique in the title, including the IDEAL stage in the title or abstract.</w:t>
            </w:r>
          </w:p>
        </w:tc>
      </w:tr>
      <w:tr w:rsidR="00F176D3">
        <w:tc>
          <w:tcPr>
            <w:tcW w:w="2320" w:type="dxa"/>
            <w:gridSpan w:val="2"/>
            <w:tcBorders>
              <w:top w:val="nil"/>
            </w:tcBorders>
            <w:shd w:val="clear" w:color="auto" w:fill="FFFFFF"/>
          </w:tcPr>
          <w:p w:rsidR="00F176D3" w:rsidRDefault="00F176D3">
            <w:pPr>
              <w:spacing w:before="80" w:after="80" w:line="240" w:lineRule="auto"/>
              <w:rPr>
                <w:b/>
                <w:bCs/>
                <w:sz w:val="18"/>
                <w:szCs w:val="18"/>
              </w:rPr>
            </w:pPr>
          </w:p>
        </w:tc>
        <w:tc>
          <w:tcPr>
            <w:tcW w:w="658" w:type="dxa"/>
            <w:tcBorders>
              <w:top w:val="nil"/>
            </w:tcBorders>
            <w:shd w:val="clear" w:color="auto" w:fill="FFFFFF"/>
          </w:tcPr>
          <w:p w:rsidR="00F176D3" w:rsidRDefault="00F176D3">
            <w:pPr>
              <w:spacing w:before="80" w:after="80" w:line="240" w:lineRule="auto"/>
              <w:jc w:val="center"/>
              <w:rPr>
                <w:sz w:val="18"/>
                <w:szCs w:val="18"/>
              </w:rPr>
            </w:pPr>
            <w:r>
              <w:rPr>
                <w:sz w:val="18"/>
                <w:szCs w:val="18"/>
              </w:rPr>
              <w:t>1b</w:t>
            </w:r>
          </w:p>
        </w:tc>
        <w:tc>
          <w:tcPr>
            <w:tcW w:w="10862" w:type="dxa"/>
            <w:shd w:val="clear" w:color="auto" w:fill="FFFFFF"/>
          </w:tcPr>
          <w:p w:rsidR="00F176D3" w:rsidRDefault="00F176D3">
            <w:pPr>
              <w:spacing w:before="80" w:after="80" w:line="240" w:lineRule="auto"/>
              <w:rPr>
                <w:sz w:val="18"/>
                <w:szCs w:val="18"/>
              </w:rPr>
            </w:pPr>
            <w:r>
              <w:rPr>
                <w:b/>
                <w:bCs/>
                <w:sz w:val="18"/>
                <w:szCs w:val="18"/>
                <w:lang w:val="en-US"/>
              </w:rPr>
              <w:t>Provide a structured summary of background, methods, results, and conclusions.</w:t>
            </w:r>
          </w:p>
        </w:tc>
      </w:tr>
      <w:tr w:rsidR="00F176D3">
        <w:tc>
          <w:tcPr>
            <w:tcW w:w="2320" w:type="dxa"/>
            <w:gridSpan w:val="2"/>
            <w:shd w:val="clear" w:color="auto" w:fill="FFFFFF"/>
          </w:tcPr>
          <w:p w:rsidR="00F176D3" w:rsidRDefault="00F176D3">
            <w:pPr>
              <w:spacing w:before="80" w:after="80" w:line="240" w:lineRule="auto"/>
              <w:rPr>
                <w:b/>
                <w:bCs/>
                <w:sz w:val="18"/>
                <w:szCs w:val="18"/>
              </w:rPr>
            </w:pPr>
            <w:r>
              <w:rPr>
                <w:b/>
                <w:bCs/>
                <w:sz w:val="18"/>
                <w:szCs w:val="18"/>
              </w:rPr>
              <w:t>Introduction</w:t>
            </w:r>
          </w:p>
        </w:tc>
        <w:tc>
          <w:tcPr>
            <w:tcW w:w="658" w:type="dxa"/>
            <w:shd w:val="clear" w:color="auto" w:fill="FFFFFF"/>
          </w:tcPr>
          <w:p w:rsidR="00F176D3" w:rsidRDefault="00F176D3">
            <w:pPr>
              <w:spacing w:before="80" w:after="80" w:line="240" w:lineRule="auto"/>
              <w:jc w:val="center"/>
              <w:rPr>
                <w:sz w:val="18"/>
                <w:szCs w:val="18"/>
              </w:rPr>
            </w:pPr>
          </w:p>
        </w:tc>
        <w:tc>
          <w:tcPr>
            <w:tcW w:w="10862" w:type="dxa"/>
            <w:shd w:val="clear" w:color="auto" w:fill="FFFFFF"/>
          </w:tcPr>
          <w:p w:rsidR="00F176D3" w:rsidRDefault="00F176D3">
            <w:pPr>
              <w:spacing w:before="80" w:after="80" w:line="240" w:lineRule="auto"/>
              <w:rPr>
                <w:sz w:val="18"/>
                <w:szCs w:val="18"/>
              </w:rPr>
            </w:pPr>
          </w:p>
        </w:tc>
      </w:tr>
      <w:tr w:rsidR="00F176D3">
        <w:tc>
          <w:tcPr>
            <w:tcW w:w="2320" w:type="dxa"/>
            <w:gridSpan w:val="2"/>
            <w:tcBorders>
              <w:bottom w:val="nil"/>
            </w:tcBorders>
            <w:shd w:val="clear" w:color="auto" w:fill="FFFFFF"/>
          </w:tcPr>
          <w:p w:rsidR="00F176D3" w:rsidRDefault="00F176D3">
            <w:pPr>
              <w:spacing w:before="80" w:after="80" w:line="240" w:lineRule="auto"/>
              <w:rPr>
                <w:b/>
                <w:bCs/>
                <w:sz w:val="18"/>
                <w:szCs w:val="18"/>
              </w:rPr>
            </w:pPr>
            <w:r>
              <w:rPr>
                <w:sz w:val="18"/>
                <w:szCs w:val="18"/>
              </w:rPr>
              <w:t>Background and Objectives</w:t>
            </w:r>
          </w:p>
        </w:tc>
        <w:tc>
          <w:tcPr>
            <w:tcW w:w="658" w:type="dxa"/>
            <w:tcBorders>
              <w:bottom w:val="nil"/>
            </w:tcBorders>
            <w:shd w:val="clear" w:color="auto" w:fill="FFFFFF"/>
          </w:tcPr>
          <w:p w:rsidR="00F176D3" w:rsidRDefault="00F176D3">
            <w:pPr>
              <w:spacing w:before="80" w:after="80" w:line="240" w:lineRule="auto"/>
              <w:jc w:val="center"/>
              <w:rPr>
                <w:sz w:val="18"/>
                <w:szCs w:val="18"/>
              </w:rPr>
            </w:pPr>
            <w:r>
              <w:rPr>
                <w:sz w:val="18"/>
                <w:szCs w:val="18"/>
              </w:rPr>
              <w:t>2a</w:t>
            </w:r>
          </w:p>
        </w:tc>
        <w:tc>
          <w:tcPr>
            <w:tcW w:w="10862" w:type="dxa"/>
            <w:shd w:val="clear" w:color="auto" w:fill="FFFFFF"/>
          </w:tcPr>
          <w:p w:rsidR="00F176D3" w:rsidRDefault="00F176D3">
            <w:pPr>
              <w:spacing w:before="80" w:after="80" w:line="240" w:lineRule="auto"/>
              <w:rPr>
                <w:sz w:val="18"/>
                <w:szCs w:val="18"/>
              </w:rPr>
            </w:pPr>
            <w:r>
              <w:rPr>
                <w:b/>
                <w:bCs/>
                <w:sz w:val="18"/>
                <w:szCs w:val="18"/>
              </w:rPr>
              <w:t>Review of existing scientific literature, including reference to IDEAL Stage 1 and 2a reports in previous publications, if applicable.</w:t>
            </w:r>
          </w:p>
        </w:tc>
      </w:tr>
      <w:tr w:rsidR="00F176D3">
        <w:tc>
          <w:tcPr>
            <w:tcW w:w="2320" w:type="dxa"/>
            <w:gridSpan w:val="2"/>
            <w:tcBorders>
              <w:top w:val="nil"/>
            </w:tcBorders>
            <w:shd w:val="clear" w:color="auto" w:fill="FFFFFF"/>
          </w:tcPr>
          <w:p w:rsidR="00F176D3" w:rsidRDefault="00F176D3">
            <w:pPr>
              <w:spacing w:before="80" w:after="80" w:line="240" w:lineRule="auto"/>
              <w:rPr>
                <w:b/>
                <w:bCs/>
                <w:sz w:val="18"/>
                <w:szCs w:val="18"/>
              </w:rPr>
            </w:pPr>
          </w:p>
        </w:tc>
        <w:tc>
          <w:tcPr>
            <w:tcW w:w="658" w:type="dxa"/>
            <w:tcBorders>
              <w:top w:val="nil"/>
            </w:tcBorders>
            <w:shd w:val="clear" w:color="auto" w:fill="FFFFFF"/>
          </w:tcPr>
          <w:p w:rsidR="00F176D3" w:rsidRDefault="00F176D3">
            <w:pPr>
              <w:spacing w:before="80" w:after="80" w:line="240" w:lineRule="auto"/>
              <w:jc w:val="center"/>
              <w:rPr>
                <w:sz w:val="18"/>
                <w:szCs w:val="18"/>
              </w:rPr>
            </w:pPr>
            <w:r>
              <w:rPr>
                <w:sz w:val="18"/>
                <w:szCs w:val="18"/>
              </w:rPr>
              <w:t>2b</w:t>
            </w:r>
          </w:p>
        </w:tc>
        <w:tc>
          <w:tcPr>
            <w:tcW w:w="10862" w:type="dxa"/>
            <w:shd w:val="clear" w:color="auto" w:fill="FFFFFF"/>
          </w:tcPr>
          <w:p w:rsidR="00F176D3" w:rsidRDefault="00F176D3">
            <w:pPr>
              <w:spacing w:before="80" w:after="80" w:line="240" w:lineRule="auto"/>
              <w:rPr>
                <w:sz w:val="18"/>
                <w:szCs w:val="18"/>
              </w:rPr>
            </w:pPr>
            <w:r>
              <w:rPr>
                <w:b/>
                <w:bCs/>
                <w:sz w:val="18"/>
                <w:szCs w:val="18"/>
              </w:rPr>
              <w:t xml:space="preserve">Specific objectives stated, including refining the technique and progressing toward stability. </w:t>
            </w:r>
            <w:r>
              <w:rPr>
                <w:sz w:val="18"/>
                <w:szCs w:val="18"/>
              </w:rPr>
              <w:t>Example: “The aim of this study was to demonstrate feasibility; assess the safety and the short-term effects of the surgical isolation of the arterial blood supply of the ipsilateral liver lobe containinga large HCC…. surgically, by assessing the operative mortality, complications and tumor response at the initial postoperative</w:t>
            </w:r>
          </w:p>
          <w:p w:rsidR="00F176D3" w:rsidRDefault="00F176D3">
            <w:pPr>
              <w:spacing w:before="80" w:after="80" w:line="240" w:lineRule="auto"/>
              <w:rPr>
                <w:sz w:val="18"/>
                <w:szCs w:val="18"/>
              </w:rPr>
            </w:pPr>
            <w:r>
              <w:rPr>
                <w:sz w:val="18"/>
                <w:szCs w:val="18"/>
              </w:rPr>
              <w:t>thirty days' following this procedure</w:t>
            </w:r>
            <w:r>
              <w:rPr>
                <w:b/>
                <w:bCs/>
                <w:sz w:val="18"/>
                <w:szCs w:val="18"/>
              </w:rPr>
              <w:t>.“ ”</w:t>
            </w:r>
            <w:r>
              <w:rPr>
                <w:sz w:val="18"/>
                <w:szCs w:val="18"/>
              </w:rPr>
              <w:t>This innovative procedure is reported as development stage 2a till it becomes stable and a real comparative design will subsequently be instituted.”</w:t>
            </w:r>
            <w:r>
              <w:rPr>
                <w:sz w:val="18"/>
                <w:szCs w:val="18"/>
              </w:rPr>
              <w:fldChar w:fldCharType="begin" w:fldLock="1"/>
            </w:r>
            <w:r>
              <w:rPr>
                <w:sz w:val="18"/>
                <w:szCs w:val="18"/>
              </w:rPr>
              <w:instrText>ADDIN CSL_CITATION {"citationItems":[{"id":"ITEM-1","itemData":{"DOI":"10.1016/j.ijsu.2019.06.014","ISSN":"17439191","abstract":"Background: Rapid growth and invasiveness of hepatocellular carcinoma (HCC) largely depends on its vascularity and active angiogenic capacity. That feature was used to control the tumor in the past with some limitations. These deficiencies were addressed in our new procedure by hepatic artery ligation and extrahepatic collaterals division (HALED) of the liver lobe containing large HCC. This study tried to assess the feasibility, safety and the short term effects of HALED. Materials and methods: This is a prospective stage 2a development IDEAL (Idea, Development, Exploration, Assessment and Long-term monitoring) case series. It included adult patients with large-sized HCC (diameter &gt; 5 cm) subjected to HALED carried out in our center during five years' trial evaluating one-month postoperative outcomes. Patients will be reported prospectively in a sequential order with explanation of reasons for rejected cases and description of changes to technique or indication as the procedure evolved. This study registry number is NCT03129685 at the ClinicalTrials.gov. Results: The first HALED operation was carried out safely on 2013, followed by nineteen patients by 2018. Patients' mean age (±standard deviation) was 62·45 (±9·27), range 38–76 years. Eleven (55%) patients had tumors diameter &gt; 10 cm 13 (65%) patients were advanced BCLC stage. Seven modifications were made on the technique and indications of the procedure towards stability. According to the modified response evaluation criteria in solid tumors, 13 patients (65%) attained complete response. Operative mortality was 5% (one patient) and major morbidity was 10% (two patients). Liver infarction and abscess formation were not noticed in this study. Conclusion: Our forerunner study showed that HALED for large HCC is safe and induces tumor necrosis. Further long-term studies are suggested before starting the 2b stage.","author":[{"dropping-particle":"","family":"Elsanousi","given":"Osama M.","non-dropping-particle":"","parse-names":false,"suffix":""},{"dropping-particle":"","family":"Mohamed","given":"Murtada A.","non-dropping-particle":"","parse-names":false,"suffix":""},{"dropping-particle":"","family":"Salim","given":"Fatima H.","non-dropping-particle":"","parse-names":false,"suffix":""},{"dropping-particle":"","family":"Adam","given":"Elsadig A.","non-dropping-particle":"","parse-names":false,"suffix":""}],"container-title":"International Journal of Surgery","id":"ITEM-1","issue":"April","issued":{"date-parts":[["2019","8"]]},"page":"134-141","publisher":"Elsevier","title":"Selective devascularization treatment for large hepatocellular carcinoma: Stage 2A IDEAL prospective case series","type":"article-journal","volume":"68"},"uris":["http://www.mendeley.com/documents/?uuid=18a87ac5-4b9d-4ab9-bd05-c93b393d5130"]}],"mendeley":{"formattedCitation":"&lt;sup&gt;5&lt;/sup&gt;","plainTextFormattedCitation":"5","previouslyFormattedCitation":"&lt;sup&gt;5&lt;/sup&gt;"},"properties":{"noteIndex":0},"schema":"https://github.com/citation-style-language/schema/raw/master/csl-citation.json"}</w:instrText>
            </w:r>
            <w:r>
              <w:rPr>
                <w:sz w:val="18"/>
                <w:szCs w:val="18"/>
              </w:rPr>
              <w:fldChar w:fldCharType="separate"/>
            </w:r>
            <w:r>
              <w:rPr>
                <w:noProof/>
                <w:sz w:val="18"/>
                <w:szCs w:val="18"/>
                <w:vertAlign w:val="superscript"/>
              </w:rPr>
              <w:t>5</w:t>
            </w:r>
            <w:r>
              <w:rPr>
                <w:sz w:val="18"/>
                <w:szCs w:val="18"/>
              </w:rPr>
              <w:fldChar w:fldCharType="end"/>
            </w:r>
          </w:p>
        </w:tc>
      </w:tr>
      <w:tr w:rsidR="00F176D3">
        <w:tc>
          <w:tcPr>
            <w:tcW w:w="2320" w:type="dxa"/>
            <w:gridSpan w:val="2"/>
            <w:shd w:val="clear" w:color="auto" w:fill="FFFFFF"/>
          </w:tcPr>
          <w:p w:rsidR="00F176D3" w:rsidRDefault="00F176D3">
            <w:pPr>
              <w:spacing w:before="80" w:after="80" w:line="240" w:lineRule="auto"/>
              <w:rPr>
                <w:b/>
                <w:bCs/>
                <w:sz w:val="18"/>
                <w:szCs w:val="18"/>
              </w:rPr>
            </w:pPr>
            <w:r>
              <w:rPr>
                <w:b/>
                <w:bCs/>
                <w:sz w:val="18"/>
                <w:szCs w:val="18"/>
              </w:rPr>
              <w:t>Methods</w:t>
            </w:r>
          </w:p>
        </w:tc>
        <w:tc>
          <w:tcPr>
            <w:tcW w:w="658" w:type="dxa"/>
            <w:shd w:val="clear" w:color="auto" w:fill="FFFFFF"/>
          </w:tcPr>
          <w:p w:rsidR="00F176D3" w:rsidRDefault="00F176D3">
            <w:pPr>
              <w:spacing w:before="80" w:after="80" w:line="240" w:lineRule="auto"/>
              <w:jc w:val="center"/>
              <w:rPr>
                <w:sz w:val="18"/>
                <w:szCs w:val="18"/>
              </w:rPr>
            </w:pPr>
          </w:p>
        </w:tc>
        <w:tc>
          <w:tcPr>
            <w:tcW w:w="10862" w:type="dxa"/>
            <w:shd w:val="clear" w:color="auto" w:fill="FFFFFF"/>
          </w:tcPr>
          <w:p w:rsidR="00F176D3" w:rsidRDefault="00F176D3">
            <w:pPr>
              <w:spacing w:before="80" w:after="80" w:line="240" w:lineRule="auto"/>
              <w:rPr>
                <w:sz w:val="18"/>
                <w:szCs w:val="18"/>
              </w:rPr>
            </w:pPr>
          </w:p>
        </w:tc>
      </w:tr>
      <w:tr w:rsidR="00F176D3">
        <w:tc>
          <w:tcPr>
            <w:tcW w:w="2320" w:type="dxa"/>
            <w:gridSpan w:val="2"/>
            <w:shd w:val="clear" w:color="auto" w:fill="FFFFFF"/>
          </w:tcPr>
          <w:p w:rsidR="00F176D3" w:rsidRDefault="00F176D3">
            <w:pPr>
              <w:spacing w:before="80" w:after="80" w:line="240" w:lineRule="auto"/>
              <w:rPr>
                <w:b/>
                <w:bCs/>
                <w:sz w:val="18"/>
                <w:szCs w:val="18"/>
              </w:rPr>
            </w:pPr>
            <w:r>
              <w:rPr>
                <w:sz w:val="18"/>
                <w:szCs w:val="18"/>
              </w:rPr>
              <w:t>Design</w:t>
            </w:r>
          </w:p>
        </w:tc>
        <w:tc>
          <w:tcPr>
            <w:tcW w:w="658" w:type="dxa"/>
            <w:shd w:val="clear" w:color="auto" w:fill="FFFFFF"/>
          </w:tcPr>
          <w:p w:rsidR="00F176D3" w:rsidRDefault="00F176D3">
            <w:pPr>
              <w:spacing w:before="80" w:after="80" w:line="240" w:lineRule="auto"/>
              <w:jc w:val="center"/>
              <w:rPr>
                <w:sz w:val="18"/>
                <w:szCs w:val="18"/>
              </w:rPr>
            </w:pPr>
            <w:r>
              <w:rPr>
                <w:sz w:val="18"/>
                <w:szCs w:val="18"/>
              </w:rPr>
              <w:t>3</w:t>
            </w:r>
          </w:p>
        </w:tc>
        <w:tc>
          <w:tcPr>
            <w:tcW w:w="10862" w:type="dxa"/>
            <w:shd w:val="clear" w:color="auto" w:fill="FFFFFF"/>
          </w:tcPr>
          <w:p w:rsidR="00F176D3" w:rsidRDefault="00F176D3">
            <w:pPr>
              <w:spacing w:before="80" w:after="80" w:line="240" w:lineRule="auto"/>
              <w:rPr>
                <w:sz w:val="18"/>
                <w:szCs w:val="18"/>
                <w:lang w:val="en-US"/>
              </w:rPr>
            </w:pPr>
            <w:r>
              <w:rPr>
                <w:b/>
                <w:bCs/>
                <w:sz w:val="18"/>
                <w:szCs w:val="18"/>
              </w:rPr>
              <w:t xml:space="preserve">Description of study design (e.g. sequentially reported prospective case series). </w:t>
            </w:r>
            <w:r>
              <w:rPr>
                <w:sz w:val="18"/>
                <w:szCs w:val="18"/>
              </w:rPr>
              <w:t xml:space="preserve">Example: </w:t>
            </w:r>
            <w:r>
              <w:rPr>
                <w:sz w:val="18"/>
                <w:szCs w:val="18"/>
                <w:lang w:val="en-US"/>
              </w:rPr>
              <w:t>“This is a prospective; single arm; single center and stage 2a development, IDEAL (Idea, Development, Exploration, Assessment, and Long-term monitoring) case series.”</w:t>
            </w:r>
            <w:r>
              <w:rPr>
                <w:sz w:val="18"/>
                <w:szCs w:val="18"/>
                <w:lang w:val="en-US"/>
              </w:rPr>
              <w:fldChar w:fldCharType="begin" w:fldLock="1"/>
            </w:r>
            <w:r>
              <w:rPr>
                <w:sz w:val="18"/>
                <w:szCs w:val="18"/>
                <w:lang w:val="en-US"/>
              </w:rPr>
              <w:instrText>ADDIN CSL_CITATION {"citationItems":[{"id":"ITEM-1","itemData":{"DOI":"10.1016/j.ijsu.2019.06.014","ISSN":"17439191","abstract":"Background: Rapid growth and invasiveness of hepatocellular carcinoma (HCC) largely depends on its vascularity and active angiogenic capacity. That feature was used to control the tumor in the past with some limitations. These deficiencies were addressed in our new procedure by hepatic artery ligation and extrahepatic collaterals division (HALED) of the liver lobe containing large HCC. This study tried to assess the feasibility, safety and the short term effects of HALED. Materials and methods: This is a prospective stage 2a development IDEAL (Idea, Development, Exploration, Assessment and Long-term monitoring) case series. It included adult patients with large-sized HCC (diameter &gt; 5 cm) subjected to HALED carried out in our center during five years' trial evaluating one-month postoperative outcomes. Patients will be reported prospectively in a sequential order with explanation of reasons for rejected cases and description of changes to technique or indication as the procedure evolved. This study registry number is NCT03129685 at the ClinicalTrials.gov. Results: The first HALED operation was carried out safely on 2013, followed by nineteen patients by 2018. Patients' mean age (±standard deviation) was 62·45 (±9·27), range 38–76 years. Eleven (55%) patients had tumors diameter &gt; 10 cm 13 (65%) patients were advanced BCLC stage. Seven modifications were made on the technique and indications of the procedure towards stability. According to the modified response evaluation criteria in solid tumors, 13 patients (65%) attained complete response. Operative mortality was 5% (one patient) and major morbidity was 10% (two patients). Liver infarction and abscess formation were not noticed in this study. Conclusion: Our forerunner study showed that HALED for large HCC is safe and induces tumor necrosis. Further long-term studies are suggested before starting the 2b stage.","author":[{"dropping-particle":"","family":"Elsanousi","given":"Osama M.","non-dropping-particle":"","parse-names":false,"suffix":""},{"dropping-particle":"","family":"Mohamed","given":"Murtada A.","non-dropping-particle":"","parse-names":false,"suffix":""},{"dropping-particle":"","family":"Salim","given":"Fatima H.","non-dropping-particle":"","parse-names":false,"suffix":""},{"dropping-particle":"","family":"Adam","given":"Elsadig A.","non-dropping-particle":"","parse-names":false,"suffix":""}],"container-title":"International Journal of Surgery","id":"ITEM-1","issue":"April","issued":{"date-parts":[["2019","8"]]},"page":"134-141","publisher":"Elsevier","title":"Selective devascularization treatment for large hepatocellular carcinoma: Stage 2A IDEAL prospective case series","type":"article-journal","volume":"68"},"uris":["http://www.mendeley.com/documents/?uuid=18a87ac5-4b9d-4ab9-bd05-c93b393d5130"]}],"mendeley":{"formattedCitation":"&lt;sup&gt;5&lt;/sup&gt;","plainTextFormattedCitation":"5","previouslyFormattedCitation":"&lt;sup&gt;5&lt;/sup&gt;"},"properties":{"noteIndex":0},"schema":"https://github.com/citation-style-language/schema/raw/master/csl-citation.json"}</w:instrText>
            </w:r>
            <w:r>
              <w:rPr>
                <w:sz w:val="18"/>
                <w:szCs w:val="18"/>
                <w:lang w:val="en-US"/>
              </w:rPr>
              <w:fldChar w:fldCharType="separate"/>
            </w:r>
            <w:r>
              <w:rPr>
                <w:noProof/>
                <w:sz w:val="18"/>
                <w:szCs w:val="18"/>
                <w:vertAlign w:val="superscript"/>
                <w:lang w:val="en-US"/>
              </w:rPr>
              <w:t>5</w:t>
            </w:r>
            <w:r>
              <w:rPr>
                <w:sz w:val="18"/>
                <w:szCs w:val="18"/>
                <w:lang w:val="en-US"/>
              </w:rPr>
              <w:fldChar w:fldCharType="end"/>
            </w:r>
          </w:p>
        </w:tc>
      </w:tr>
      <w:tr w:rsidR="00F176D3">
        <w:tc>
          <w:tcPr>
            <w:tcW w:w="2320" w:type="dxa"/>
            <w:gridSpan w:val="2"/>
            <w:tcBorders>
              <w:bottom w:val="nil"/>
            </w:tcBorders>
            <w:shd w:val="clear" w:color="auto" w:fill="FFFFFF"/>
          </w:tcPr>
          <w:p w:rsidR="00F176D3" w:rsidRDefault="00F176D3">
            <w:pPr>
              <w:spacing w:before="80" w:after="80" w:line="240" w:lineRule="auto"/>
              <w:rPr>
                <w:b/>
                <w:bCs/>
                <w:sz w:val="18"/>
                <w:szCs w:val="18"/>
              </w:rPr>
            </w:pPr>
            <w:r>
              <w:rPr>
                <w:sz w:val="18"/>
                <w:szCs w:val="18"/>
              </w:rPr>
              <w:t>Participants</w:t>
            </w:r>
          </w:p>
        </w:tc>
        <w:tc>
          <w:tcPr>
            <w:tcW w:w="658" w:type="dxa"/>
            <w:tcBorders>
              <w:bottom w:val="nil"/>
            </w:tcBorders>
            <w:shd w:val="clear" w:color="auto" w:fill="FFFFFF"/>
          </w:tcPr>
          <w:p w:rsidR="00F176D3" w:rsidRDefault="00F176D3">
            <w:pPr>
              <w:spacing w:before="80" w:after="80" w:line="240" w:lineRule="auto"/>
              <w:jc w:val="center"/>
              <w:rPr>
                <w:sz w:val="18"/>
                <w:szCs w:val="18"/>
              </w:rPr>
            </w:pPr>
            <w:r>
              <w:rPr>
                <w:sz w:val="18"/>
                <w:szCs w:val="18"/>
              </w:rPr>
              <w:t>4a</w:t>
            </w:r>
          </w:p>
        </w:tc>
        <w:tc>
          <w:tcPr>
            <w:tcW w:w="10862" w:type="dxa"/>
            <w:shd w:val="clear" w:color="auto" w:fill="FFFFFF"/>
          </w:tcPr>
          <w:p w:rsidR="00F176D3" w:rsidRDefault="00F176D3">
            <w:pPr>
              <w:spacing w:before="80" w:after="80" w:line="240" w:lineRule="auto"/>
              <w:rPr>
                <w:sz w:val="18"/>
                <w:szCs w:val="18"/>
              </w:rPr>
            </w:pPr>
            <w:r>
              <w:rPr>
                <w:b/>
                <w:bCs/>
                <w:sz w:val="18"/>
                <w:szCs w:val="18"/>
              </w:rPr>
              <w:t xml:space="preserve">Detailed account of patient inclusion and exclusion criteria. </w:t>
            </w:r>
            <w:r>
              <w:rPr>
                <w:sz w:val="18"/>
                <w:szCs w:val="18"/>
              </w:rPr>
              <w:t>Example: See Table 1: Inclusion and exclusion criteria for the study. Inclusion criteria include age &gt; 18 years, Body mass index &lt;35 kg/m2, Suitable for minimally invasive surgery, Willingness to participate as demonstrated by giving informed consent, Adequate exposure to the surgical site according to the surgeon’s judgment to proceed with surgery….”</w:t>
            </w:r>
            <w:r>
              <w:rPr>
                <w:sz w:val="18"/>
                <w:szCs w:val="18"/>
              </w:rPr>
              <w:fldChar w:fldCharType="begin" w:fldLock="1"/>
            </w:r>
            <w:r>
              <w:rPr>
                <w:sz w:val="18"/>
                <w:szCs w:val="18"/>
              </w:rPr>
              <w:instrText>ADDIN CSL_CITATION {"citationItems":[{"id":"ITEM-1","itemData":{"DOI":"10.1016/j.oraloncology.2019.05.018","ISSN":"13688375","abstract":"Introduction: The aim of this study was to determine the clinical safety and feasibility of a novel single-port flexible robot for Transoral Robotic Surgery (TORS). Materials and methods: This was a prospective phase II / IDEAL stage 2 clinical trial of both benign and malignant lesions of the head and neck. The primary endpoint included conversion rates and perioperative complications within 30 days following surgery. The study was registered on www.ClinicalTrials.gov (NCT03010813). The Fisher's exact test and Mann-Whitney U test were used to compare categorical, and non-parametric data for the trial. A p value &lt;0.05 was considered to be statistically significant. Statistical analysis was performed with SPSS 20.0 (IBM Corp., Armonk, New York) Results: Twenty-one patients safely underwent TORS with the da Vinci SP (Intuitive Surgical Inc., Sunnyvale, CA) demonstrating the feasibility of access to the nasopharynx, oropharynx, larynx and hypopharynx. There were no conversions of the robotic surgical system. There were no serious adverse events or adverse events related to the use of the robot at 30-day follow-up for all patients. Conclusions: In a prospective Phase II clinical trial, a novel single-port flexible robotic system appears safe and feasible to use for transoral endoscopic head and neck surgery to access the nasopharynx, oropharynx, larynx and hypopharynx.","author":[{"dropping-particle":"","family":"Chan","given":"Jason Y.K.","non-dropping-particle":"","parse-names":false,"suffix":""},{"dropping-particle":"","family":"Tsang","given":"Raymond K.","non-dropping-particle":"","parse-names":false,"suffix":""},{"dropping-particle":"","family":"Holsinger","given":"F. Christopher","non-dropping-particle":"","parse-names":false,"suffix":""},{"dropping-particle":"","family":"Tong","given":"Michael C.F.","non-dropping-particle":"","parse-names":false,"suffix":""},{"dropping-particle":"","family":"Ng","given":"Cherrie W.K.","non-dropping-particle":"","parse-names":false,"suffix":""},{"dropping-particle":"","family":"Chiu","given":"Philip W.Y.","non-dropping-particle":"","parse-names":false,"suffix":""},{"dropping-particle":"","family":"Ng","given":"Simon S.M.","non-dropping-particle":"","parse-names":false,"suffix":""},{"dropping-particle":"","family":"Wong","given":"Eddy W.Y.","non-dropping-particle":"","parse-names":false,"suffix":""}],"container-title":"Oral Oncology","id":"ITEM-1","issued":{"date-parts":[["2019","7"]]},"page":"101-105","title":"Prospective clinical trial to evaluate safety and feasibility of using a single port flexible robotic system for transoral head and neck surgery","type":"article-journal","volume":"94"},"uris":["http://www.mendeley.com/documents/?uuid=c08cf0cf-f2bd-47e8-bda9-7779500c222d"]}],"mendeley":{"formattedCitation":"&lt;sup&gt;6&lt;/sup&gt;","plainTextFormattedCitation":"6","previouslyFormattedCitation":"&lt;sup&gt;6&lt;/sup&gt;"},"properties":{"noteIndex":0},"schema":"https://github.com/citation-style-language/schema/raw/master/csl-citation.json"}</w:instrText>
            </w:r>
            <w:r>
              <w:rPr>
                <w:sz w:val="18"/>
                <w:szCs w:val="18"/>
              </w:rPr>
              <w:fldChar w:fldCharType="separate"/>
            </w:r>
            <w:r>
              <w:rPr>
                <w:noProof/>
                <w:sz w:val="18"/>
                <w:szCs w:val="18"/>
                <w:vertAlign w:val="superscript"/>
              </w:rPr>
              <w:t>6</w:t>
            </w:r>
            <w:r>
              <w:rPr>
                <w:sz w:val="18"/>
                <w:szCs w:val="18"/>
              </w:rPr>
              <w:fldChar w:fldCharType="end"/>
            </w:r>
          </w:p>
        </w:tc>
      </w:tr>
      <w:tr w:rsidR="00F176D3">
        <w:tc>
          <w:tcPr>
            <w:tcW w:w="2320" w:type="dxa"/>
            <w:gridSpan w:val="2"/>
            <w:tcBorders>
              <w:top w:val="nil"/>
              <w:bottom w:val="nil"/>
            </w:tcBorders>
            <w:shd w:val="clear" w:color="auto" w:fill="FFFFFF"/>
          </w:tcPr>
          <w:p w:rsidR="00F176D3" w:rsidRDefault="00F176D3">
            <w:pPr>
              <w:spacing w:before="80" w:after="80" w:line="240" w:lineRule="auto"/>
              <w:rPr>
                <w:b/>
                <w:bCs/>
                <w:sz w:val="18"/>
                <w:szCs w:val="18"/>
              </w:rPr>
            </w:pPr>
          </w:p>
        </w:tc>
        <w:tc>
          <w:tcPr>
            <w:tcW w:w="658" w:type="dxa"/>
            <w:tcBorders>
              <w:top w:val="nil"/>
              <w:bottom w:val="nil"/>
            </w:tcBorders>
            <w:shd w:val="clear" w:color="auto" w:fill="FFFFFF"/>
          </w:tcPr>
          <w:p w:rsidR="00F176D3" w:rsidRDefault="00F176D3">
            <w:pPr>
              <w:spacing w:before="80" w:after="80" w:line="240" w:lineRule="auto"/>
              <w:jc w:val="center"/>
              <w:rPr>
                <w:sz w:val="18"/>
                <w:szCs w:val="18"/>
              </w:rPr>
            </w:pPr>
            <w:r>
              <w:rPr>
                <w:sz w:val="18"/>
                <w:szCs w:val="18"/>
              </w:rPr>
              <w:t>4b</w:t>
            </w:r>
          </w:p>
        </w:tc>
        <w:tc>
          <w:tcPr>
            <w:tcW w:w="10862" w:type="dxa"/>
            <w:shd w:val="clear" w:color="auto" w:fill="FFFFFF"/>
          </w:tcPr>
          <w:p w:rsidR="00F176D3" w:rsidRDefault="00F176D3">
            <w:pPr>
              <w:spacing w:before="80" w:after="80" w:line="240" w:lineRule="auto"/>
              <w:rPr>
                <w:sz w:val="18"/>
                <w:szCs w:val="18"/>
              </w:rPr>
            </w:pPr>
            <w:r>
              <w:rPr>
                <w:b/>
                <w:bCs/>
                <w:sz w:val="18"/>
                <w:szCs w:val="18"/>
              </w:rPr>
              <w:t>Informed consent process described, including explanation of risks and acknowledgement of level of experience with technique/device.</w:t>
            </w:r>
          </w:p>
        </w:tc>
      </w:tr>
      <w:tr w:rsidR="00F176D3">
        <w:tc>
          <w:tcPr>
            <w:tcW w:w="2320" w:type="dxa"/>
            <w:gridSpan w:val="2"/>
            <w:tcBorders>
              <w:top w:val="nil"/>
            </w:tcBorders>
            <w:shd w:val="clear" w:color="auto" w:fill="FFFFFF"/>
          </w:tcPr>
          <w:p w:rsidR="00F176D3" w:rsidRDefault="00F176D3">
            <w:pPr>
              <w:spacing w:before="80" w:after="80" w:line="240" w:lineRule="auto"/>
              <w:rPr>
                <w:b/>
                <w:bCs/>
                <w:sz w:val="18"/>
                <w:szCs w:val="18"/>
              </w:rPr>
            </w:pPr>
          </w:p>
        </w:tc>
        <w:tc>
          <w:tcPr>
            <w:tcW w:w="658" w:type="dxa"/>
            <w:tcBorders>
              <w:top w:val="nil"/>
            </w:tcBorders>
            <w:shd w:val="clear" w:color="auto" w:fill="FFFFFF"/>
          </w:tcPr>
          <w:p w:rsidR="00F176D3" w:rsidRDefault="00F176D3">
            <w:pPr>
              <w:spacing w:before="80" w:after="80" w:line="240" w:lineRule="auto"/>
              <w:jc w:val="center"/>
              <w:rPr>
                <w:sz w:val="18"/>
                <w:szCs w:val="18"/>
              </w:rPr>
            </w:pPr>
            <w:r>
              <w:rPr>
                <w:sz w:val="18"/>
                <w:szCs w:val="18"/>
              </w:rPr>
              <w:t>4c</w:t>
            </w:r>
          </w:p>
        </w:tc>
        <w:tc>
          <w:tcPr>
            <w:tcW w:w="10862" w:type="dxa"/>
            <w:shd w:val="clear" w:color="auto" w:fill="FFFFFF"/>
          </w:tcPr>
          <w:p w:rsidR="00F176D3" w:rsidRDefault="00F176D3">
            <w:pPr>
              <w:spacing w:before="80" w:after="80" w:line="240" w:lineRule="auto"/>
              <w:rPr>
                <w:sz w:val="18"/>
                <w:szCs w:val="18"/>
              </w:rPr>
            </w:pPr>
            <w:r>
              <w:rPr>
                <w:b/>
                <w:bCs/>
                <w:sz w:val="18"/>
                <w:szCs w:val="18"/>
              </w:rPr>
              <w:t>Setting, location, and timeframe of recruitment and follow-up, including when and where the data were collected, as well as hospital characteristics and appropriate details regarding the operator/team (e.g. prior experience with novel technique).</w:t>
            </w:r>
          </w:p>
        </w:tc>
      </w:tr>
      <w:tr w:rsidR="00F176D3">
        <w:tc>
          <w:tcPr>
            <w:tcW w:w="2320" w:type="dxa"/>
            <w:gridSpan w:val="2"/>
            <w:tcBorders>
              <w:bottom w:val="nil"/>
            </w:tcBorders>
            <w:shd w:val="clear" w:color="auto" w:fill="FFFFFF"/>
          </w:tcPr>
          <w:p w:rsidR="00F176D3" w:rsidRDefault="00F176D3">
            <w:pPr>
              <w:spacing w:before="80" w:after="80" w:line="240" w:lineRule="auto"/>
              <w:rPr>
                <w:b/>
                <w:bCs/>
                <w:sz w:val="18"/>
                <w:szCs w:val="18"/>
              </w:rPr>
            </w:pPr>
            <w:r>
              <w:rPr>
                <w:sz w:val="18"/>
                <w:szCs w:val="18"/>
              </w:rPr>
              <w:t>Intervention</w:t>
            </w:r>
          </w:p>
        </w:tc>
        <w:tc>
          <w:tcPr>
            <w:tcW w:w="658" w:type="dxa"/>
            <w:tcBorders>
              <w:bottom w:val="nil"/>
            </w:tcBorders>
            <w:shd w:val="clear" w:color="auto" w:fill="FFFFFF"/>
          </w:tcPr>
          <w:p w:rsidR="00F176D3" w:rsidRDefault="00F176D3">
            <w:pPr>
              <w:spacing w:before="80" w:after="80" w:line="240" w:lineRule="auto"/>
              <w:jc w:val="center"/>
              <w:rPr>
                <w:sz w:val="18"/>
                <w:szCs w:val="18"/>
              </w:rPr>
            </w:pPr>
            <w:r>
              <w:rPr>
                <w:sz w:val="18"/>
                <w:szCs w:val="18"/>
              </w:rPr>
              <w:t>5a</w:t>
            </w:r>
          </w:p>
        </w:tc>
        <w:tc>
          <w:tcPr>
            <w:tcW w:w="10862" w:type="dxa"/>
            <w:shd w:val="clear" w:color="auto" w:fill="FFFFFF"/>
          </w:tcPr>
          <w:p w:rsidR="00F176D3" w:rsidRDefault="00F176D3">
            <w:pPr>
              <w:spacing w:before="80" w:after="80" w:line="240" w:lineRule="auto"/>
              <w:rPr>
                <w:sz w:val="18"/>
                <w:szCs w:val="18"/>
              </w:rPr>
            </w:pPr>
            <w:r>
              <w:rPr>
                <w:b/>
                <w:bCs/>
                <w:color w:val="000000"/>
                <w:sz w:val="18"/>
                <w:szCs w:val="18"/>
                <w:lang w:val="en"/>
              </w:rPr>
              <w:t>Clear and detailed description of (or reference to) planned technique, including necessary pre-operative and post-operative care</w:t>
            </w:r>
            <w:r>
              <w:rPr>
                <w:b/>
                <w:bCs/>
                <w:color w:val="000000"/>
                <w:sz w:val="18"/>
                <w:szCs w:val="18"/>
              </w:rPr>
              <w:t xml:space="preserve">. </w:t>
            </w:r>
            <w:r>
              <w:rPr>
                <w:color w:val="000000"/>
                <w:sz w:val="18"/>
                <w:szCs w:val="18"/>
              </w:rPr>
              <w:t xml:space="preserve">Example: </w:t>
            </w:r>
            <w:r>
              <w:rPr>
                <w:color w:val="1C1D1E"/>
                <w:sz w:val="18"/>
                <w:szCs w:val="18"/>
              </w:rPr>
              <w:t>Donor surgery involved a midline incision from the pubic bone to the umbilicus, followed by isolation of the uterus with long vascular pedicles consisting of the bilateral uterine arteries and veins up to and including parts of the internal iliac vessels (Fig. 1A). Substantial parts of the round ligaments and the sacrouterine ligaments, as well as an extensive sheet of the bladder peritoneum, were preserved on the graft side to enable stable fixation of the uterus in the recipient.</w:t>
            </w:r>
            <w:r>
              <w:rPr>
                <w:rFonts w:ascii="Times New Roman" w:hAnsi="Times New Roman" w:cs="Times New Roman"/>
              </w:rPr>
              <w:t xml:space="preserve"> </w:t>
            </w:r>
            <w:r>
              <w:rPr>
                <w:color w:val="1C1D1E"/>
                <w:sz w:val="18"/>
                <w:szCs w:val="18"/>
              </w:rPr>
              <w:t>Bilateral salpingectomy was performed, preserving the uterine branch of the utero-ovarian vein.”</w:t>
            </w:r>
            <w:r>
              <w:rPr>
                <w:color w:val="1C1D1E"/>
                <w:sz w:val="18"/>
                <w:szCs w:val="18"/>
              </w:rPr>
              <w:fldChar w:fldCharType="begin" w:fldLock="1"/>
            </w:r>
            <w:r>
              <w:rPr>
                <w:color w:val="1C1D1E"/>
                <w:sz w:val="18"/>
                <w:szCs w:val="18"/>
              </w:rPr>
              <w:instrText>ADDIN CSL_CITATION {"citationItems":[{"id":"ITEM-1","itemData":{"DOI":"10.1016/j.fertnstert.2014.02.024","ISSN":"00150282","PMID":"24582522","abstract":"Objective To report the 6-month results of the first clinical uterus transplantation (UTx) trial. This type of transplantation may become a treatment of absolute uterine-factor infertility (AUFI). Design Prospective observational study. Setting University hospital. Patient(s) Nine AUFI women and their live uterine donors, the majority being mothers. Intervention(s) Live-donor UTx and low-dose induction immunosuppression. Main Outcome Measure(s) Data from preoperative investigations, surgery and follow-up for 6 months. Result(s) Durations of donor and recipient surgery ranged from 10 to 13 hours and from 4 to 6 hours, respectively. No immediate perioperative complications occurred in any of the recipients. After 6 months, seven uteri remained viable with regular menses. Mild rejection episodes occurred in four of these patients. These rejection episodes were effectively reversed by corticosteroid boluses. The two graft losses were because of acute bilateral thrombotic uterine artery occlusions and persistent intrauterine infection. Conclusion(s) The results demonstrate the feasibility of live-donor UTx with a low-dose immunosuppressive protocol. Clinical trial registration number NCT01844362. Copyright © 2014 American Society for Reproductive Medicine, Published by Elsevier Inc.","author":[{"dropping-particle":"","family":"Brännström","given":"Mats","non-dropping-particle":"","parse-names":false,"suffix":""},{"dropping-particle":"","family":"Johannesson","given":"Liza","non-dropping-particle":"","parse-names":false,"suffix":""},{"dropping-particle":"","family":"Dahm-Kähler","given":"Pernilla","non-dropping-particle":"","parse-names":false,"suffix":""},{"dropping-particle":"","family":"Enskog","given":"Anders","non-dropping-particle":"","parse-names":false,"suffix":""},{"dropping-particle":"","family":"Mölne","given":"Johan","non-dropping-particle":"","parse-names":false,"suffix":""},{"dropping-particle":"","family":"Kvarnström","given":"Niclas","non-dropping-particle":"","parse-names":false,"suffix":""},{"dropping-particle":"","family":"Diaz-Garcia","given":"Cesar","non-dropping-particle":"","parse-names":false,"suffix":""},{"dropping-particle":"","family":"Hanafy","given":"Ash","non-dropping-particle":"","parse-names":false,"suffix":""},{"dropping-particle":"","family":"Lundmark","given":"Cecilia","non-dropping-particle":"","parse-names":false,"suffix":""},{"dropping-particle":"","family":"Marcickiewicz","given":"Janusz","non-dropping-particle":"","parse-names":false,"suffix":""},{"dropping-particle":"","family":"Gäbel","given":"Markus","non-dropping-particle":"","parse-names":false,"suffix":""},{"dropping-particle":"","family":"Groth","given":"Klaus","non-dropping-particle":"","parse-names":false,"suffix":""},{"dropping-particle":"","family":"Akouri","given":"Randa","non-dropping-particle":"","parse-names":false,"suffix":""},{"dropping-particle":"","family":"Eklind","given":"Saskia","non-dropping-particle":"","parse-names":false,"suffix":""},{"dropping-particle":"","family":"Holgersson","given":"Jan","non-dropping-particle":"","parse-names":false,"suffix":""},{"dropping-particle":"","family":"Tzakis","given":"Andreas","non-dropping-particle":"","parse-names":false,"suffix":""},{"dropping-particle":"","family":"Olausson","given":"Michael","non-dropping-particle":"","parse-names":false,"suffix":""}],"container-title":"Fertility and Sterility","id":"ITEM-1","issue":"5","issued":{"date-parts":[["2014","5"]]},"page":"1228-1236","title":"First clinical uterus transplantation trial: a six-month report","type":"article-journal","volume":"101"},"uris":["http://www.mendeley.com/documents/?uuid=80b90199-59ce-4cf0-916d-565c52aca67c"]}],"mendeley":{"formattedCitation":"&lt;sup&gt;7&lt;/sup&gt;","plainTextFormattedCitation":"7","previouslyFormattedCitation":"&lt;sup&gt;7&lt;/sup&gt;"},"properties":{"noteIndex":0},"schema":"https://github.com/citation-style-language/schema/raw/master/csl-citation.json"}</w:instrText>
            </w:r>
            <w:r>
              <w:rPr>
                <w:color w:val="1C1D1E"/>
                <w:sz w:val="18"/>
                <w:szCs w:val="18"/>
              </w:rPr>
              <w:fldChar w:fldCharType="separate"/>
            </w:r>
            <w:r>
              <w:rPr>
                <w:noProof/>
                <w:color w:val="1C1D1E"/>
                <w:sz w:val="18"/>
                <w:szCs w:val="18"/>
                <w:vertAlign w:val="superscript"/>
              </w:rPr>
              <w:t>7</w:t>
            </w:r>
            <w:r>
              <w:rPr>
                <w:color w:val="1C1D1E"/>
                <w:sz w:val="18"/>
                <w:szCs w:val="18"/>
              </w:rPr>
              <w:fldChar w:fldCharType="end"/>
            </w:r>
          </w:p>
        </w:tc>
      </w:tr>
      <w:tr w:rsidR="00F176D3">
        <w:tc>
          <w:tcPr>
            <w:tcW w:w="2320" w:type="dxa"/>
            <w:gridSpan w:val="2"/>
            <w:tcBorders>
              <w:top w:val="nil"/>
            </w:tcBorders>
            <w:shd w:val="clear" w:color="auto" w:fill="FFFFFF"/>
          </w:tcPr>
          <w:p w:rsidR="00F176D3" w:rsidRDefault="00F176D3">
            <w:pPr>
              <w:spacing w:before="80" w:after="80" w:line="240" w:lineRule="auto"/>
              <w:rPr>
                <w:b/>
                <w:bCs/>
                <w:sz w:val="18"/>
                <w:szCs w:val="18"/>
              </w:rPr>
            </w:pPr>
          </w:p>
        </w:tc>
        <w:tc>
          <w:tcPr>
            <w:tcW w:w="658" w:type="dxa"/>
            <w:tcBorders>
              <w:top w:val="nil"/>
            </w:tcBorders>
            <w:shd w:val="clear" w:color="auto" w:fill="FFFFFF"/>
          </w:tcPr>
          <w:p w:rsidR="00F176D3" w:rsidRDefault="00F176D3">
            <w:pPr>
              <w:spacing w:before="80" w:after="80" w:line="240" w:lineRule="auto"/>
              <w:jc w:val="center"/>
              <w:rPr>
                <w:sz w:val="18"/>
                <w:szCs w:val="18"/>
              </w:rPr>
            </w:pPr>
            <w:r>
              <w:rPr>
                <w:sz w:val="18"/>
                <w:szCs w:val="18"/>
              </w:rPr>
              <w:t>5b</w:t>
            </w:r>
          </w:p>
        </w:tc>
        <w:tc>
          <w:tcPr>
            <w:tcW w:w="10862" w:type="dxa"/>
            <w:shd w:val="clear" w:color="auto" w:fill="FFFFFF"/>
          </w:tcPr>
          <w:p w:rsidR="00F176D3" w:rsidRDefault="00F176D3">
            <w:pPr>
              <w:spacing w:before="80" w:after="80" w:line="240" w:lineRule="auto"/>
              <w:rPr>
                <w:sz w:val="18"/>
                <w:szCs w:val="18"/>
              </w:rPr>
            </w:pPr>
            <w:r>
              <w:rPr>
                <w:b/>
                <w:bCs/>
                <w:sz w:val="18"/>
                <w:szCs w:val="18"/>
              </w:rPr>
              <w:t>Patient safety monitoring methods and safeguards.</w:t>
            </w:r>
          </w:p>
        </w:tc>
      </w:tr>
      <w:tr w:rsidR="00F176D3">
        <w:tc>
          <w:tcPr>
            <w:tcW w:w="2320" w:type="dxa"/>
            <w:gridSpan w:val="2"/>
            <w:shd w:val="clear" w:color="auto" w:fill="FFFFFF"/>
          </w:tcPr>
          <w:p w:rsidR="00F176D3" w:rsidRDefault="00F176D3">
            <w:pPr>
              <w:spacing w:before="80" w:after="80" w:line="240" w:lineRule="auto"/>
              <w:rPr>
                <w:b/>
                <w:bCs/>
                <w:sz w:val="18"/>
                <w:szCs w:val="18"/>
              </w:rPr>
            </w:pPr>
            <w:r>
              <w:rPr>
                <w:sz w:val="18"/>
                <w:szCs w:val="18"/>
              </w:rPr>
              <w:t>Outcomes</w:t>
            </w:r>
          </w:p>
        </w:tc>
        <w:tc>
          <w:tcPr>
            <w:tcW w:w="658" w:type="dxa"/>
            <w:shd w:val="clear" w:color="auto" w:fill="FFFFFF"/>
          </w:tcPr>
          <w:p w:rsidR="00F176D3" w:rsidRDefault="00F176D3">
            <w:pPr>
              <w:spacing w:before="80" w:after="80" w:line="240" w:lineRule="auto"/>
              <w:jc w:val="center"/>
              <w:rPr>
                <w:sz w:val="18"/>
                <w:szCs w:val="18"/>
              </w:rPr>
            </w:pPr>
            <w:r>
              <w:rPr>
                <w:sz w:val="18"/>
                <w:szCs w:val="18"/>
              </w:rPr>
              <w:t>6</w:t>
            </w:r>
          </w:p>
        </w:tc>
        <w:tc>
          <w:tcPr>
            <w:tcW w:w="10862" w:type="dxa"/>
            <w:shd w:val="clear" w:color="auto" w:fill="FFFFFF"/>
          </w:tcPr>
          <w:p w:rsidR="00F176D3" w:rsidRDefault="00F176D3">
            <w:pPr>
              <w:spacing w:before="80" w:after="80" w:line="240" w:lineRule="auto"/>
              <w:rPr>
                <w:color w:val="1C1D1E"/>
                <w:sz w:val="18"/>
                <w:szCs w:val="18"/>
                <w:shd w:val="clear" w:color="auto" w:fill="FFFFFF"/>
                <w:lang w:val="en-US"/>
              </w:rPr>
            </w:pPr>
            <w:r>
              <w:rPr>
                <w:b/>
                <w:bCs/>
                <w:sz w:val="18"/>
                <w:szCs w:val="18"/>
              </w:rPr>
              <w:t xml:space="preserve">Description of outcome measure(s) selected and how they will be assessed, including patient reported outcome measures, when appropriate, utilising those measures that are standardised and validated, when available and applicable. When these are not available, provide rationale for the outcome measure(s) used. </w:t>
            </w:r>
            <w:r>
              <w:rPr>
                <w:sz w:val="18"/>
                <w:szCs w:val="18"/>
              </w:rPr>
              <w:t>Example:</w:t>
            </w:r>
            <w:r>
              <w:rPr>
                <w:b/>
                <w:bCs/>
                <w:sz w:val="18"/>
                <w:szCs w:val="18"/>
              </w:rPr>
              <w:t xml:space="preserve"> </w:t>
            </w:r>
            <w:r>
              <w:rPr>
                <w:color w:val="1C1D1E"/>
                <w:sz w:val="18"/>
                <w:szCs w:val="18"/>
                <w:shd w:val="clear" w:color="auto" w:fill="FFFFFF"/>
                <w:lang w:val="en-US"/>
              </w:rPr>
              <w:t>Perioperative complications including intraoperative complications and all complications occurring during the hospital stay or within 30 days after discharge were graded according to the Clavien-Dindo classification. Complications of Clavien-Dindo grade III (those requiring surgical, endoscopic, or radiologic intervention) or above were regarded as major complications.”</w:t>
            </w:r>
            <w:r>
              <w:rPr>
                <w:sz w:val="18"/>
                <w:szCs w:val="18"/>
              </w:rPr>
              <w:t xml:space="preserve"> </w:t>
            </w:r>
            <w:r>
              <w:rPr>
                <w:sz w:val="18"/>
                <w:szCs w:val="18"/>
              </w:rPr>
              <w:fldChar w:fldCharType="begin" w:fldLock="1"/>
            </w:r>
            <w:r>
              <w:rPr>
                <w:sz w:val="18"/>
                <w:szCs w:val="18"/>
              </w:rPr>
              <w:instrText>ADDIN CSL_CITATION {"citationItems":[{"id":"ITEM-1","itemData":{"DOI":"10.1016/j.oraloncology.2019.05.018","ISSN":"13688375","abstract":"Introduction: The aim of this study was to determine the clinical safety and feasibility of a novel single-port flexible robot for Transoral Robotic Surgery (TORS). Materials and methods: This was a prospective phase II / IDEAL stage 2 clinical trial of both benign and malignant lesions of the head and neck. The primary endpoint included conversion rates and perioperative complications within 30 days following surgery. The study was registered on www.ClinicalTrials.gov (NCT03010813). The Fisher's exact test and Mann-Whitney U test were used to compare categorical, and non-parametric data for the trial. A p value &lt;0.05 was considered to be statistically significant. Statistical analysis was performed with SPSS 20.0 (IBM Corp., Armonk, New York) Results: Twenty-one patients safely underwent TORS with the da Vinci SP (Intuitive Surgical Inc., Sunnyvale, CA) demonstrating the feasibility of access to the nasopharynx, oropharynx, larynx and hypopharynx. There were no conversions of the robotic surgical system. There were no serious adverse events or adverse events related to the use of the robot at 30-day follow-up for all patients. Conclusions: In a prospective Phase II clinical trial, a novel single-port flexible robotic system appears safe and feasible to use for transoral endoscopic head and neck surgery to access the nasopharynx, oropharynx, larynx and hypopharynx.","author":[{"dropping-particle":"","family":"Chan","given":"Jason Y.K.","non-dropping-particle":"","parse-names":false,"suffix":""},{"dropping-particle":"","family":"Tsang","given":"Raymond K.","non-dropping-particle":"","parse-names":false,"suffix":""},{"dropping-particle":"","family":"Holsinger","given":"F. Christopher","non-dropping-particle":"","parse-names":false,"suffix":""},{"dropping-particle":"","family":"Tong","given":"Michael C.F.","non-dropping-particle":"","parse-names":false,"suffix":""},{"dropping-particle":"","family":"Ng","given":"Cherrie W.K.","non-dropping-particle":"","parse-names":false,"suffix":""},{"dropping-particle":"","family":"Chiu","given":"Philip W.Y.","non-dropping-particle":"","parse-names":false,"suffix":""},{"dropping-particle":"","family":"Ng","given":"Simon S.M.","non-dropping-particle":"","parse-names":false,"suffix":""},{"dropping-particle":"","family":"Wong","given":"Eddy W.Y.","non-dropping-particle":"","parse-names":false,"suffix":""}],"container-title":"Oral Oncology","id":"ITEM-1","issued":{"date-parts":[["2019","7"]]},"page":"101-105","title":"Prospective clinical trial to evaluate safety and feasibility of using a single port flexible robotic system for transoral head and neck surgery","type":"article-journal","volume":"94"},"uris":["http://www.mendeley.com/documents/?uuid=c08cf0cf-f2bd-47e8-bda9-7779500c222d"]}],"mendeley":{"formattedCitation":"&lt;sup&gt;6&lt;/sup&gt;","plainTextFormattedCitation":"6","previouslyFormattedCitation":"&lt;sup&gt;6&lt;/sup&gt;"},"properties":{"noteIndex":0},"schema":"https://github.com/citation-style-language/schema/raw/master/csl-citation.json"}</w:instrText>
            </w:r>
            <w:r>
              <w:rPr>
                <w:sz w:val="18"/>
                <w:szCs w:val="18"/>
              </w:rPr>
              <w:fldChar w:fldCharType="separate"/>
            </w:r>
            <w:r>
              <w:rPr>
                <w:noProof/>
                <w:sz w:val="18"/>
                <w:szCs w:val="18"/>
                <w:vertAlign w:val="superscript"/>
              </w:rPr>
              <w:t>6</w:t>
            </w:r>
            <w:r>
              <w:rPr>
                <w:sz w:val="18"/>
                <w:szCs w:val="18"/>
              </w:rPr>
              <w:fldChar w:fldCharType="end"/>
            </w:r>
          </w:p>
        </w:tc>
      </w:tr>
      <w:tr w:rsidR="00F176D3">
        <w:tc>
          <w:tcPr>
            <w:tcW w:w="2320" w:type="dxa"/>
            <w:gridSpan w:val="2"/>
            <w:shd w:val="clear" w:color="auto" w:fill="FFFFFF"/>
          </w:tcPr>
          <w:p w:rsidR="00F176D3" w:rsidRDefault="00F176D3">
            <w:pPr>
              <w:spacing w:before="80" w:after="80" w:line="240" w:lineRule="auto"/>
              <w:rPr>
                <w:b/>
                <w:bCs/>
                <w:sz w:val="18"/>
                <w:szCs w:val="18"/>
              </w:rPr>
            </w:pPr>
            <w:r>
              <w:rPr>
                <w:b/>
                <w:bCs/>
                <w:sz w:val="18"/>
                <w:szCs w:val="18"/>
              </w:rPr>
              <w:t>Results</w:t>
            </w:r>
          </w:p>
        </w:tc>
        <w:tc>
          <w:tcPr>
            <w:tcW w:w="658" w:type="dxa"/>
            <w:shd w:val="clear" w:color="auto" w:fill="FFFFFF"/>
          </w:tcPr>
          <w:p w:rsidR="00F176D3" w:rsidRDefault="00F176D3">
            <w:pPr>
              <w:spacing w:before="80" w:after="80" w:line="240" w:lineRule="auto"/>
              <w:jc w:val="center"/>
              <w:rPr>
                <w:sz w:val="18"/>
                <w:szCs w:val="18"/>
              </w:rPr>
            </w:pPr>
          </w:p>
        </w:tc>
        <w:tc>
          <w:tcPr>
            <w:tcW w:w="10862" w:type="dxa"/>
            <w:shd w:val="clear" w:color="auto" w:fill="FFFFFF"/>
          </w:tcPr>
          <w:p w:rsidR="00F176D3" w:rsidRDefault="00F176D3">
            <w:pPr>
              <w:spacing w:before="80" w:after="80" w:line="240" w:lineRule="auto"/>
              <w:rPr>
                <w:sz w:val="18"/>
                <w:szCs w:val="18"/>
              </w:rPr>
            </w:pPr>
          </w:p>
        </w:tc>
      </w:tr>
      <w:tr w:rsidR="00F176D3">
        <w:tc>
          <w:tcPr>
            <w:tcW w:w="2320" w:type="dxa"/>
            <w:gridSpan w:val="2"/>
            <w:shd w:val="clear" w:color="auto" w:fill="FFFFFF"/>
          </w:tcPr>
          <w:p w:rsidR="00F176D3" w:rsidRDefault="00F176D3">
            <w:pPr>
              <w:spacing w:before="80" w:after="80" w:line="240" w:lineRule="auto"/>
              <w:rPr>
                <w:b/>
                <w:bCs/>
                <w:sz w:val="18"/>
                <w:szCs w:val="18"/>
              </w:rPr>
            </w:pPr>
            <w:r>
              <w:rPr>
                <w:sz w:val="18"/>
                <w:szCs w:val="18"/>
              </w:rPr>
              <w:t>Baseline data</w:t>
            </w:r>
          </w:p>
        </w:tc>
        <w:tc>
          <w:tcPr>
            <w:tcW w:w="658" w:type="dxa"/>
            <w:shd w:val="clear" w:color="auto" w:fill="FFFFFF"/>
          </w:tcPr>
          <w:p w:rsidR="00F176D3" w:rsidRDefault="00F176D3">
            <w:pPr>
              <w:spacing w:before="80" w:after="80" w:line="240" w:lineRule="auto"/>
              <w:jc w:val="center"/>
              <w:rPr>
                <w:sz w:val="18"/>
                <w:szCs w:val="18"/>
              </w:rPr>
            </w:pPr>
            <w:r>
              <w:rPr>
                <w:sz w:val="18"/>
                <w:szCs w:val="18"/>
              </w:rPr>
              <w:t>7</w:t>
            </w:r>
          </w:p>
        </w:tc>
        <w:tc>
          <w:tcPr>
            <w:tcW w:w="10862" w:type="dxa"/>
            <w:shd w:val="clear" w:color="auto" w:fill="FFFFFF"/>
          </w:tcPr>
          <w:p w:rsidR="00F176D3" w:rsidRDefault="00F176D3">
            <w:pPr>
              <w:spacing w:before="80" w:after="80" w:line="240" w:lineRule="auto"/>
              <w:rPr>
                <w:sz w:val="18"/>
                <w:szCs w:val="18"/>
              </w:rPr>
            </w:pPr>
            <w:r>
              <w:rPr>
                <w:b/>
                <w:bCs/>
                <w:sz w:val="18"/>
                <w:szCs w:val="18"/>
              </w:rPr>
              <w:t xml:space="preserve">Patient baseline demographic and clinical characteristics, including how many patients were assessed for treatment and a description of which patients were included, excluded, or refused, and why (to be displayed in a flow diagram format, when appropriate). </w:t>
            </w:r>
            <w:r>
              <w:rPr>
                <w:sz w:val="18"/>
                <w:szCs w:val="18"/>
              </w:rPr>
              <w:t xml:space="preserve">Example: </w:t>
            </w:r>
            <w:r>
              <w:rPr>
                <w:color w:val="1C1D1E"/>
                <w:sz w:val="18"/>
                <w:szCs w:val="18"/>
                <w:shd w:val="clear" w:color="auto" w:fill="FFFFFF"/>
              </w:rPr>
              <w:t>“Seven donor/recipient pairs were ABO identical, and two were compatible. Both cytotoxic and flow-cytometric crossmatch tests were negative in all patients, and no patients had HLA antibodies. The degree of HLA mismatch among the donor and recipient pairs varied from 1/0 to 3/2. Table 3: Surgical, anesthesiologic, and hospitalization parameters.</w:t>
            </w:r>
            <w:r>
              <w:rPr>
                <w:rFonts w:ascii="Times New Roman" w:hAnsi="Times New Roman" w:cs="Times New Roman"/>
              </w:rPr>
              <w:t xml:space="preserve"> </w:t>
            </w:r>
            <w:r>
              <w:rPr>
                <w:color w:val="1C1D1E"/>
                <w:sz w:val="18"/>
                <w:szCs w:val="18"/>
                <w:shd w:val="clear" w:color="auto" w:fill="FFFFFF"/>
              </w:rPr>
              <w:t>The characteristics of recipients and donors are presented in Table 2…..”</w:t>
            </w:r>
            <w:r>
              <w:rPr>
                <w:color w:val="1C1D1E"/>
                <w:sz w:val="18"/>
                <w:szCs w:val="18"/>
              </w:rPr>
              <w:fldChar w:fldCharType="begin" w:fldLock="1"/>
            </w:r>
            <w:r>
              <w:rPr>
                <w:color w:val="1C1D1E"/>
                <w:sz w:val="18"/>
                <w:szCs w:val="18"/>
              </w:rPr>
              <w:instrText>ADDIN CSL_CITATION {"citationItems":[{"id":"ITEM-1","itemData":{"DOI":"10.1016/j.fertnstert.2014.02.024","ISSN":"00150282","PMID":"24582522","abstract":"Objective To report the 6-month results of the first clinical uterus transplantation (UTx) trial. This type of transplantation may become a treatment of absolute uterine-factor infertility (AUFI). Design Prospective observational study. Setting University hospital. Patient(s) Nine AUFI women and their live uterine donors, the majority being mothers. Intervention(s) Live-donor UTx and low-dose induction immunosuppression. Main Outcome Measure(s) Data from preoperative investigations, surgery and follow-up for 6 months. Result(s) Durations of donor and recipient surgery ranged from 10 to 13 hours and from 4 to 6 hours, respectively. No immediate perioperative complications occurred in any of the recipients. After 6 months, seven uteri remained viable with regular menses. Mild rejection episodes occurred in four of these patients. These rejection episodes were effectively reversed by corticosteroid boluses. The two graft losses were because of acute bilateral thrombotic uterine artery occlusions and persistent intrauterine infection. Conclusion(s) The results demonstrate the feasibility of live-donor UTx with a low-dose immunosuppressive protocol. Clinical trial registration number NCT01844362. Copyright © 2014 American Society for Reproductive Medicine, Published by Elsevier Inc.","author":[{"dropping-particle":"","family":"Brännström","given":"Mats","non-dropping-particle":"","parse-names":false,"suffix":""},{"dropping-particle":"","family":"Johannesson","given":"Liza","non-dropping-particle":"","parse-names":false,"suffix":""},{"dropping-particle":"","family":"Dahm-Kähler","given":"Pernilla","non-dropping-particle":"","parse-names":false,"suffix":""},{"dropping-particle":"","family":"Enskog","given":"Anders","non-dropping-particle":"","parse-names":false,"suffix":""},{"dropping-particle":"","family":"Mölne","given":"Johan","non-dropping-particle":"","parse-names":false,"suffix":""},{"dropping-particle":"","family":"Kvarnström","given":"Niclas","non-dropping-particle":"","parse-names":false,"suffix":""},{"dropping-particle":"","family":"Diaz-Garcia","given":"Cesar","non-dropping-particle":"","parse-names":false,"suffix":""},{"dropping-particle":"","family":"Hanafy","given":"Ash","non-dropping-particle":"","parse-names":false,"suffix":""},{"dropping-particle":"","family":"Lundmark","given":"Cecilia","non-dropping-particle":"","parse-names":false,"suffix":""},{"dropping-particle":"","family":"Marcickiewicz","given":"Janusz","non-dropping-particle":"","parse-names":false,"suffix":""},{"dropping-particle":"","family":"Gäbel","given":"Markus","non-dropping-particle":"","parse-names":false,"suffix":""},{"dropping-particle":"","family":"Groth","given":"Klaus","non-dropping-particle":"","parse-names":false,"suffix":""},{"dropping-particle":"","family":"Akouri","given":"Randa","non-dropping-particle":"","parse-names":false,"suffix":""},{"dropping-particle":"","family":"Eklind","given":"Saskia","non-dropping-particle":"","parse-names":false,"suffix":""},{"dropping-particle":"","family":"Holgersson","given":"Jan","non-dropping-particle":"","parse-names":false,"suffix":""},{"dropping-particle":"","family":"Tzakis","given":"Andreas","non-dropping-particle":"","parse-names":false,"suffix":""},{"dropping-particle":"","family":"Olausson","given":"Michael","non-dropping-particle":"","parse-names":false,"suffix":""}],"container-title":"Fertility and Sterility","id":"ITEM-1","issue":"5","issued":{"date-parts":[["2014","5"]]},"page":"1228-1236","title":"First clinical uterus transplantation trial: a six-month report","type":"article-journal","volume":"101"},"uris":["http://www.mendeley.com/documents/?uuid=80b90199-59ce-4cf0-916d-565c52aca67c"]}],"mendeley":{"formattedCitation":"&lt;sup&gt;7&lt;/sup&gt;","plainTextFormattedCitation":"7","previouslyFormattedCitation":"&lt;sup&gt;7&lt;/sup&gt;"},"properties":{"noteIndex":0},"schema":"https://github.com/citation-style-language/schema/raw/master/csl-citation.json"}</w:instrText>
            </w:r>
            <w:r>
              <w:rPr>
                <w:color w:val="1C1D1E"/>
                <w:sz w:val="18"/>
                <w:szCs w:val="18"/>
              </w:rPr>
              <w:fldChar w:fldCharType="separate"/>
            </w:r>
            <w:r>
              <w:rPr>
                <w:noProof/>
                <w:color w:val="1C1D1E"/>
                <w:sz w:val="18"/>
                <w:szCs w:val="18"/>
                <w:vertAlign w:val="superscript"/>
              </w:rPr>
              <w:t>7</w:t>
            </w:r>
            <w:r>
              <w:rPr>
                <w:color w:val="1C1D1E"/>
                <w:sz w:val="18"/>
                <w:szCs w:val="18"/>
              </w:rPr>
              <w:fldChar w:fldCharType="end"/>
            </w:r>
            <w:r>
              <w:rPr>
                <w:sz w:val="18"/>
                <w:szCs w:val="18"/>
              </w:rPr>
              <w:t xml:space="preserve"> </w:t>
            </w:r>
          </w:p>
        </w:tc>
      </w:tr>
      <w:tr w:rsidR="00F176D3">
        <w:tc>
          <w:tcPr>
            <w:tcW w:w="2320" w:type="dxa"/>
            <w:gridSpan w:val="2"/>
            <w:shd w:val="clear" w:color="auto" w:fill="FFFFFF"/>
          </w:tcPr>
          <w:p w:rsidR="00F176D3" w:rsidRDefault="00F176D3">
            <w:pPr>
              <w:spacing w:before="80" w:after="80" w:line="240" w:lineRule="auto"/>
              <w:rPr>
                <w:b/>
                <w:bCs/>
                <w:sz w:val="18"/>
                <w:szCs w:val="18"/>
              </w:rPr>
            </w:pPr>
            <w:r>
              <w:rPr>
                <w:noProof/>
                <w:sz w:val="18"/>
                <w:szCs w:val="18"/>
              </w:rPr>
              <w:t>Intervention</w:t>
            </w:r>
          </w:p>
        </w:tc>
        <w:tc>
          <w:tcPr>
            <w:tcW w:w="658" w:type="dxa"/>
            <w:shd w:val="clear" w:color="auto" w:fill="FFFFFF"/>
          </w:tcPr>
          <w:p w:rsidR="00F176D3" w:rsidRDefault="00F176D3">
            <w:pPr>
              <w:spacing w:before="80" w:after="80" w:line="240" w:lineRule="auto"/>
              <w:jc w:val="center"/>
              <w:rPr>
                <w:sz w:val="18"/>
                <w:szCs w:val="18"/>
              </w:rPr>
            </w:pPr>
            <w:r>
              <w:rPr>
                <w:sz w:val="18"/>
                <w:szCs w:val="18"/>
              </w:rPr>
              <w:t>8</w:t>
            </w:r>
          </w:p>
        </w:tc>
        <w:tc>
          <w:tcPr>
            <w:tcW w:w="10862" w:type="dxa"/>
            <w:shd w:val="clear" w:color="auto" w:fill="FFFFFF"/>
          </w:tcPr>
          <w:p w:rsidR="00F176D3" w:rsidRDefault="00F176D3">
            <w:pPr>
              <w:spacing w:before="80" w:after="80" w:line="240" w:lineRule="auto"/>
              <w:rPr>
                <w:sz w:val="18"/>
                <w:szCs w:val="18"/>
              </w:rPr>
            </w:pPr>
            <w:r>
              <w:rPr>
                <w:b/>
                <w:bCs/>
                <w:sz w:val="18"/>
                <w:szCs w:val="18"/>
              </w:rPr>
              <w:t xml:space="preserve">Transparent reporting of all cases in the sequence they were performed, clearly indicating when and why modifications to the technique took place, including visual aids of the technique and modifications (e.g. photographs, videos, etc) when available. </w:t>
            </w:r>
            <w:r>
              <w:rPr>
                <w:sz w:val="18"/>
                <w:szCs w:val="18"/>
              </w:rPr>
              <w:t>Example:</w:t>
            </w:r>
            <w:r>
              <w:rPr>
                <w:b/>
                <w:bCs/>
                <w:sz w:val="18"/>
                <w:szCs w:val="18"/>
              </w:rPr>
              <w:t xml:space="preserve"> </w:t>
            </w:r>
            <w:r>
              <w:rPr>
                <w:sz w:val="18"/>
                <w:szCs w:val="18"/>
              </w:rPr>
              <w:t>“After case 3, we changed from using robotic to conventional laparoscopy because of the disadvantages associated with using the robot in this phase: more difficulty and danger in visceral manipulation over wide angles and frequent need for staplers, clipping and sealing devices which are managed by the assistant.</w:t>
            </w:r>
            <w:r>
              <w:rPr>
                <w:rFonts w:ascii="Times New Roman" w:hAnsi="Times New Roman" w:cs="Times New Roman"/>
              </w:rPr>
              <w:t xml:space="preserve"> </w:t>
            </w:r>
            <w:r>
              <w:rPr>
                <w:sz w:val="18"/>
                <w:szCs w:val="18"/>
              </w:rPr>
              <w:t>Four of the next 6 cases had mid-thoracic lesions and were scheduled for initial robotic thoracoscopy, conventional laparoscopy and neck anastomosis. However in case 5 the robot was not available ….”</w:t>
            </w:r>
            <w:r>
              <w:rPr>
                <w:sz w:val="18"/>
                <w:szCs w:val="18"/>
              </w:rPr>
              <w:fldChar w:fldCharType="begin" w:fldLock="1"/>
            </w:r>
            <w:r>
              <w:rPr>
                <w:sz w:val="18"/>
                <w:szCs w:val="18"/>
              </w:rPr>
              <w:instrText>ADDIN CSL_CITATION {"citationItems":[{"id":"ITEM-1","itemData":{"DOI":"10.1016/j.ijsu.2015.04.035","ISSN":"17439191","abstract":"Background: The early development of innovative surgical procedures is usually reported as retrospective case series, wasting opportunities to provide useful information and introducing bias. We present a report of an innovative procedure in development, using the Prospective Development Study (PDS) format recommended by the IDEAL Collaboration. Methods: We report the development of robotically assisted oesophagectomy by a two-surgeon team from the first robotic case onwards. Key outcomes (blood loss, robotic operating time, lymph node yield, length of stay and complications) are prospectively reported for each patient sequentially. Reasons for rejecting cases for robotic surgery are explained. All changes to technique or indication are highlighted, showing when they occurred and explaining why they were instituted. Results: The first robotic oesophagectomy was attempted in December 2009. Subsequently 55 oesophagectomies were undertaken, 34 using the robot and 21 without it. Seven deliberate changes in technique occurred during the series. Nodal yield increased markedly after adopting formal mediastinal node dissection and clipping of the thoracic duct. No obvious trends were noted in other outcomes. The robot facilitated Intra-thoracic anastomosis, but mediastinal node dissection showed no advantages due to loss of haptic sensation. Complication rates, R0 rates and nodal yield were considered acceptable. Discussion: Presenting the development experience in this way improved the clarity of transmission of the main learning points for other surgeons, eliminated bias from selective reporting and explained other types of selection bias. The IDEAL Prospective Development Study has clear advantages over standard case series format for presenting uncontrolled early study data from innovative procedures.","author":[{"dropping-particle":"","family":"Diez del Val","given":"Ismael","non-dropping-particle":"","parse-names":false,"suffix":""},{"dropping-particle":"","family":"Loureiro","given":"Carlos","non-dropping-particle":"","parse-names":false,"suffix":""},{"dropping-particle":"","family":"McCulloch","given":"Peter","non-dropping-particle":"","parse-names":false,"suffix":""}],"container-title":"International Journal of Surgery","id":"ITEM-1","issued":{"date-parts":[["2015","7"]]},"page":"104-111","title":"The IDEAL prospective development study format for reporting surgical innovations. An illustrative case study of robotic oesophagectomy","type":"article-journal","volume":"19"},"uris":["http://www.mendeley.com/documents/?uuid=2d952ccb-6bde-4bb6-ba52-7e0248b76b3f"]}],"mendeley":{"formattedCitation":"&lt;sup&gt;8&lt;/sup&gt;","plainTextFormattedCitation":"8","previouslyFormattedCitation":"&lt;sup&gt;8&lt;/sup&gt;"},"properties":{"noteIndex":0},"schema":"https://github.com/citation-style-language/schema/raw/master/csl-citation.json"}</w:instrText>
            </w:r>
            <w:r>
              <w:rPr>
                <w:sz w:val="18"/>
                <w:szCs w:val="18"/>
              </w:rPr>
              <w:fldChar w:fldCharType="separate"/>
            </w:r>
            <w:r>
              <w:rPr>
                <w:noProof/>
                <w:sz w:val="18"/>
                <w:szCs w:val="18"/>
                <w:vertAlign w:val="superscript"/>
              </w:rPr>
              <w:t>8</w:t>
            </w:r>
            <w:r>
              <w:rPr>
                <w:sz w:val="18"/>
                <w:szCs w:val="18"/>
              </w:rPr>
              <w:fldChar w:fldCharType="end"/>
            </w:r>
            <w:r>
              <w:rPr>
                <w:sz w:val="18"/>
                <w:szCs w:val="18"/>
              </w:rPr>
              <w:t xml:space="preserve"> (For excellent visual aides of a surgical technique, see Menon).</w:t>
            </w:r>
            <w:r>
              <w:rPr>
                <w:sz w:val="18"/>
                <w:szCs w:val="18"/>
              </w:rPr>
              <w:fldChar w:fldCharType="begin" w:fldLock="1"/>
            </w:r>
            <w:r>
              <w:rPr>
                <w:sz w:val="18"/>
                <w:szCs w:val="18"/>
              </w:rPr>
              <w:instrText>ADDIN CSL_CITATION {"citationItems":[{"id":"ITEM-1","itemData":{"DOI":"10.1016/j.eururo.2013.11.011","ISSN":"18737560","abstract":"Background Surgical innovation is essential for progress of surgical science, but its implementation comes with potential harms during the learning phase. The Balliol Collaboration has recommended a set of guidelines (Innovation, Development, Exploration, Assessment, Long-term study [IDEAL]) that permit innovation while minimizing complications. Objective To utilize the IDEAL model of surgical innovation in the development of a novel surgical technique, robotic kidney transplantation (RKT) with regional hypothermia, and describe the process of discovery and development. Design, setting, and participants Phase 0 (simulation) studies included the establishment of techniques for pelvic cooling, graft placement in a robotic prostatectomy model, and simulation of the RKT procedure in a cadaveric model. Phase 1 (innovation) studies began in January 2013 and involved treatment of a highly selective small group of patients (n = 7), using the principles utilized in the phase 0 studies, at a tertiary referral center. Intervention IDEAL model implementation in the development of RKT with regional hypothermia. Outcome measurements and statistical analysis For phase 0 studies, the outcomes evaluated included pelvic and body temperature measurements, and technical feasibility assessment. The primary outcome during phase 1 was post-transplant graft function. Other outcomes measured were operative and ischemic times, perioperative complications, and intracorporeal graft surface temperature. Results and limitations Phase 0 (simulation phase): Pelvic cooling to 15-20oC was achieved reproducibly. Using the surgical approach developed for robotic radical prostatectomy, vascular and ureterovesical anastomoses could be done without redocking the robot. Phase 1 (innovation phase): All patients underwent live-donor RKT in the lithotomy position. All grafts functioned immediately. Mean console, anastomotic, and warm ischemia times were 154 min, 29 min, and 2 min, respectively. One patient was re-explored on postoperative day 1. Conclusions Adherence to the IDEAL guidelines put forth by the Balliol Collaboration provided a practical framework for the establishment of a novel surgical procedure, RKT with regional hypothermia, without exposing the initial patients to unacceptable risk. Patient summary The IDEAL model allows safe introduction of new surgical techniques without compromising patient outcomes. © 2013 European Association of Urology.","author":[{"dropping-particle":"","family":"Menon","given":"Mani","non-dropping-particle":"","parse-names":false,"suffix":""},{"dropping-particle":"","family":"Abaza","given":"Ronney","non-dropping-particle":"","parse-names":false,"suffix":""},{"dropping-particle":"","family":"Sood","given":"Akshay","non-dropping-particle":"","parse-names":false,"suffix":""},{"dropping-particle":"","family":"Ahlawat","given":"Rajesh","non-dropping-particle":"","parse-names":false,"suffix":""},{"dropping-particle":"","family":"Ghani","given":"Khurshid R.","non-dropping-particle":"","parse-names":false,"suffix":""},{"dropping-particle":"","family":"Jeong","given":"Wooju","non-dropping-particle":"","parse-names":false,"suffix":""},{"dropping-particle":"","family":"Kher","given":"Vijay","non-dropping-particle":"","parse-names":false,"suffix":""},{"dropping-particle":"","family":"Kumar","given":"Ramesh K.","non-dropping-particle":"","parse-names":false,"suffix":""},{"dropping-particle":"","family":"Bhandari","given":"Mahendra","non-dropping-particle":"","parse-names":false,"suffix":""}],"container-title":"European Urology","id":"ITEM-1","issue":"5","issued":{"date-parts":[["2014"]]},"page":"1001-1009","publisher":"European Association of Urology","title":"Robotic kidney transplantation with regional hypothermia: Evolution of a novel procedure utilizing the IDEAL guidelines (IDEAL phase 0 and 1)","type":"article-journal","volume":"65"},"uris":["http://www.mendeley.com/documents/?uuid=b4fc04cc-459b-4484-97b5-3e0806af2ae0"]}],"mendeley":{"formattedCitation":"&lt;sup&gt;1&lt;/sup&gt;","plainTextFormattedCitation":"1","previouslyFormattedCitation":"&lt;sup&gt;1&lt;/sup&gt;"},"properties":{"noteIndex":0},"schema":"https://github.com/citation-style-language/schema/raw/master/csl-citation.json"}</w:instrText>
            </w:r>
            <w:r>
              <w:rPr>
                <w:sz w:val="18"/>
                <w:szCs w:val="18"/>
              </w:rPr>
              <w:fldChar w:fldCharType="separate"/>
            </w:r>
            <w:r>
              <w:rPr>
                <w:noProof/>
                <w:sz w:val="18"/>
                <w:szCs w:val="18"/>
                <w:vertAlign w:val="superscript"/>
              </w:rPr>
              <w:t>1</w:t>
            </w:r>
            <w:r>
              <w:rPr>
                <w:sz w:val="18"/>
                <w:szCs w:val="18"/>
              </w:rPr>
              <w:fldChar w:fldCharType="end"/>
            </w:r>
            <w:r>
              <w:rPr>
                <w:sz w:val="18"/>
                <w:szCs w:val="18"/>
              </w:rPr>
              <w:t xml:space="preserve"> </w:t>
            </w:r>
          </w:p>
        </w:tc>
      </w:tr>
      <w:tr w:rsidR="00F176D3">
        <w:tc>
          <w:tcPr>
            <w:tcW w:w="2320" w:type="dxa"/>
            <w:gridSpan w:val="2"/>
            <w:shd w:val="clear" w:color="auto" w:fill="FFFFFF"/>
          </w:tcPr>
          <w:p w:rsidR="00F176D3" w:rsidRDefault="00F176D3">
            <w:pPr>
              <w:spacing w:before="80" w:after="80" w:line="240" w:lineRule="auto"/>
              <w:rPr>
                <w:b/>
                <w:bCs/>
                <w:sz w:val="18"/>
                <w:szCs w:val="18"/>
              </w:rPr>
            </w:pPr>
            <w:r>
              <w:rPr>
                <w:sz w:val="18"/>
                <w:szCs w:val="18"/>
              </w:rPr>
              <w:t>Outcomes</w:t>
            </w:r>
          </w:p>
        </w:tc>
        <w:tc>
          <w:tcPr>
            <w:tcW w:w="658" w:type="dxa"/>
            <w:shd w:val="clear" w:color="auto" w:fill="FFFFFF"/>
          </w:tcPr>
          <w:p w:rsidR="00F176D3" w:rsidRDefault="00F176D3">
            <w:pPr>
              <w:spacing w:before="80" w:after="80" w:line="240" w:lineRule="auto"/>
              <w:jc w:val="center"/>
              <w:rPr>
                <w:sz w:val="18"/>
                <w:szCs w:val="18"/>
              </w:rPr>
            </w:pPr>
            <w:r>
              <w:rPr>
                <w:sz w:val="18"/>
                <w:szCs w:val="18"/>
              </w:rPr>
              <w:t>9</w:t>
            </w:r>
          </w:p>
        </w:tc>
        <w:tc>
          <w:tcPr>
            <w:tcW w:w="10862" w:type="dxa"/>
            <w:shd w:val="clear" w:color="auto" w:fill="FFFFFF"/>
          </w:tcPr>
          <w:p w:rsidR="00F176D3" w:rsidRDefault="00F176D3">
            <w:pPr>
              <w:spacing w:before="80" w:after="80" w:line="240" w:lineRule="auto"/>
              <w:rPr>
                <w:sz w:val="18"/>
                <w:szCs w:val="18"/>
              </w:rPr>
            </w:pPr>
            <w:r>
              <w:rPr>
                <w:b/>
                <w:bCs/>
                <w:color w:val="000000"/>
                <w:sz w:val="18"/>
                <w:szCs w:val="18"/>
              </w:rPr>
              <w:t xml:space="preserve">Technical, clinical and patient-reported outcomes described for each patient, with all available outcome data incorporated into a comprehensive table or graph, whenever possible, to allow for the relationship to be clearly visualized between technique modifications and outcomes. </w:t>
            </w:r>
            <w:r>
              <w:rPr>
                <w:color w:val="000000"/>
                <w:sz w:val="18"/>
                <w:szCs w:val="18"/>
              </w:rPr>
              <w:t xml:space="preserve">Example: </w:t>
            </w:r>
            <w:r>
              <w:rPr>
                <w:sz w:val="18"/>
                <w:szCs w:val="18"/>
                <w:lang w:val="en-US"/>
              </w:rPr>
              <w:t xml:space="preserve"> See the visual aids in paper illustrating whether there were temporal relationships between technique modifications and patient outcomes. When specific technical changes were implemented are denoted on the x axis while complications are denoted above by downward pointing arrows.”</w:t>
            </w:r>
            <w:r>
              <w:rPr>
                <w:sz w:val="18"/>
                <w:szCs w:val="18"/>
              </w:rPr>
              <w:t xml:space="preserve"> </w:t>
            </w:r>
            <w:r>
              <w:rPr>
                <w:sz w:val="18"/>
                <w:szCs w:val="18"/>
              </w:rPr>
              <w:fldChar w:fldCharType="begin" w:fldLock="1"/>
            </w:r>
            <w:r>
              <w:rPr>
                <w:sz w:val="18"/>
                <w:szCs w:val="18"/>
              </w:rPr>
              <w:instrText>ADDIN CSL_CITATION {"citationItems":[{"id":"ITEM-1","itemData":{"DOI":"10.1016/j.ijsu.2015.04.035","ISSN":"17439191","abstract":"Background: The early development of innovative surgical procedures is usually reported as retrospective case series, wasting opportunities to provide useful information and introducing bias. We present a report of an innovative procedure in development, using the Prospective Development Study (PDS) format recommended by the IDEAL Collaboration. Methods: We report the development of robotically assisted oesophagectomy by a two-surgeon team from the first robotic case onwards. Key outcomes (blood loss, robotic operating time, lymph node yield, length of stay and complications) are prospectively reported for each patient sequentially. Reasons for rejecting cases for robotic surgery are explained. All changes to technique or indication are highlighted, showing when they occurred and explaining why they were instituted. Results: The first robotic oesophagectomy was attempted in December 2009. Subsequently 55 oesophagectomies were undertaken, 34 using the robot and 21 without it. Seven deliberate changes in technique occurred during the series. Nodal yield increased markedly after adopting formal mediastinal node dissection and clipping of the thoracic duct. No obvious trends were noted in other outcomes. The robot facilitated Intra-thoracic anastomosis, but mediastinal node dissection showed no advantages due to loss of haptic sensation. Complication rates, R0 rates and nodal yield were considered acceptable. Discussion: Presenting the development experience in this way improved the clarity of transmission of the main learning points for other surgeons, eliminated bias from selective reporting and explained other types of selection bias. The IDEAL Prospective Development Study has clear advantages over standard case series format for presenting uncontrolled early study data from innovative procedures.","author":[{"dropping-particle":"","family":"Diez del Val","given":"Ismael","non-dropping-particle":"","parse-names":false,"suffix":""},{"dropping-particle":"","family":"Loureiro","given":"Carlos","non-dropping-particle":"","parse-names":false,"suffix":""},{"dropping-particle":"","family":"McCulloch","given":"Peter","non-dropping-particle":"","parse-names":false,"suffix":""}],"container-title":"International Journal of Surgery","id":"ITEM-1","issued":{"date-parts":[["2015","7"]]},"page":"104-111","title":"The IDEAL prospective development study format for reporting surgical innovations. An illustrative case study of robotic oesophagectomy","type":"article-journal","volume":"19"},"uris":["http://www.mendeley.com/documents/?uuid=2d952ccb-6bde-4bb6-ba52-7e0248b76b3f"]}],"mendeley":{"formattedCitation":"&lt;sup&gt;8&lt;/sup&gt;","plainTextFormattedCitation":"8","previouslyFormattedCitation":"&lt;sup&gt;8&lt;/sup&gt;"},"properties":{"noteIndex":0},"schema":"https://github.com/citation-style-language/schema/raw/master/csl-citation.json"}</w:instrText>
            </w:r>
            <w:r>
              <w:rPr>
                <w:sz w:val="18"/>
                <w:szCs w:val="18"/>
              </w:rPr>
              <w:fldChar w:fldCharType="separate"/>
            </w:r>
            <w:r>
              <w:rPr>
                <w:noProof/>
                <w:sz w:val="18"/>
                <w:szCs w:val="18"/>
                <w:vertAlign w:val="superscript"/>
              </w:rPr>
              <w:t>8</w:t>
            </w:r>
            <w:r>
              <w:rPr>
                <w:sz w:val="18"/>
                <w:szCs w:val="18"/>
              </w:rPr>
              <w:fldChar w:fldCharType="end"/>
            </w:r>
          </w:p>
        </w:tc>
      </w:tr>
      <w:tr w:rsidR="00F176D3">
        <w:tc>
          <w:tcPr>
            <w:tcW w:w="2320" w:type="dxa"/>
            <w:gridSpan w:val="2"/>
            <w:shd w:val="clear" w:color="auto" w:fill="FFFFFF"/>
          </w:tcPr>
          <w:p w:rsidR="00F176D3" w:rsidRDefault="00F176D3">
            <w:pPr>
              <w:spacing w:before="80" w:after="80" w:line="240" w:lineRule="auto"/>
              <w:rPr>
                <w:b/>
                <w:bCs/>
                <w:sz w:val="18"/>
                <w:szCs w:val="18"/>
              </w:rPr>
            </w:pPr>
            <w:r>
              <w:rPr>
                <w:sz w:val="18"/>
                <w:szCs w:val="18"/>
              </w:rPr>
              <w:t>Harms</w:t>
            </w:r>
          </w:p>
        </w:tc>
        <w:tc>
          <w:tcPr>
            <w:tcW w:w="658" w:type="dxa"/>
            <w:shd w:val="clear" w:color="auto" w:fill="FFFFFF"/>
          </w:tcPr>
          <w:p w:rsidR="00F176D3" w:rsidRDefault="00F176D3">
            <w:pPr>
              <w:spacing w:before="80" w:after="80" w:line="240" w:lineRule="auto"/>
              <w:jc w:val="center"/>
              <w:rPr>
                <w:sz w:val="18"/>
                <w:szCs w:val="18"/>
              </w:rPr>
            </w:pPr>
            <w:r>
              <w:rPr>
                <w:sz w:val="18"/>
                <w:szCs w:val="18"/>
              </w:rPr>
              <w:t>10</w:t>
            </w:r>
          </w:p>
        </w:tc>
        <w:tc>
          <w:tcPr>
            <w:tcW w:w="10862" w:type="dxa"/>
            <w:shd w:val="clear" w:color="auto" w:fill="FFFFFF"/>
          </w:tcPr>
          <w:p w:rsidR="00F176D3" w:rsidRDefault="00F176D3">
            <w:pPr>
              <w:spacing w:before="80" w:after="80" w:line="240" w:lineRule="auto"/>
              <w:rPr>
                <w:sz w:val="18"/>
                <w:szCs w:val="18"/>
              </w:rPr>
            </w:pPr>
            <w:r>
              <w:rPr>
                <w:b/>
                <w:bCs/>
                <w:color w:val="000000"/>
                <w:sz w:val="18"/>
                <w:szCs w:val="18"/>
              </w:rPr>
              <w:t xml:space="preserve">Transparent account of all harms or unintended effects reported for each patient. </w:t>
            </w:r>
            <w:r>
              <w:rPr>
                <w:color w:val="000000"/>
                <w:sz w:val="18"/>
                <w:szCs w:val="18"/>
              </w:rPr>
              <w:t xml:space="preserve">Example: </w:t>
            </w:r>
            <w:r>
              <w:rPr>
                <w:color w:val="1C1D1E"/>
                <w:sz w:val="18"/>
                <w:szCs w:val="18"/>
                <w:shd w:val="clear" w:color="auto" w:fill="FFFFFF"/>
              </w:rPr>
              <w:t>See item 12 in stage 2B.</w:t>
            </w:r>
          </w:p>
        </w:tc>
      </w:tr>
      <w:tr w:rsidR="00F176D3">
        <w:tc>
          <w:tcPr>
            <w:tcW w:w="2320" w:type="dxa"/>
            <w:gridSpan w:val="2"/>
            <w:tcBorders>
              <w:right w:val="nil"/>
            </w:tcBorders>
            <w:shd w:val="clear" w:color="auto" w:fill="FFFFFF"/>
          </w:tcPr>
          <w:p w:rsidR="00F176D3" w:rsidRDefault="00F176D3">
            <w:pPr>
              <w:spacing w:before="80" w:after="80" w:line="240" w:lineRule="auto"/>
              <w:rPr>
                <w:b/>
                <w:bCs/>
                <w:sz w:val="18"/>
                <w:szCs w:val="18"/>
              </w:rPr>
            </w:pPr>
            <w:r>
              <w:rPr>
                <w:b/>
                <w:bCs/>
                <w:sz w:val="18"/>
                <w:szCs w:val="18"/>
              </w:rPr>
              <w:t>Discussion</w:t>
            </w:r>
          </w:p>
        </w:tc>
        <w:tc>
          <w:tcPr>
            <w:tcW w:w="658" w:type="dxa"/>
            <w:tcBorders>
              <w:left w:val="nil"/>
              <w:right w:val="nil"/>
            </w:tcBorders>
            <w:shd w:val="clear" w:color="auto" w:fill="FFFFFF"/>
          </w:tcPr>
          <w:p w:rsidR="00F176D3" w:rsidRDefault="00F176D3">
            <w:pPr>
              <w:spacing w:before="80" w:after="80" w:line="240" w:lineRule="auto"/>
              <w:jc w:val="center"/>
              <w:rPr>
                <w:sz w:val="18"/>
                <w:szCs w:val="18"/>
              </w:rPr>
            </w:pPr>
          </w:p>
        </w:tc>
        <w:tc>
          <w:tcPr>
            <w:tcW w:w="10862" w:type="dxa"/>
            <w:tcBorders>
              <w:left w:val="nil"/>
            </w:tcBorders>
            <w:shd w:val="clear" w:color="auto" w:fill="FFFFFF"/>
          </w:tcPr>
          <w:p w:rsidR="00F176D3" w:rsidRDefault="00F176D3">
            <w:pPr>
              <w:spacing w:before="80" w:after="80" w:line="240" w:lineRule="auto"/>
              <w:rPr>
                <w:sz w:val="18"/>
                <w:szCs w:val="18"/>
              </w:rPr>
            </w:pPr>
          </w:p>
        </w:tc>
      </w:tr>
      <w:tr w:rsidR="00F176D3">
        <w:tc>
          <w:tcPr>
            <w:tcW w:w="2320" w:type="dxa"/>
            <w:gridSpan w:val="2"/>
            <w:shd w:val="clear" w:color="auto" w:fill="FFFFFF"/>
          </w:tcPr>
          <w:p w:rsidR="00F176D3" w:rsidRDefault="00F176D3">
            <w:pPr>
              <w:spacing w:before="80" w:after="80" w:line="240" w:lineRule="auto"/>
              <w:rPr>
                <w:b/>
                <w:bCs/>
                <w:sz w:val="18"/>
                <w:szCs w:val="18"/>
              </w:rPr>
            </w:pPr>
            <w:r>
              <w:rPr>
                <w:sz w:val="18"/>
                <w:szCs w:val="18"/>
              </w:rPr>
              <w:t>Interpretation</w:t>
            </w:r>
          </w:p>
        </w:tc>
        <w:tc>
          <w:tcPr>
            <w:tcW w:w="658" w:type="dxa"/>
            <w:shd w:val="clear" w:color="auto" w:fill="FFFFFF"/>
          </w:tcPr>
          <w:p w:rsidR="00F176D3" w:rsidRDefault="00F176D3">
            <w:pPr>
              <w:spacing w:before="80" w:after="80" w:line="240" w:lineRule="auto"/>
              <w:jc w:val="center"/>
              <w:rPr>
                <w:sz w:val="18"/>
                <w:szCs w:val="18"/>
              </w:rPr>
            </w:pPr>
            <w:r>
              <w:rPr>
                <w:sz w:val="18"/>
                <w:szCs w:val="18"/>
              </w:rPr>
              <w:t>11</w:t>
            </w:r>
          </w:p>
        </w:tc>
        <w:tc>
          <w:tcPr>
            <w:tcW w:w="10862" w:type="dxa"/>
            <w:shd w:val="clear" w:color="auto" w:fill="FFFFFF"/>
          </w:tcPr>
          <w:p w:rsidR="00F176D3" w:rsidRDefault="00F176D3">
            <w:pPr>
              <w:spacing w:before="80" w:after="80" w:line="240" w:lineRule="auto"/>
              <w:rPr>
                <w:sz w:val="18"/>
                <w:szCs w:val="18"/>
              </w:rPr>
            </w:pPr>
            <w:r>
              <w:rPr>
                <w:b/>
                <w:bCs/>
                <w:sz w:val="18"/>
                <w:szCs w:val="18"/>
              </w:rPr>
              <w:t xml:space="preserve">Analysis of technique development, including consistency of results and a balanced discussion of benefits and harms. </w:t>
            </w:r>
            <w:r>
              <w:rPr>
                <w:sz w:val="18"/>
                <w:szCs w:val="18"/>
              </w:rPr>
              <w:t>Example:</w:t>
            </w:r>
            <w:r>
              <w:rPr>
                <w:b/>
                <w:bCs/>
                <w:sz w:val="18"/>
                <w:szCs w:val="18"/>
              </w:rPr>
              <w:t xml:space="preserve"> “</w:t>
            </w:r>
            <w:r>
              <w:rPr>
                <w:sz w:val="18"/>
                <w:szCs w:val="18"/>
              </w:rPr>
              <w:t xml:space="preserve">this safety and feasibility trial of the da Vinci SP demonstrates that the device is likely safe and that it is feasible in performing transoral surgery to access the nasopharynx, oropharynx, larynx and hypopharyngeal region for the treatment of both benign and malignant lesions. Importantly, this has been achieved in a predominantly Southern Chinese population utilizing a Crowe-Davis oral retractor to overcome the particular, smaller cranio-facial measurements in our population as compared to Caucasians….There are some limitations with the current system, despite the benefit with the extra arm there is less working space for an assistant to, in particular, aid with suction. However, this can be largely overcome with a suction catheter placed through the nasal cavity into the desired location. Another limitation is the lack of bone instrumentation to resect, in particular tumours of the nasopharynx and skull base. Finally, tailor made instrumentation for finer dissections are needed to expand the performance for the system to be used on the glottic larynx.” </w:t>
            </w:r>
            <w:r>
              <w:rPr>
                <w:sz w:val="18"/>
                <w:szCs w:val="18"/>
              </w:rPr>
              <w:fldChar w:fldCharType="begin" w:fldLock="1"/>
            </w:r>
            <w:r>
              <w:rPr>
                <w:sz w:val="18"/>
                <w:szCs w:val="18"/>
              </w:rPr>
              <w:instrText>ADDIN CSL_CITATION {"citationItems":[{"id":"ITEM-1","itemData":{"DOI":"10.1016/j.oraloncology.2019.05.018","ISSN":"13688375","abstract":"Introduction: The aim of this study was to determine the clinical safety and feasibility of a novel single-port flexible robot for Transoral Robotic Surgery (TORS). Materials and methods: This was a prospective phase II / IDEAL stage 2 clinical trial of both benign and malignant lesions of the head and neck. The primary endpoint included conversion rates and perioperative complications within 30 days following surgery. The study was registered on www.ClinicalTrials.gov (NCT03010813). The Fisher's exact test and Mann-Whitney U test were used to compare categorical, and non-parametric data for the trial. A p value &lt;0.05 was considered to be statistically significant. Statistical analysis was performed with SPSS 20.0 (IBM Corp., Armonk, New York) Results: Twenty-one patients safely underwent TORS with the da Vinci SP (Intuitive Surgical Inc., Sunnyvale, CA) demonstrating the feasibility of access to the nasopharynx, oropharynx, larynx and hypopharynx. There were no conversions of the robotic surgical system. There were no serious adverse events or adverse events related to the use of the robot at 30-day follow-up for all patients. Conclusions: In a prospective Phase II clinical trial, a novel single-port flexible robotic system appears safe and feasible to use for transoral endoscopic head and neck surgery to access the nasopharynx, oropharynx, larynx and hypopharynx.","author":[{"dropping-particle":"","family":"Chan","given":"Jason Y.K.","non-dropping-particle":"","parse-names":false,"suffix":""},{"dropping-particle":"","family":"Tsang","given":"Raymond K.","non-dropping-particle":"","parse-names":false,"suffix":""},{"dropping-particle":"","family":"Holsinger","given":"F. Christopher","non-dropping-particle":"","parse-names":false,"suffix":""},{"dropping-particle":"","family":"Tong","given":"Michael C.F.","non-dropping-particle":"","parse-names":false,"suffix":""},{"dropping-particle":"","family":"Ng","given":"Cherrie W.K.","non-dropping-particle":"","parse-names":false,"suffix":""},{"dropping-particle":"","family":"Chiu","given":"Philip W.Y.","non-dropping-particle":"","parse-names":false,"suffix":""},{"dropping-particle":"","family":"Ng","given":"Simon S.M.","non-dropping-particle":"","parse-names":false,"suffix":""},{"dropping-particle":"","family":"Wong","given":"Eddy W.Y.","non-dropping-particle":"","parse-names":false,"suffix":""}],"container-title":"Oral Oncology","id":"ITEM-1","issued":{"date-parts":[["2019","7"]]},"page":"101-105","title":"Prospective clinical trial to evaluate safety and feasibility of using a single port flexible robotic system for transoral head and neck surgery","type":"article-journal","volume":"94"},"uris":["http://www.mendeley.com/documents/?uuid=c08cf0cf-f2bd-47e8-bda9-7779500c222d"]}],"mendeley":{"formattedCitation":"&lt;sup&gt;6&lt;/sup&gt;","plainTextFormattedCitation":"6","previouslyFormattedCitation":"&lt;sup&gt;6&lt;/sup&gt;"},"properties":{"noteIndex":0},"schema":"https://github.com/citation-style-language/schema/raw/master/csl-citation.json"}</w:instrText>
            </w:r>
            <w:r>
              <w:rPr>
                <w:sz w:val="18"/>
                <w:szCs w:val="18"/>
              </w:rPr>
              <w:fldChar w:fldCharType="separate"/>
            </w:r>
            <w:r>
              <w:rPr>
                <w:noProof/>
                <w:sz w:val="18"/>
                <w:szCs w:val="18"/>
                <w:vertAlign w:val="superscript"/>
              </w:rPr>
              <w:t>6</w:t>
            </w:r>
            <w:r>
              <w:rPr>
                <w:sz w:val="18"/>
                <w:szCs w:val="18"/>
              </w:rPr>
              <w:fldChar w:fldCharType="end"/>
            </w:r>
          </w:p>
        </w:tc>
      </w:tr>
      <w:tr w:rsidR="00F176D3">
        <w:tc>
          <w:tcPr>
            <w:tcW w:w="2320" w:type="dxa"/>
            <w:gridSpan w:val="2"/>
            <w:shd w:val="clear" w:color="auto" w:fill="FFFFFF"/>
          </w:tcPr>
          <w:p w:rsidR="00F176D3" w:rsidRDefault="00F176D3">
            <w:pPr>
              <w:spacing w:before="80" w:after="80" w:line="240" w:lineRule="auto"/>
              <w:rPr>
                <w:b/>
                <w:bCs/>
                <w:sz w:val="18"/>
                <w:szCs w:val="18"/>
              </w:rPr>
            </w:pPr>
            <w:r>
              <w:rPr>
                <w:sz w:val="18"/>
                <w:szCs w:val="18"/>
              </w:rPr>
              <w:t>Limitations</w:t>
            </w:r>
          </w:p>
        </w:tc>
        <w:tc>
          <w:tcPr>
            <w:tcW w:w="658" w:type="dxa"/>
            <w:shd w:val="clear" w:color="auto" w:fill="FFFFFF"/>
          </w:tcPr>
          <w:p w:rsidR="00F176D3" w:rsidRDefault="00F176D3">
            <w:pPr>
              <w:spacing w:before="80" w:after="80" w:line="240" w:lineRule="auto"/>
              <w:jc w:val="center"/>
              <w:rPr>
                <w:sz w:val="18"/>
                <w:szCs w:val="18"/>
              </w:rPr>
            </w:pPr>
            <w:r>
              <w:rPr>
                <w:sz w:val="18"/>
                <w:szCs w:val="18"/>
              </w:rPr>
              <w:t>12</w:t>
            </w:r>
          </w:p>
        </w:tc>
        <w:tc>
          <w:tcPr>
            <w:tcW w:w="10862" w:type="dxa"/>
            <w:shd w:val="clear" w:color="auto" w:fill="FFFFFF"/>
          </w:tcPr>
          <w:p w:rsidR="00F176D3" w:rsidRDefault="00F176D3">
            <w:pPr>
              <w:spacing w:before="80" w:after="80" w:line="240" w:lineRule="auto"/>
              <w:rPr>
                <w:sz w:val="18"/>
                <w:szCs w:val="18"/>
              </w:rPr>
            </w:pPr>
            <w:r>
              <w:rPr>
                <w:b/>
                <w:bCs/>
                <w:color w:val="000000"/>
                <w:sz w:val="18"/>
                <w:szCs w:val="18"/>
              </w:rPr>
              <w:t xml:space="preserve">Study limitations, addressing sources of potential bias. </w:t>
            </w:r>
            <w:r>
              <w:rPr>
                <w:color w:val="000000"/>
                <w:sz w:val="18"/>
                <w:szCs w:val="18"/>
              </w:rPr>
              <w:t>Example:</w:t>
            </w:r>
            <w:r>
              <w:rPr>
                <w:b/>
                <w:bCs/>
                <w:color w:val="000000"/>
                <w:sz w:val="18"/>
                <w:szCs w:val="18"/>
              </w:rPr>
              <w:t xml:space="preserve">  </w:t>
            </w:r>
            <w:r>
              <w:rPr>
                <w:color w:val="000000"/>
                <w:sz w:val="18"/>
                <w:szCs w:val="18"/>
              </w:rPr>
              <w:t>See item 14 in Stage 2B</w:t>
            </w:r>
          </w:p>
        </w:tc>
      </w:tr>
      <w:tr w:rsidR="00F176D3">
        <w:tc>
          <w:tcPr>
            <w:tcW w:w="2320" w:type="dxa"/>
            <w:gridSpan w:val="2"/>
            <w:tcBorders>
              <w:bottom w:val="nil"/>
            </w:tcBorders>
            <w:shd w:val="clear" w:color="auto" w:fill="FFFFFF"/>
          </w:tcPr>
          <w:p w:rsidR="00F176D3" w:rsidRDefault="00F176D3">
            <w:pPr>
              <w:spacing w:before="80" w:after="80" w:line="240" w:lineRule="auto"/>
              <w:rPr>
                <w:i/>
                <w:iCs/>
                <w:sz w:val="18"/>
                <w:szCs w:val="18"/>
              </w:rPr>
            </w:pPr>
            <w:r>
              <w:rPr>
                <w:i/>
                <w:iCs/>
                <w:sz w:val="18"/>
                <w:szCs w:val="18"/>
              </w:rPr>
              <w:t>Stage End-Points</w:t>
            </w:r>
          </w:p>
        </w:tc>
        <w:tc>
          <w:tcPr>
            <w:tcW w:w="658" w:type="dxa"/>
            <w:tcBorders>
              <w:bottom w:val="nil"/>
            </w:tcBorders>
            <w:shd w:val="clear" w:color="auto" w:fill="FFFFFF"/>
          </w:tcPr>
          <w:p w:rsidR="00F176D3" w:rsidRDefault="00F176D3">
            <w:pPr>
              <w:spacing w:before="80" w:after="80" w:line="240" w:lineRule="auto"/>
              <w:jc w:val="center"/>
              <w:rPr>
                <w:sz w:val="18"/>
                <w:szCs w:val="18"/>
              </w:rPr>
            </w:pPr>
            <w:r>
              <w:rPr>
                <w:sz w:val="18"/>
                <w:szCs w:val="18"/>
              </w:rPr>
              <w:t>13a</w:t>
            </w:r>
          </w:p>
        </w:tc>
        <w:tc>
          <w:tcPr>
            <w:tcW w:w="10862" w:type="dxa"/>
            <w:shd w:val="clear" w:color="auto" w:fill="FFFFFF"/>
          </w:tcPr>
          <w:p w:rsidR="00F176D3" w:rsidRDefault="00F176D3">
            <w:pPr>
              <w:spacing w:before="80" w:after="80" w:line="240" w:lineRule="auto"/>
              <w:rPr>
                <w:sz w:val="18"/>
                <w:szCs w:val="18"/>
              </w:rPr>
            </w:pPr>
            <w:r>
              <w:rPr>
                <w:b/>
                <w:bCs/>
                <w:color w:val="000000"/>
                <w:sz w:val="18"/>
                <w:szCs w:val="18"/>
              </w:rPr>
              <w:t xml:space="preserve">Have the technique and outcomes reached stability in the hands of the current team (e.g. there is no intent to make further major modifications to the technique, and patient outcomes are stable)? Include an explanation of how you determined stability. </w:t>
            </w:r>
            <w:r>
              <w:rPr>
                <w:color w:val="000000"/>
                <w:sz w:val="18"/>
                <w:szCs w:val="18"/>
              </w:rPr>
              <w:t>Example: Blazeby, et al,  report the instability of the technique and resulting decision: “…stage 2a (modiﬁcation of the technique to two-phase MIO) was abandoned following consecutive technical complications.”</w:t>
            </w:r>
            <w:r>
              <w:rPr>
                <w:color w:val="000000"/>
                <w:sz w:val="18"/>
                <w:szCs w:val="18"/>
              </w:rPr>
              <w:fldChar w:fldCharType="begin" w:fldLock="1"/>
            </w:r>
            <w:r>
              <w:rPr>
                <w:color w:val="000000"/>
                <w:sz w:val="18"/>
                <w:szCs w:val="18"/>
              </w:rPr>
              <w:instrText>ADDIN CSL_CITATION {"citationItems":[{"id":"ITEM-1","itemData":{"DOI":"10.1002/bjs.7387","ISSN":"00071323","abstract":"Background: The Idea, Development, Evaluation, Assessment and Long term study (IDEAL) framework makes recommendations for evaluating and reporting surgical innovation and adoption, but remains untested. Methods: A prospective database was created for the introduction of minimally invasive techniques for oesophagectomy. IDEAL stages of development and evaluation were examined retrospectively in a series of patients undergoing laparoscopically assisted oesophagectomy (LAO), two- or three-phase minimally invasive oesophagectomy (MIO) and open oesophagectomy. Results: A total of 192 patients were involved. In IDEAL stages 1 and 2a, LAO in 16 patients was uneventful, but two-phase MIO in six patients was abandoned following consecutive technical complications. Two-phase MIO was modified to a three-phase MIO procedure, and the results of LAO (67 patients), three-phase MIO (35) and open techniques (68) were studied in IDEAL stage 2b. Major complications (Clavien-Dindo grades III and IV) occurred in 12 (18 per cent), nine (26 per cent) and 14 (21 per cent) LAO, three-phase MIO and open procedures respectively. There were four in-hospital deaths (2 LAO and 2 open). Conclusion: The IDEAL framework is a feasible method for documenting the development and implementation of a procedure. MIO should now be compared with open surgery in a randomized controlled trial (IDEAL stage 3). © 2011 British Journal of Surgery Society Ltd.","author":[{"dropping-particle":"","family":"Blazeby","given":"J. M.","non-dropping-particle":"","parse-names":false,"suffix":""},{"dropping-particle":"","family":"Blencowe","given":"N. S.","non-dropping-particle":"","parse-names":false,"suffix":""},{"dropping-particle":"","family":"Titcomb","given":"D. R.","non-dropping-particle":"","parse-names":false,"suffix":""},{"dropping-particle":"","family":"Metcalfe","given":"C.","non-dropping-particle":"","parse-names":false,"suffix":""},{"dropping-particle":"","family":"Hollowood","given":"A. D.","non-dropping-particle":"","parse-names":false,"suffix":""},{"dropping-particle":"","family":"Barham","given":"C. P.","non-dropping-particle":"","parse-names":false,"suffix":""}],"container-title":"British Journal of Surgery","id":"ITEM-1","issue":"4","issued":{"date-parts":[["2011","4"]]},"page":"544-551","title":"Demonstration of the IDEAL recommendations for evaluating and reporting surgical innovation in minimally invasive oesophagectomy","type":"article-journal","volume":"98"},"uris":["http://www.mendeley.com/documents/?uuid=d4529acb-472c-45c6-a9db-f4f4a7ba7449"]}],"mendeley":{"formattedCitation":"&lt;sup&gt;9&lt;/sup&gt;","plainTextFormattedCitation":"9"},"properties":{"noteIndex":0},"schema":"https://github.com/citation-style-language/schema/raw/master/csl-citation.json"}</w:instrText>
            </w:r>
            <w:r>
              <w:rPr>
                <w:color w:val="000000"/>
                <w:sz w:val="18"/>
                <w:szCs w:val="18"/>
              </w:rPr>
              <w:fldChar w:fldCharType="separate"/>
            </w:r>
            <w:r>
              <w:rPr>
                <w:noProof/>
                <w:color w:val="000000"/>
                <w:sz w:val="18"/>
                <w:szCs w:val="18"/>
                <w:vertAlign w:val="superscript"/>
              </w:rPr>
              <w:t>9</w:t>
            </w:r>
            <w:r>
              <w:rPr>
                <w:color w:val="000000"/>
                <w:sz w:val="18"/>
                <w:szCs w:val="18"/>
              </w:rPr>
              <w:fldChar w:fldCharType="end"/>
            </w:r>
            <w:r>
              <w:rPr>
                <w:color w:val="000000"/>
                <w:sz w:val="18"/>
                <w:szCs w:val="18"/>
              </w:rPr>
              <w:t xml:space="preserve"> </w:t>
            </w:r>
          </w:p>
        </w:tc>
      </w:tr>
      <w:tr w:rsidR="00F176D3">
        <w:tc>
          <w:tcPr>
            <w:tcW w:w="2320" w:type="dxa"/>
            <w:gridSpan w:val="2"/>
            <w:tcBorders>
              <w:top w:val="nil"/>
            </w:tcBorders>
            <w:shd w:val="clear" w:color="auto" w:fill="FFFFFF"/>
          </w:tcPr>
          <w:p w:rsidR="00F176D3" w:rsidRDefault="00F176D3">
            <w:pPr>
              <w:spacing w:before="80" w:after="80" w:line="240" w:lineRule="auto"/>
              <w:rPr>
                <w:b/>
                <w:bCs/>
                <w:sz w:val="18"/>
                <w:szCs w:val="18"/>
              </w:rPr>
            </w:pPr>
          </w:p>
        </w:tc>
        <w:tc>
          <w:tcPr>
            <w:tcW w:w="658" w:type="dxa"/>
            <w:tcBorders>
              <w:top w:val="nil"/>
            </w:tcBorders>
            <w:shd w:val="clear" w:color="auto" w:fill="FFFFFF"/>
          </w:tcPr>
          <w:p w:rsidR="00F176D3" w:rsidRDefault="00F176D3">
            <w:pPr>
              <w:spacing w:before="80" w:after="80" w:line="240" w:lineRule="auto"/>
              <w:jc w:val="center"/>
              <w:rPr>
                <w:sz w:val="18"/>
                <w:szCs w:val="18"/>
              </w:rPr>
            </w:pPr>
            <w:r>
              <w:rPr>
                <w:sz w:val="18"/>
                <w:szCs w:val="18"/>
              </w:rPr>
              <w:t>13b</w:t>
            </w:r>
          </w:p>
        </w:tc>
        <w:tc>
          <w:tcPr>
            <w:tcW w:w="10862" w:type="dxa"/>
            <w:shd w:val="clear" w:color="auto" w:fill="FFFFFF"/>
          </w:tcPr>
          <w:p w:rsidR="00F176D3" w:rsidRDefault="00F176D3">
            <w:pPr>
              <w:spacing w:before="80" w:after="80" w:line="240" w:lineRule="auto"/>
              <w:rPr>
                <w:sz w:val="18"/>
                <w:szCs w:val="18"/>
              </w:rPr>
            </w:pPr>
            <w:r>
              <w:rPr>
                <w:b/>
                <w:bCs/>
                <w:color w:val="000000"/>
                <w:sz w:val="18"/>
                <w:szCs w:val="18"/>
              </w:rPr>
              <w:t xml:space="preserve">Discussion of whether the technique is ready for evaluation in a prospective, multi-centre IDEAL Stage 2b study, and identification of indications for the technique. </w:t>
            </w:r>
            <w:r>
              <w:rPr>
                <w:color w:val="000000"/>
                <w:sz w:val="18"/>
                <w:szCs w:val="18"/>
              </w:rPr>
              <w:t>Example:</w:t>
            </w:r>
            <w:r>
              <w:rPr>
                <w:b/>
                <w:bCs/>
                <w:color w:val="000000"/>
                <w:sz w:val="18"/>
                <w:szCs w:val="18"/>
              </w:rPr>
              <w:t xml:space="preserve"> </w:t>
            </w:r>
            <w:r>
              <w:rPr>
                <w:color w:val="000000"/>
                <w:sz w:val="18"/>
                <w:szCs w:val="18"/>
              </w:rPr>
              <w:t>Our phase 2a studies demonstrate that RKT with regional hypothermia is a safe and reproducible procedure in the hands of a surgical team with experience in robotic surgery and conventional KT. The next step in the development of this procedure is a comparative analysis of outcomes following open KT and RKT in matched patients.”</w:t>
            </w:r>
            <w:r>
              <w:rPr>
                <w:color w:val="000000"/>
                <w:sz w:val="18"/>
                <w:szCs w:val="18"/>
              </w:rPr>
              <w:fldChar w:fldCharType="begin" w:fldLock="1"/>
            </w:r>
            <w:r>
              <w:rPr>
                <w:color w:val="000000"/>
                <w:sz w:val="18"/>
                <w:szCs w:val="18"/>
              </w:rPr>
              <w:instrText>ADDIN CSL_CITATION {"citationItems":[{"id":"ITEM-1","itemData":{"DOI":"10.1016/j.eururo.2013.11.011","ISSN":"18737560","abstract":"Background Surgical innovation is essential for progress of surgical science, but its implementation comes with potential harms during the learning phase. The Balliol Collaboration has recommended a set of guidelines (Innovation, Development, Exploration, Assessment, Long-term study [IDEAL]) that permit innovation while minimizing complications. Objective To utilize the IDEAL model of surgical innovation in the development of a novel surgical technique, robotic kidney transplantation (RKT) with regional hypothermia, and describe the process of discovery and development. Design, setting, and participants Phase 0 (simulation) studies included the establishment of techniques for pelvic cooling, graft placement in a robotic prostatectomy model, and simulation of the RKT procedure in a cadaveric model. Phase 1 (innovation) studies began in January 2013 and involved treatment of a highly selective small group of patients (n = 7), using the principles utilized in the phase 0 studies, at a tertiary referral center. Intervention IDEAL model implementation in the development of RKT with regional hypothermia. Outcome measurements and statistical analysis For phase 0 studies, the outcomes evaluated included pelvic and body temperature measurements, and technical feasibility assessment. The primary outcome during phase 1 was post-transplant graft function. Other outcomes measured were operative and ischemic times, perioperative complications, and intracorporeal graft surface temperature. Results and limitations Phase 0 (simulation phase): Pelvic cooling to 15-20oC was achieved reproducibly. Using the surgical approach developed for robotic radical prostatectomy, vascular and ureterovesical anastomoses could be done without redocking the robot. Phase 1 (innovation phase): All patients underwent live-donor RKT in the lithotomy position. All grafts functioned immediately. Mean console, anastomotic, and warm ischemia times were 154 min, 29 min, and 2 min, respectively. One patient was re-explored on postoperative day 1. Conclusions Adherence to the IDEAL guidelines put forth by the Balliol Collaboration provided a practical framework for the establishment of a novel surgical procedure, RKT with regional hypothermia, without exposing the initial patients to unacceptable risk. Patient summary The IDEAL model allows safe introduction of new surgical techniques without compromising patient outcomes. © 2013 European Association of Urology.","author":[{"dropping-particle":"","family":"Menon","given":"Mani","non-dropping-particle":"","parse-names":false,"suffix":""},{"dropping-particle":"","family":"Abaza","given":"Ronney","non-dropping-particle":"","parse-names":false,"suffix":""},{"dropping-particle":"","family":"Sood","given":"Akshay","non-dropping-particle":"","parse-names":false,"suffix":""},{"dropping-particle":"","family":"Ahlawat","given":"Rajesh","non-dropping-particle":"","parse-names":false,"suffix":""},{"dropping-particle":"","family":"Ghani","given":"Khurshid R.","non-dropping-particle":"","parse-names":false,"suffix":""},{"dropping-particle":"","family":"Jeong","given":"Wooju","non-dropping-particle":"","parse-names":false,"suffix":""},{"dropping-particle":"","family":"Kher","given":"Vijay","non-dropping-particle":"","parse-names":false,"suffix":""},{"dropping-particle":"","family":"Kumar","given":"Ramesh K.","non-dropping-particle":"","parse-names":false,"suffix":""},{"dropping-particle":"","family":"Bhandari","given":"Mahendra","non-dropping-particle":"","parse-names":false,"suffix":""}],"container-title":"European Urology","id":"ITEM-1","issue":"5","issued":{"date-parts":[["2014"]]},"page":"1001-1009","publisher":"European Association of Urology","title":"Robotic kidney transplantation with regional hypothermia: Evolution of a novel procedure utilizing the IDEAL guidelines (IDEAL phase 0 and 1)","type":"article-journal","volume":"65"},"uris":["http://www.mendeley.com/documents/?uuid=b4fc04cc-459b-4484-97b5-3e0806af2ae0"]}],"mendeley":{"formattedCitation":"&lt;sup&gt;1&lt;/sup&gt;","plainTextFormattedCitation":"1","previouslyFormattedCitation":"&lt;sup&gt;1&lt;/sup&gt;"},"properties":{"noteIndex":0},"schema":"https://github.com/citation-style-language/schema/raw/master/csl-citation.json"}</w:instrText>
            </w:r>
            <w:r>
              <w:rPr>
                <w:color w:val="000000"/>
                <w:sz w:val="18"/>
                <w:szCs w:val="18"/>
              </w:rPr>
              <w:fldChar w:fldCharType="separate"/>
            </w:r>
            <w:r>
              <w:rPr>
                <w:noProof/>
                <w:color w:val="000000"/>
                <w:sz w:val="18"/>
                <w:szCs w:val="18"/>
                <w:vertAlign w:val="superscript"/>
              </w:rPr>
              <w:t>1</w:t>
            </w:r>
            <w:r>
              <w:rPr>
                <w:color w:val="000000"/>
                <w:sz w:val="18"/>
                <w:szCs w:val="18"/>
              </w:rPr>
              <w:fldChar w:fldCharType="end"/>
            </w:r>
          </w:p>
        </w:tc>
      </w:tr>
      <w:tr w:rsidR="00F176D3">
        <w:tc>
          <w:tcPr>
            <w:tcW w:w="2320" w:type="dxa"/>
            <w:gridSpan w:val="2"/>
            <w:shd w:val="clear" w:color="auto" w:fill="FFFFFF"/>
          </w:tcPr>
          <w:p w:rsidR="00F176D3" w:rsidRDefault="00F176D3">
            <w:pPr>
              <w:spacing w:before="80" w:after="80" w:line="240" w:lineRule="auto"/>
              <w:rPr>
                <w:sz w:val="18"/>
                <w:szCs w:val="18"/>
              </w:rPr>
            </w:pPr>
            <w:r>
              <w:rPr>
                <w:sz w:val="18"/>
                <w:szCs w:val="18"/>
              </w:rPr>
              <w:t>Conclusions</w:t>
            </w:r>
          </w:p>
        </w:tc>
        <w:tc>
          <w:tcPr>
            <w:tcW w:w="658" w:type="dxa"/>
            <w:shd w:val="clear" w:color="auto" w:fill="FFFFFF"/>
          </w:tcPr>
          <w:p w:rsidR="00F176D3" w:rsidRDefault="00F176D3">
            <w:pPr>
              <w:spacing w:before="80" w:after="80" w:line="240" w:lineRule="auto"/>
              <w:jc w:val="center"/>
              <w:rPr>
                <w:sz w:val="18"/>
                <w:szCs w:val="18"/>
              </w:rPr>
            </w:pPr>
            <w:r>
              <w:rPr>
                <w:sz w:val="18"/>
                <w:szCs w:val="18"/>
              </w:rPr>
              <w:t>14</w:t>
            </w:r>
          </w:p>
        </w:tc>
        <w:tc>
          <w:tcPr>
            <w:tcW w:w="10862" w:type="dxa"/>
            <w:shd w:val="clear" w:color="auto" w:fill="FFFFFF"/>
          </w:tcPr>
          <w:p w:rsidR="00F176D3" w:rsidRDefault="00F176D3">
            <w:pPr>
              <w:spacing w:before="80" w:after="80" w:line="240" w:lineRule="auto"/>
              <w:rPr>
                <w:color w:val="000000"/>
                <w:sz w:val="18"/>
                <w:szCs w:val="18"/>
                <w:lang w:val="en-US"/>
              </w:rPr>
            </w:pPr>
            <w:r>
              <w:rPr>
                <w:b/>
                <w:bCs/>
                <w:color w:val="000000"/>
                <w:sz w:val="18"/>
                <w:szCs w:val="18"/>
              </w:rPr>
              <w:t xml:space="preserve">Conclusions and relevance, including plans to progress to future IDEAL stages, if applicable. </w:t>
            </w:r>
            <w:r>
              <w:rPr>
                <w:color w:val="000000"/>
                <w:sz w:val="18"/>
                <w:szCs w:val="18"/>
              </w:rPr>
              <w:t xml:space="preserve">Example: </w:t>
            </w:r>
            <w:r>
              <w:rPr>
                <w:color w:val="000000"/>
                <w:sz w:val="18"/>
                <w:szCs w:val="18"/>
                <w:lang w:val="en-US"/>
              </w:rPr>
              <w:t>The primary results of this study showed that hepatic artery ligation with extrahepatic collaterals division of the liver lobe diseased with large HCC as a new alternative treatment option is feasible, safe and produces good tumor response as a short-term evidence base.</w:t>
            </w:r>
            <w:r>
              <w:rPr>
                <w:rFonts w:ascii="Times New Roman" w:hAnsi="Times New Roman" w:cs="Times New Roman"/>
                <w:sz w:val="16"/>
                <w:szCs w:val="16"/>
                <w:lang w:val="en-US" w:eastAsia="en-US"/>
              </w:rPr>
              <w:t xml:space="preserve"> </w:t>
            </w:r>
            <w:r>
              <w:rPr>
                <w:color w:val="000000"/>
                <w:sz w:val="18"/>
                <w:szCs w:val="18"/>
                <w:lang w:val="en-US"/>
              </w:rPr>
              <w:t>A similar-design long term study will be needed to asssess the stability of the innovation on the long term. Evaluation of other events such as survival (which is the endpoint treatment of HCC) and local</w:t>
            </w:r>
          </w:p>
          <w:p w:rsidR="00F176D3" w:rsidRDefault="00F176D3">
            <w:pPr>
              <w:spacing w:before="80" w:after="80" w:line="240" w:lineRule="auto"/>
              <w:rPr>
                <w:color w:val="000000"/>
                <w:sz w:val="18"/>
                <w:szCs w:val="18"/>
                <w:lang w:val="en-US"/>
              </w:rPr>
            </w:pPr>
            <w:r>
              <w:rPr>
                <w:color w:val="000000"/>
                <w:sz w:val="18"/>
                <w:szCs w:val="18"/>
                <w:lang w:val="en-US"/>
              </w:rPr>
              <w:t>recurrence and disease free survival will no doubt, be recommended.</w:t>
            </w:r>
            <w:r>
              <w:rPr>
                <w:color w:val="000000"/>
                <w:sz w:val="18"/>
                <w:szCs w:val="18"/>
                <w:lang w:val="en-US"/>
              </w:rPr>
              <w:fldChar w:fldCharType="begin" w:fldLock="1"/>
            </w:r>
            <w:r>
              <w:rPr>
                <w:color w:val="000000"/>
                <w:sz w:val="18"/>
                <w:szCs w:val="18"/>
                <w:lang w:val="en-US"/>
              </w:rPr>
              <w:instrText>ADDIN CSL_CITATION {"citationItems":[{"id":"ITEM-1","itemData":{"DOI":"10.1016/j.ijsu.2019.06.014","ISSN":"17439191","abstract":"Background: Rapid growth and invasiveness of hepatocellular carcinoma (HCC) largely depends on its vascularity and active angiogenic capacity. That feature was used to control the tumor in the past with some limitations. These deficiencies were addressed in our new procedure by hepatic artery ligation and extrahepatic collaterals division (HALED) of the liver lobe containing large HCC. This study tried to assess the feasibility, safety and the short term effects of HALED. Materials and methods: This is a prospective stage 2a development IDEAL (Idea, Development, Exploration, Assessment and Long-term monitoring) case series. It included adult patients with large-sized HCC (diameter &gt; 5 cm) subjected to HALED carried out in our center during five years' trial evaluating one-month postoperative outcomes. Patients will be reported prospectively in a sequential order with explanation of reasons for rejected cases and description of changes to technique or indication as the procedure evolved. This study registry number is NCT03129685 at the ClinicalTrials.gov. Results: The first HALED operation was carried out safely on 2013, followed by nineteen patients by 2018. Patients' mean age (±standard deviation) was 62·45 (±9·27), range 38–76 years. Eleven (55%) patients had tumors diameter &gt; 10 cm 13 (65%) patients were advanced BCLC stage. Seven modifications were made on the technique and indications of the procedure towards stability. According to the modified response evaluation criteria in solid tumors, 13 patients (65%) attained complete response. Operative mortality was 5% (one patient) and major morbidity was 10% (two patients). Liver infarction and abscess formation were not noticed in this study. Conclusion: Our forerunner study showed that HALED for large HCC is safe and induces tumor necrosis. Further long-term studies are suggested before starting the 2b stage.","author":[{"dropping-particle":"","family":"Elsanousi","given":"Osama M.","non-dropping-particle":"","parse-names":false,"suffix":""},{"dropping-particle":"","family":"Mohamed","given":"Murtada A.","non-dropping-particle":"","parse-names":false,"suffix":""},{"dropping-particle":"","family":"Salim","given":"Fatima H.","non-dropping-particle":"","parse-names":false,"suffix":""},{"dropping-particle":"","family":"Adam","given":"Elsadig A.","non-dropping-particle":"","parse-names":false,"suffix":""}],"container-title":"International Journal of Surgery","id":"ITEM-1","issue":"April","issued":{"date-parts":[["2019","8"]]},"page":"134-141","publisher":"Elsevier","title":"Selective devascularization treatment for large hepatocellular carcinoma: Stage 2A IDEAL prospective case series","type":"article-journal","volume":"68"},"uris":["http://www.mendeley.com/documents/?uuid=18a87ac5-4b9d-4ab9-bd05-c93b393d5130"]}],"mendeley":{"formattedCitation":"&lt;sup&gt;5&lt;/sup&gt;","plainTextFormattedCitation":"5","previouslyFormattedCitation":"&lt;sup&gt;5&lt;/sup&gt;"},"properties":{"noteIndex":0},"schema":"https://github.com/citation-style-language/schema/raw/master/csl-citation.json"}</w:instrText>
            </w:r>
            <w:r>
              <w:rPr>
                <w:color w:val="000000"/>
                <w:sz w:val="18"/>
                <w:szCs w:val="18"/>
                <w:lang w:val="en-US"/>
              </w:rPr>
              <w:fldChar w:fldCharType="separate"/>
            </w:r>
            <w:r>
              <w:rPr>
                <w:noProof/>
                <w:color w:val="000000"/>
                <w:sz w:val="18"/>
                <w:szCs w:val="18"/>
                <w:vertAlign w:val="superscript"/>
                <w:lang w:val="en-US"/>
              </w:rPr>
              <w:t>5</w:t>
            </w:r>
            <w:r>
              <w:rPr>
                <w:color w:val="000000"/>
                <w:sz w:val="18"/>
                <w:szCs w:val="18"/>
                <w:lang w:val="en-US"/>
              </w:rPr>
              <w:fldChar w:fldCharType="end"/>
            </w:r>
          </w:p>
        </w:tc>
      </w:tr>
      <w:tr w:rsidR="00F176D3">
        <w:tc>
          <w:tcPr>
            <w:tcW w:w="2320" w:type="dxa"/>
            <w:gridSpan w:val="2"/>
            <w:tcBorders>
              <w:right w:val="nil"/>
            </w:tcBorders>
            <w:shd w:val="clear" w:color="auto" w:fill="FFFFFF"/>
          </w:tcPr>
          <w:p w:rsidR="00F176D3" w:rsidRDefault="00F176D3">
            <w:pPr>
              <w:spacing w:before="80" w:after="80" w:line="240" w:lineRule="auto"/>
              <w:rPr>
                <w:b/>
                <w:bCs/>
                <w:sz w:val="18"/>
                <w:szCs w:val="18"/>
              </w:rPr>
            </w:pPr>
            <w:r>
              <w:rPr>
                <w:b/>
                <w:bCs/>
                <w:sz w:val="18"/>
                <w:szCs w:val="18"/>
              </w:rPr>
              <w:t>Other Information</w:t>
            </w:r>
          </w:p>
        </w:tc>
        <w:tc>
          <w:tcPr>
            <w:tcW w:w="658" w:type="dxa"/>
            <w:tcBorders>
              <w:left w:val="nil"/>
              <w:right w:val="nil"/>
            </w:tcBorders>
            <w:shd w:val="clear" w:color="auto" w:fill="FFFFFF"/>
          </w:tcPr>
          <w:p w:rsidR="00F176D3" w:rsidRDefault="00F176D3">
            <w:pPr>
              <w:spacing w:before="80" w:after="80" w:line="240" w:lineRule="auto"/>
              <w:jc w:val="center"/>
              <w:rPr>
                <w:sz w:val="18"/>
                <w:szCs w:val="18"/>
              </w:rPr>
            </w:pPr>
          </w:p>
        </w:tc>
        <w:tc>
          <w:tcPr>
            <w:tcW w:w="10862" w:type="dxa"/>
            <w:tcBorders>
              <w:left w:val="nil"/>
            </w:tcBorders>
            <w:shd w:val="clear" w:color="auto" w:fill="FFFFFF"/>
          </w:tcPr>
          <w:p w:rsidR="00F176D3" w:rsidRDefault="00F176D3">
            <w:pPr>
              <w:spacing w:before="80" w:after="80" w:line="240" w:lineRule="auto"/>
              <w:rPr>
                <w:b/>
                <w:bCs/>
                <w:color w:val="000000"/>
                <w:sz w:val="18"/>
                <w:szCs w:val="18"/>
              </w:rPr>
            </w:pPr>
          </w:p>
        </w:tc>
      </w:tr>
      <w:tr w:rsidR="00F176D3">
        <w:tc>
          <w:tcPr>
            <w:tcW w:w="2320" w:type="dxa"/>
            <w:gridSpan w:val="2"/>
            <w:tcBorders>
              <w:bottom w:val="nil"/>
            </w:tcBorders>
            <w:shd w:val="clear" w:color="auto" w:fill="FFFFFF"/>
          </w:tcPr>
          <w:p w:rsidR="00F176D3" w:rsidRDefault="00F176D3">
            <w:pPr>
              <w:spacing w:before="80" w:after="80" w:line="240" w:lineRule="auto"/>
              <w:rPr>
                <w:sz w:val="18"/>
                <w:szCs w:val="18"/>
              </w:rPr>
            </w:pPr>
            <w:r>
              <w:rPr>
                <w:sz w:val="18"/>
                <w:szCs w:val="18"/>
              </w:rPr>
              <w:t>Protocol</w:t>
            </w:r>
          </w:p>
        </w:tc>
        <w:tc>
          <w:tcPr>
            <w:tcW w:w="658" w:type="dxa"/>
            <w:tcBorders>
              <w:bottom w:val="nil"/>
            </w:tcBorders>
            <w:shd w:val="clear" w:color="auto" w:fill="FFFFFF"/>
          </w:tcPr>
          <w:p w:rsidR="00F176D3" w:rsidRDefault="00F176D3">
            <w:pPr>
              <w:spacing w:before="80" w:after="80" w:line="240" w:lineRule="auto"/>
              <w:jc w:val="center"/>
              <w:rPr>
                <w:sz w:val="18"/>
                <w:szCs w:val="18"/>
              </w:rPr>
            </w:pPr>
            <w:r>
              <w:rPr>
                <w:sz w:val="18"/>
                <w:szCs w:val="18"/>
              </w:rPr>
              <w:t>15e</w:t>
            </w:r>
          </w:p>
        </w:tc>
        <w:tc>
          <w:tcPr>
            <w:tcW w:w="10862" w:type="dxa"/>
            <w:shd w:val="clear" w:color="auto" w:fill="FFFFFF"/>
          </w:tcPr>
          <w:p w:rsidR="00F176D3" w:rsidRDefault="00F176D3">
            <w:pPr>
              <w:spacing w:before="80" w:after="80" w:line="240" w:lineRule="auto"/>
              <w:rPr>
                <w:sz w:val="18"/>
                <w:szCs w:val="18"/>
              </w:rPr>
            </w:pPr>
            <w:r>
              <w:rPr>
                <w:b/>
                <w:bCs/>
                <w:color w:val="000000"/>
                <w:sz w:val="18"/>
                <w:szCs w:val="18"/>
              </w:rPr>
              <w:t>Please quote reference or DOI if a protocol was written in advance and made available. If a protocol was not made available, consider including as a supplement if the journal allows.</w:t>
            </w:r>
          </w:p>
        </w:tc>
      </w:tr>
      <w:tr w:rsidR="00F176D3">
        <w:tc>
          <w:tcPr>
            <w:tcW w:w="2320" w:type="dxa"/>
            <w:gridSpan w:val="2"/>
            <w:tcBorders>
              <w:top w:val="nil"/>
              <w:bottom w:val="nil"/>
            </w:tcBorders>
            <w:shd w:val="clear" w:color="auto" w:fill="FFFFFF"/>
          </w:tcPr>
          <w:p w:rsidR="00F176D3" w:rsidRDefault="00F176D3">
            <w:pPr>
              <w:spacing w:before="80" w:after="80" w:line="240" w:lineRule="auto"/>
              <w:rPr>
                <w:sz w:val="18"/>
                <w:szCs w:val="18"/>
              </w:rPr>
            </w:pPr>
            <w:r>
              <w:rPr>
                <w:sz w:val="18"/>
                <w:szCs w:val="18"/>
              </w:rPr>
              <w:t>Ethics</w:t>
            </w:r>
          </w:p>
        </w:tc>
        <w:tc>
          <w:tcPr>
            <w:tcW w:w="658" w:type="dxa"/>
            <w:tcBorders>
              <w:top w:val="nil"/>
              <w:bottom w:val="nil"/>
            </w:tcBorders>
            <w:shd w:val="clear" w:color="auto" w:fill="FFFFFF"/>
          </w:tcPr>
          <w:p w:rsidR="00F176D3" w:rsidRDefault="00F176D3">
            <w:pPr>
              <w:spacing w:before="80" w:after="80" w:line="240" w:lineRule="auto"/>
              <w:jc w:val="center"/>
              <w:rPr>
                <w:sz w:val="18"/>
                <w:szCs w:val="18"/>
              </w:rPr>
            </w:pPr>
            <w:r>
              <w:rPr>
                <w:sz w:val="18"/>
                <w:szCs w:val="18"/>
              </w:rPr>
              <w:t>15f</w:t>
            </w:r>
          </w:p>
        </w:tc>
        <w:tc>
          <w:tcPr>
            <w:tcW w:w="10862" w:type="dxa"/>
            <w:shd w:val="clear" w:color="auto" w:fill="FFFFFF"/>
          </w:tcPr>
          <w:p w:rsidR="00F176D3" w:rsidRDefault="00F176D3">
            <w:pPr>
              <w:spacing w:before="80" w:after="80" w:line="240" w:lineRule="auto"/>
              <w:rPr>
                <w:b/>
                <w:bCs/>
                <w:sz w:val="18"/>
                <w:szCs w:val="18"/>
              </w:rPr>
            </w:pPr>
            <w:r>
              <w:rPr>
                <w:b/>
                <w:bCs/>
                <w:color w:val="000000"/>
                <w:sz w:val="18"/>
                <w:szCs w:val="18"/>
              </w:rPr>
              <w:t>Reference to ethical approvals obtained, and independent oversight, if applicable.</w:t>
            </w:r>
          </w:p>
        </w:tc>
      </w:tr>
      <w:tr w:rsidR="00F176D3">
        <w:tc>
          <w:tcPr>
            <w:tcW w:w="2320" w:type="dxa"/>
            <w:gridSpan w:val="2"/>
            <w:tcBorders>
              <w:top w:val="nil"/>
              <w:bottom w:val="nil"/>
            </w:tcBorders>
            <w:shd w:val="clear" w:color="auto" w:fill="FFFFFF"/>
          </w:tcPr>
          <w:p w:rsidR="00F176D3" w:rsidRDefault="00F176D3">
            <w:pPr>
              <w:spacing w:before="80" w:after="80" w:line="240" w:lineRule="auto"/>
              <w:rPr>
                <w:sz w:val="18"/>
                <w:szCs w:val="18"/>
              </w:rPr>
            </w:pPr>
            <w:r>
              <w:rPr>
                <w:sz w:val="18"/>
                <w:szCs w:val="18"/>
              </w:rPr>
              <w:t>Funding</w:t>
            </w:r>
          </w:p>
        </w:tc>
        <w:tc>
          <w:tcPr>
            <w:tcW w:w="658" w:type="dxa"/>
            <w:tcBorders>
              <w:top w:val="nil"/>
              <w:bottom w:val="nil"/>
            </w:tcBorders>
            <w:shd w:val="clear" w:color="auto" w:fill="FFFFFF"/>
          </w:tcPr>
          <w:p w:rsidR="00F176D3" w:rsidRDefault="00F176D3">
            <w:pPr>
              <w:spacing w:before="80" w:after="80" w:line="240" w:lineRule="auto"/>
              <w:jc w:val="center"/>
              <w:rPr>
                <w:sz w:val="18"/>
                <w:szCs w:val="18"/>
              </w:rPr>
            </w:pPr>
            <w:r>
              <w:rPr>
                <w:sz w:val="18"/>
                <w:szCs w:val="18"/>
              </w:rPr>
              <w:t>15g</w:t>
            </w:r>
          </w:p>
        </w:tc>
        <w:tc>
          <w:tcPr>
            <w:tcW w:w="10862" w:type="dxa"/>
            <w:shd w:val="clear" w:color="auto" w:fill="FFFFFF"/>
          </w:tcPr>
          <w:p w:rsidR="00F176D3" w:rsidRDefault="00F176D3">
            <w:pPr>
              <w:spacing w:before="80" w:after="80" w:line="240" w:lineRule="auto"/>
              <w:rPr>
                <w:sz w:val="18"/>
                <w:szCs w:val="18"/>
              </w:rPr>
            </w:pPr>
            <w:r>
              <w:rPr>
                <w:b/>
                <w:bCs/>
                <w:color w:val="000000"/>
                <w:sz w:val="18"/>
                <w:szCs w:val="18"/>
              </w:rPr>
              <w:t xml:space="preserve">Sources of funding and support, role of funders, and other conflicts of interest. </w:t>
            </w:r>
          </w:p>
        </w:tc>
      </w:tr>
      <w:tr w:rsidR="00F176D3">
        <w:tc>
          <w:tcPr>
            <w:tcW w:w="2320" w:type="dxa"/>
            <w:gridSpan w:val="2"/>
            <w:tcBorders>
              <w:top w:val="nil"/>
            </w:tcBorders>
            <w:shd w:val="clear" w:color="auto" w:fill="FFFFFF"/>
          </w:tcPr>
          <w:p w:rsidR="00F176D3" w:rsidRDefault="00F176D3">
            <w:pPr>
              <w:spacing w:before="80" w:after="80" w:line="240" w:lineRule="auto"/>
              <w:rPr>
                <w:b/>
                <w:bCs/>
                <w:sz w:val="18"/>
                <w:szCs w:val="18"/>
              </w:rPr>
            </w:pPr>
            <w:r>
              <w:rPr>
                <w:sz w:val="18"/>
                <w:szCs w:val="18"/>
              </w:rPr>
              <w:t>Regulatory Approvals</w:t>
            </w:r>
          </w:p>
        </w:tc>
        <w:tc>
          <w:tcPr>
            <w:tcW w:w="658" w:type="dxa"/>
            <w:tcBorders>
              <w:top w:val="nil"/>
            </w:tcBorders>
            <w:shd w:val="clear" w:color="auto" w:fill="FFFFFF"/>
          </w:tcPr>
          <w:p w:rsidR="00F176D3" w:rsidRDefault="00F176D3">
            <w:pPr>
              <w:spacing w:before="80" w:after="80" w:line="240" w:lineRule="auto"/>
              <w:jc w:val="center"/>
              <w:rPr>
                <w:sz w:val="18"/>
                <w:szCs w:val="18"/>
              </w:rPr>
            </w:pPr>
            <w:r>
              <w:rPr>
                <w:sz w:val="18"/>
                <w:szCs w:val="18"/>
              </w:rPr>
              <w:t>16</w:t>
            </w:r>
          </w:p>
        </w:tc>
        <w:tc>
          <w:tcPr>
            <w:tcW w:w="10862" w:type="dxa"/>
            <w:shd w:val="clear" w:color="auto" w:fill="FFFFFF"/>
          </w:tcPr>
          <w:p w:rsidR="00F176D3" w:rsidRDefault="00F176D3">
            <w:pPr>
              <w:spacing w:before="80" w:after="80" w:line="240" w:lineRule="auto"/>
              <w:rPr>
                <w:sz w:val="18"/>
                <w:szCs w:val="18"/>
              </w:rPr>
            </w:pPr>
            <w:r>
              <w:rPr>
                <w:b/>
                <w:bCs/>
                <w:color w:val="000000"/>
                <w:sz w:val="18"/>
                <w:szCs w:val="18"/>
              </w:rPr>
              <w:t xml:space="preserve">Regulatory approvals being sought or obtained (e.g. CE Marking, FDA approval, etc) including the date of approval, if applicable. </w:t>
            </w:r>
          </w:p>
        </w:tc>
      </w:tr>
      <w:tr w:rsidR="00F176D3">
        <w:tc>
          <w:tcPr>
            <w:tcW w:w="2320" w:type="dxa"/>
            <w:gridSpan w:val="2"/>
            <w:tcBorders>
              <w:left w:val="nil"/>
              <w:right w:val="nil"/>
            </w:tcBorders>
            <w:shd w:val="clear" w:color="auto" w:fill="FFFFFF"/>
          </w:tcPr>
          <w:p w:rsidR="00F176D3" w:rsidRDefault="00F176D3">
            <w:pPr>
              <w:spacing w:before="80" w:after="80" w:line="240" w:lineRule="auto"/>
              <w:rPr>
                <w:sz w:val="18"/>
                <w:szCs w:val="18"/>
              </w:rPr>
            </w:pPr>
          </w:p>
        </w:tc>
        <w:tc>
          <w:tcPr>
            <w:tcW w:w="658" w:type="dxa"/>
            <w:tcBorders>
              <w:left w:val="nil"/>
              <w:right w:val="nil"/>
            </w:tcBorders>
            <w:shd w:val="clear" w:color="auto" w:fill="FFFFFF"/>
          </w:tcPr>
          <w:p w:rsidR="00F176D3" w:rsidRDefault="00F176D3">
            <w:pPr>
              <w:spacing w:before="80" w:after="80" w:line="240" w:lineRule="auto"/>
              <w:jc w:val="center"/>
              <w:rPr>
                <w:sz w:val="18"/>
                <w:szCs w:val="18"/>
              </w:rPr>
            </w:pPr>
          </w:p>
        </w:tc>
        <w:tc>
          <w:tcPr>
            <w:tcW w:w="10862" w:type="dxa"/>
            <w:tcBorders>
              <w:left w:val="nil"/>
              <w:right w:val="nil"/>
            </w:tcBorders>
            <w:shd w:val="clear" w:color="auto" w:fill="FFFFFF"/>
          </w:tcPr>
          <w:p w:rsidR="00F176D3" w:rsidRDefault="00F176D3">
            <w:pPr>
              <w:spacing w:before="80" w:after="80" w:line="240" w:lineRule="auto"/>
              <w:rPr>
                <w:b/>
                <w:bCs/>
                <w:color w:val="000000"/>
                <w:sz w:val="18"/>
                <w:szCs w:val="18"/>
              </w:rPr>
            </w:pPr>
          </w:p>
        </w:tc>
      </w:tr>
      <w:tr w:rsidR="00F176D3">
        <w:tc>
          <w:tcPr>
            <w:tcW w:w="2320" w:type="dxa"/>
            <w:gridSpan w:val="2"/>
            <w:tcBorders>
              <w:right w:val="nil"/>
            </w:tcBorders>
            <w:shd w:val="clear" w:color="auto" w:fill="DEEAF6"/>
          </w:tcPr>
          <w:p w:rsidR="00F176D3" w:rsidRDefault="00F176D3">
            <w:pPr>
              <w:spacing w:before="80" w:after="80" w:line="240" w:lineRule="auto"/>
              <w:rPr>
                <w:b/>
                <w:bCs/>
                <w:sz w:val="18"/>
                <w:szCs w:val="18"/>
              </w:rPr>
            </w:pPr>
            <w:r>
              <w:rPr>
                <w:b/>
                <w:bCs/>
                <w:sz w:val="18"/>
                <w:szCs w:val="18"/>
              </w:rPr>
              <w:t>STAGE 2b</w:t>
            </w:r>
          </w:p>
        </w:tc>
        <w:tc>
          <w:tcPr>
            <w:tcW w:w="658" w:type="dxa"/>
            <w:tcBorders>
              <w:left w:val="nil"/>
              <w:right w:val="nil"/>
            </w:tcBorders>
            <w:shd w:val="clear" w:color="auto" w:fill="DEEAF6"/>
          </w:tcPr>
          <w:p w:rsidR="00F176D3" w:rsidRDefault="00F176D3">
            <w:pPr>
              <w:spacing w:before="80" w:after="80" w:line="240" w:lineRule="auto"/>
              <w:jc w:val="center"/>
              <w:rPr>
                <w:sz w:val="18"/>
                <w:szCs w:val="18"/>
              </w:rPr>
            </w:pPr>
          </w:p>
        </w:tc>
        <w:tc>
          <w:tcPr>
            <w:tcW w:w="10862" w:type="dxa"/>
            <w:tcBorders>
              <w:left w:val="nil"/>
            </w:tcBorders>
            <w:shd w:val="clear" w:color="auto" w:fill="DEEAF6"/>
          </w:tcPr>
          <w:p w:rsidR="00F176D3" w:rsidRDefault="00F176D3">
            <w:pPr>
              <w:spacing w:before="80" w:after="80" w:line="240" w:lineRule="auto"/>
              <w:rPr>
                <w:sz w:val="18"/>
                <w:szCs w:val="18"/>
              </w:rPr>
            </w:pPr>
          </w:p>
        </w:tc>
      </w:tr>
      <w:tr w:rsidR="00F176D3">
        <w:tc>
          <w:tcPr>
            <w:tcW w:w="2269" w:type="dxa"/>
            <w:tcBorders>
              <w:bottom w:val="nil"/>
            </w:tcBorders>
          </w:tcPr>
          <w:p w:rsidR="00F176D3" w:rsidRDefault="00F176D3">
            <w:pPr>
              <w:spacing w:line="240" w:lineRule="auto"/>
              <w:rPr>
                <w:sz w:val="18"/>
                <w:szCs w:val="18"/>
              </w:rPr>
            </w:pPr>
            <w:r>
              <w:rPr>
                <w:sz w:val="18"/>
                <w:szCs w:val="18"/>
              </w:rPr>
              <w:t>Title and Abstract</w:t>
            </w:r>
          </w:p>
        </w:tc>
        <w:tc>
          <w:tcPr>
            <w:tcW w:w="709" w:type="dxa"/>
            <w:gridSpan w:val="2"/>
            <w:tcBorders>
              <w:bottom w:val="nil"/>
            </w:tcBorders>
          </w:tcPr>
          <w:p w:rsidR="00F176D3" w:rsidRDefault="00F176D3">
            <w:pPr>
              <w:spacing w:line="240" w:lineRule="auto"/>
              <w:jc w:val="center"/>
              <w:rPr>
                <w:sz w:val="18"/>
                <w:szCs w:val="18"/>
              </w:rPr>
            </w:pPr>
            <w:r>
              <w:rPr>
                <w:sz w:val="18"/>
                <w:szCs w:val="18"/>
              </w:rPr>
              <w:t>1a</w:t>
            </w:r>
          </w:p>
        </w:tc>
        <w:tc>
          <w:tcPr>
            <w:tcW w:w="10862" w:type="dxa"/>
          </w:tcPr>
          <w:p w:rsidR="00F176D3" w:rsidRDefault="00F176D3">
            <w:pPr>
              <w:spacing w:line="240" w:lineRule="auto"/>
              <w:rPr>
                <w:b/>
                <w:bCs/>
                <w:sz w:val="18"/>
                <w:szCs w:val="18"/>
              </w:rPr>
            </w:pPr>
            <w:r>
              <w:rPr>
                <w:b/>
                <w:bCs/>
                <w:sz w:val="18"/>
                <w:szCs w:val="18"/>
                <w:lang w:val="en-US"/>
              </w:rPr>
              <w:t>Identify the novel technique/device being investigated and the type of study conducted (e.g. multi-centre, prospective cohort or feasibility RCT), including the IDEAL stage in the title or abstract.</w:t>
            </w:r>
          </w:p>
        </w:tc>
      </w:tr>
      <w:tr w:rsidR="00F176D3">
        <w:tc>
          <w:tcPr>
            <w:tcW w:w="2269" w:type="dxa"/>
            <w:tcBorders>
              <w:top w:val="nil"/>
            </w:tcBorders>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1b</w:t>
            </w:r>
          </w:p>
        </w:tc>
        <w:tc>
          <w:tcPr>
            <w:tcW w:w="10862" w:type="dxa"/>
          </w:tcPr>
          <w:p w:rsidR="00F176D3" w:rsidRDefault="00F176D3">
            <w:pPr>
              <w:spacing w:line="240" w:lineRule="auto"/>
              <w:rPr>
                <w:b/>
                <w:bCs/>
                <w:sz w:val="18"/>
                <w:szCs w:val="18"/>
              </w:rPr>
            </w:pPr>
            <w:r>
              <w:rPr>
                <w:b/>
                <w:bCs/>
                <w:sz w:val="18"/>
                <w:szCs w:val="18"/>
                <w:lang w:val="en-US"/>
              </w:rPr>
              <w:t>Provide a structured summary of background, methods, results, and conclusions.</w:t>
            </w:r>
          </w:p>
        </w:tc>
      </w:tr>
      <w:tr w:rsidR="00F176D3">
        <w:tc>
          <w:tcPr>
            <w:tcW w:w="2269" w:type="dxa"/>
            <w:tcBorders>
              <w:right w:val="nil"/>
            </w:tcBorders>
          </w:tcPr>
          <w:p w:rsidR="00F176D3" w:rsidRDefault="00F176D3">
            <w:pPr>
              <w:spacing w:line="240" w:lineRule="auto"/>
              <w:rPr>
                <w:b/>
                <w:bCs/>
                <w:sz w:val="18"/>
                <w:szCs w:val="18"/>
              </w:rPr>
            </w:pPr>
            <w:r>
              <w:rPr>
                <w:b/>
                <w:bCs/>
                <w:sz w:val="18"/>
                <w:szCs w:val="18"/>
              </w:rPr>
              <w:t>Introduction</w:t>
            </w:r>
          </w:p>
        </w:tc>
        <w:tc>
          <w:tcPr>
            <w:tcW w:w="709" w:type="dxa"/>
            <w:gridSpan w:val="2"/>
            <w:tcBorders>
              <w:left w:val="nil"/>
              <w:right w:val="nil"/>
            </w:tcBorders>
          </w:tcPr>
          <w:p w:rsidR="00F176D3" w:rsidRDefault="00F176D3">
            <w:pPr>
              <w:spacing w:line="240" w:lineRule="auto"/>
              <w:jc w:val="center"/>
              <w:rPr>
                <w:b/>
                <w:bCs/>
                <w:sz w:val="18"/>
                <w:szCs w:val="18"/>
              </w:rPr>
            </w:pPr>
          </w:p>
        </w:tc>
        <w:tc>
          <w:tcPr>
            <w:tcW w:w="10862" w:type="dxa"/>
            <w:tcBorders>
              <w:left w:val="nil"/>
            </w:tcBorders>
          </w:tcPr>
          <w:p w:rsidR="00F176D3" w:rsidRDefault="00F176D3">
            <w:pPr>
              <w:spacing w:line="240" w:lineRule="auto"/>
              <w:rPr>
                <w:b/>
                <w:bCs/>
                <w:sz w:val="18"/>
                <w:szCs w:val="18"/>
              </w:rPr>
            </w:pPr>
          </w:p>
        </w:tc>
      </w:tr>
      <w:tr w:rsidR="00F176D3">
        <w:tc>
          <w:tcPr>
            <w:tcW w:w="2269" w:type="dxa"/>
            <w:tcBorders>
              <w:bottom w:val="nil"/>
            </w:tcBorders>
          </w:tcPr>
          <w:p w:rsidR="00F176D3" w:rsidRDefault="00F176D3">
            <w:pPr>
              <w:spacing w:line="240" w:lineRule="auto"/>
              <w:rPr>
                <w:sz w:val="18"/>
                <w:szCs w:val="18"/>
              </w:rPr>
            </w:pPr>
            <w:r>
              <w:rPr>
                <w:sz w:val="18"/>
                <w:szCs w:val="18"/>
              </w:rPr>
              <w:t>Background and Objectives</w:t>
            </w:r>
          </w:p>
        </w:tc>
        <w:tc>
          <w:tcPr>
            <w:tcW w:w="709" w:type="dxa"/>
            <w:gridSpan w:val="2"/>
            <w:tcBorders>
              <w:bottom w:val="nil"/>
            </w:tcBorders>
          </w:tcPr>
          <w:p w:rsidR="00F176D3" w:rsidRDefault="00F176D3">
            <w:pPr>
              <w:spacing w:line="240" w:lineRule="auto"/>
              <w:jc w:val="center"/>
              <w:rPr>
                <w:sz w:val="18"/>
                <w:szCs w:val="18"/>
              </w:rPr>
            </w:pPr>
            <w:r>
              <w:rPr>
                <w:sz w:val="18"/>
                <w:szCs w:val="18"/>
              </w:rPr>
              <w:t>2a</w:t>
            </w:r>
          </w:p>
        </w:tc>
        <w:tc>
          <w:tcPr>
            <w:tcW w:w="10862" w:type="dxa"/>
          </w:tcPr>
          <w:p w:rsidR="00F176D3" w:rsidRDefault="00F176D3">
            <w:pPr>
              <w:spacing w:line="240" w:lineRule="auto"/>
              <w:rPr>
                <w:b/>
                <w:bCs/>
                <w:sz w:val="18"/>
                <w:szCs w:val="18"/>
              </w:rPr>
            </w:pPr>
            <w:r>
              <w:rPr>
                <w:b/>
                <w:bCs/>
                <w:sz w:val="18"/>
                <w:szCs w:val="18"/>
              </w:rPr>
              <w:t>Review of existing scientific literature, including reference to IDEAL Stage 1 and 2a reports in previous publications, if applicable.</w:t>
            </w:r>
          </w:p>
        </w:tc>
      </w:tr>
      <w:tr w:rsidR="00F176D3">
        <w:tc>
          <w:tcPr>
            <w:tcW w:w="2269" w:type="dxa"/>
            <w:tcBorders>
              <w:top w:val="nil"/>
            </w:tcBorders>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2b</w:t>
            </w:r>
          </w:p>
        </w:tc>
        <w:tc>
          <w:tcPr>
            <w:tcW w:w="10862" w:type="dxa"/>
          </w:tcPr>
          <w:p w:rsidR="00F176D3" w:rsidRDefault="00F176D3">
            <w:pPr>
              <w:spacing w:line="240" w:lineRule="auto"/>
              <w:rPr>
                <w:b/>
                <w:bCs/>
                <w:sz w:val="18"/>
                <w:szCs w:val="18"/>
              </w:rPr>
            </w:pPr>
            <w:r>
              <w:rPr>
                <w:b/>
                <w:bCs/>
                <w:sz w:val="18"/>
                <w:szCs w:val="18"/>
              </w:rPr>
              <w:t xml:space="preserve">Specific objectives, including reaching consensus on issues requiring resolution in order to determine whether an RCT is appropriate or feasible, and to define the RCT question if it is. </w:t>
            </w:r>
            <w:r>
              <w:rPr>
                <w:sz w:val="18"/>
                <w:szCs w:val="18"/>
              </w:rPr>
              <w:t xml:space="preserve">Example: </w:t>
            </w:r>
            <w:r>
              <w:rPr>
                <w:color w:val="1C1D1E"/>
                <w:sz w:val="18"/>
                <w:szCs w:val="18"/>
                <w:shd w:val="clear" w:color="auto" w:fill="FFFFFF"/>
              </w:rPr>
              <w:t>“The aim of Pre-BRA is to determine the feasibility of using mixed-methods within an IDEAL 2a/2b study to explore the short-term safety and effectiveness of PPBR and determine when it is sufficiently stable for formal evaluation in a definitive RCT. Specific objectives:</w:t>
            </w:r>
            <w:r>
              <w:rPr>
                <w:b/>
                <w:bCs/>
                <w:color w:val="1C1D1E"/>
                <w:sz w:val="18"/>
                <w:szCs w:val="18"/>
                <w:shd w:val="clear" w:color="auto" w:fill="FFFFFF"/>
              </w:rPr>
              <w:t xml:space="preserve"> </w:t>
            </w:r>
            <w:r>
              <w:rPr>
                <w:color w:val="1C1D1E"/>
                <w:sz w:val="18"/>
                <w:szCs w:val="18"/>
                <w:shd w:val="clear" w:color="auto" w:fill="FFFFFF"/>
              </w:rPr>
              <w:t>To establish the short-term safety (implant loss; infection; reoperation and readmission at 3 months) and effectiveness (patient-reported outcomes using BREAST-Q at 3 and 18 months) of PPBR compared with published national standards from the National Mastectomy and Breast Reconstruction Audit</w:t>
            </w:r>
            <w:r>
              <w:rPr>
                <w:color w:val="1C1D1E"/>
                <w:sz w:val="18"/>
                <w:szCs w:val="18"/>
                <w:shd w:val="clear" w:color="auto" w:fill="FFFFFF"/>
                <w:vertAlign w:val="superscript"/>
              </w:rPr>
              <w:t>31</w:t>
            </w:r>
            <w:r>
              <w:rPr>
                <w:color w:val="1C1D1E"/>
                <w:sz w:val="18"/>
                <w:szCs w:val="18"/>
                <w:shd w:val="clear" w:color="auto" w:fill="FFFFFF"/>
              </w:rPr>
              <w:t> and iBRA</w:t>
            </w:r>
            <w:r>
              <w:rPr>
                <w:color w:val="1C1D1E"/>
                <w:sz w:val="18"/>
                <w:szCs w:val="18"/>
                <w:shd w:val="clear" w:color="auto" w:fill="FFFFFF"/>
                <w:vertAlign w:val="superscript"/>
              </w:rPr>
              <w:t>7</w:t>
            </w:r>
            <w:r>
              <w:rPr>
                <w:color w:val="1C1D1E"/>
                <w:sz w:val="18"/>
                <w:szCs w:val="18"/>
                <w:shd w:val="clear" w:color="auto" w:fill="FFFFFF"/>
              </w:rPr>
              <w:t> studies.”</w:t>
            </w:r>
            <w:r>
              <w:rPr>
                <w:color w:val="1C1D1E"/>
                <w:sz w:val="18"/>
                <w:szCs w:val="18"/>
                <w:shd w:val="clear" w:color="auto" w:fill="FFFFFF"/>
              </w:rPr>
              <w:fldChar w:fldCharType="begin" w:fldLock="1"/>
            </w:r>
            <w:r>
              <w:rPr>
                <w:color w:val="1C1D1E"/>
                <w:sz w:val="18"/>
                <w:szCs w:val="18"/>
                <w:shd w:val="clear" w:color="auto" w:fill="FFFFFF"/>
              </w:rPr>
              <w:instrText>ADDIN CSL_CITATION {"citationItems":[{"id":"ITEM-1","itemData":{"DOI":"10.1136/bmjopen-2019-033641","ISSN":"2044-6055","abstract":"Introduction Implant-based breast reconstruction is the most commonly performed reconstructive technique worldwide. Subpectoral reconstruction with mesh is the current standard of care but new prepectoral techniques have recently been introduced. Prepectoral breast reconstruction (PPBR) may improve outcomes for patients but robust evaluation is required. Randomised clinical trials (RCTs) are ideally needed but the short-term safety of PPBR is yet to be established; the technique and its indications are evolving and it has yet to be adopted by a sufficient number of surgeons for an RCT to be feasible. The Pre-BRA study aims to determine the feasibility of using mixed-methods within an IDEAL 2a/2b (IDEAL, Idea-Development-Exploration-Assessment-Long-term) study to explore the short-term safety of PPBR and determine when the technique is sufficiently stable for evaluation in a pragmatic RCT. Methods and analysis Pre-BRA is an IDEAL stage 2a/2b prospective multicentre cohort study with embedded qualitative research. Consecutive patients electing to undergo immediate PPBR at participating centres will be invited to participate. Demographic, operative, oncology and complication data will be collected and patient-reported outcomes will be assessed at baseline, 3 and 18 months postoperatively. The primary safety endpoint will be implant loss at 3 months. Surgeons performing PPBR will be asked to complete questionnaires regarding their practice and report any modifications made to the procedure or learning arising from complications via free-text response fields on electronic case-report forms. Semistructured will explore surgeons' experiences in detail to identify emerging best practice. This will be fed back to participating surgeons to promote shared learning. The Pre-BRA study will aim to recruit 341 patients from 30 to 40 UK centres over a 12-month period. Recruitment will commence Spring 2019. Ethics and dissemination The study has full ethical approval from OXFORD-B South Central Committee Ref:19/SC/0129. Results will be presented at national and international meetings and published in peer-reviewed journals. Trial registration number ISRCTN11898000; Pre-results.","author":[{"dropping-particle":"","family":"Harvey","given":"Kate Louise","non-dropping-particle":"","parse-names":false,"suffix":""},{"dropping-particle":"","family":"Mills","given":"Nicola","non-dropping-particle":"","parse-names":false,"suffix":""},{"dropping-particle":"","family":"White","given":"Paul","non-dropping-particle":"","parse-names":false,"suffix":""},{"dropping-particle":"","family":"Holcombe","given":"Christopher","non-dropping-particle":"","parse-names":false,"suffix":""},{"dropping-particle":"","family":"Potter","given":"Shelley","non-dropping-particle":"","parse-names":false,"suffix":""}],"container-title":"BMJ Open","id":"ITEM-1","issue":"1","issued":{"date-parts":[["2020","1","26"]]},"page":"e033641","title":"The Pre-BRA (pre-pectoral Breast Reconstruction EvAluation) feasibility study: protocol for a mixed-methods IDEAL 2a/2b prospective cohort study to determine the safety and effectiveness of prepectoral implant-based breast reconstruction","type":"article-journal","volume":"10"},"uris":["http://www.mendeley.com/documents/?uuid=c2a53a79-4598-41b5-a881-1cfaf2dd604c"]}],"mendeley":{"formattedCitation":"&lt;sup&gt;10&lt;/sup&gt;","plainTextFormattedCitation":"10","previouslyFormattedCitation":"&lt;sup&gt;9&lt;/sup&gt;"},"properties":{"noteIndex":0},"schema":"https://github.com/citation-style-language/schema/raw/master/csl-citation.json"}</w:instrText>
            </w:r>
            <w:r>
              <w:rPr>
                <w:color w:val="1C1D1E"/>
                <w:sz w:val="18"/>
                <w:szCs w:val="18"/>
                <w:shd w:val="clear" w:color="auto" w:fill="FFFFFF"/>
              </w:rPr>
              <w:fldChar w:fldCharType="separate"/>
            </w:r>
            <w:r>
              <w:rPr>
                <w:noProof/>
                <w:color w:val="1C1D1E"/>
                <w:sz w:val="18"/>
                <w:szCs w:val="18"/>
                <w:shd w:val="clear" w:color="auto" w:fill="FFFFFF"/>
                <w:vertAlign w:val="superscript"/>
              </w:rPr>
              <w:t>10</w:t>
            </w:r>
            <w:r>
              <w:rPr>
                <w:color w:val="1C1D1E"/>
                <w:sz w:val="18"/>
                <w:szCs w:val="18"/>
                <w:shd w:val="clear" w:color="auto" w:fill="FFFFFF"/>
              </w:rPr>
              <w:fldChar w:fldCharType="end"/>
            </w:r>
          </w:p>
        </w:tc>
      </w:tr>
      <w:tr w:rsidR="00F176D3">
        <w:tc>
          <w:tcPr>
            <w:tcW w:w="2269" w:type="dxa"/>
            <w:tcBorders>
              <w:right w:val="nil"/>
            </w:tcBorders>
          </w:tcPr>
          <w:p w:rsidR="00F176D3" w:rsidRDefault="00F176D3">
            <w:pPr>
              <w:spacing w:line="240" w:lineRule="auto"/>
              <w:rPr>
                <w:b/>
                <w:bCs/>
                <w:sz w:val="18"/>
                <w:szCs w:val="18"/>
              </w:rPr>
            </w:pPr>
            <w:r>
              <w:rPr>
                <w:b/>
                <w:bCs/>
                <w:sz w:val="18"/>
                <w:szCs w:val="18"/>
              </w:rPr>
              <w:t>Methods</w:t>
            </w:r>
          </w:p>
        </w:tc>
        <w:tc>
          <w:tcPr>
            <w:tcW w:w="709" w:type="dxa"/>
            <w:gridSpan w:val="2"/>
            <w:tcBorders>
              <w:left w:val="nil"/>
              <w:right w:val="nil"/>
            </w:tcBorders>
          </w:tcPr>
          <w:p w:rsidR="00F176D3" w:rsidRDefault="00F176D3">
            <w:pPr>
              <w:spacing w:line="240" w:lineRule="auto"/>
              <w:jc w:val="center"/>
              <w:rPr>
                <w:b/>
                <w:bCs/>
                <w:sz w:val="18"/>
                <w:szCs w:val="18"/>
              </w:rPr>
            </w:pPr>
          </w:p>
        </w:tc>
        <w:tc>
          <w:tcPr>
            <w:tcW w:w="10862" w:type="dxa"/>
            <w:tcBorders>
              <w:left w:val="nil"/>
            </w:tcBorders>
          </w:tcPr>
          <w:p w:rsidR="00F176D3" w:rsidRDefault="00F176D3">
            <w:pPr>
              <w:spacing w:line="240" w:lineRule="auto"/>
              <w:rPr>
                <w:b/>
                <w:bCs/>
                <w:sz w:val="18"/>
                <w:szCs w:val="18"/>
              </w:rPr>
            </w:pPr>
          </w:p>
        </w:tc>
      </w:tr>
      <w:tr w:rsidR="00F176D3">
        <w:tc>
          <w:tcPr>
            <w:tcW w:w="2269" w:type="dxa"/>
          </w:tcPr>
          <w:p w:rsidR="00F176D3" w:rsidRDefault="00F176D3">
            <w:pPr>
              <w:spacing w:line="240" w:lineRule="auto"/>
              <w:rPr>
                <w:sz w:val="18"/>
                <w:szCs w:val="18"/>
              </w:rPr>
            </w:pPr>
            <w:r>
              <w:rPr>
                <w:sz w:val="18"/>
                <w:szCs w:val="18"/>
              </w:rPr>
              <w:t>Design</w:t>
            </w:r>
          </w:p>
        </w:tc>
        <w:tc>
          <w:tcPr>
            <w:tcW w:w="709" w:type="dxa"/>
            <w:gridSpan w:val="2"/>
          </w:tcPr>
          <w:p w:rsidR="00F176D3" w:rsidRDefault="00F176D3">
            <w:pPr>
              <w:spacing w:line="240" w:lineRule="auto"/>
              <w:jc w:val="center"/>
              <w:rPr>
                <w:sz w:val="18"/>
                <w:szCs w:val="18"/>
              </w:rPr>
            </w:pPr>
            <w:r>
              <w:rPr>
                <w:sz w:val="18"/>
                <w:szCs w:val="18"/>
              </w:rPr>
              <w:t>3</w:t>
            </w:r>
          </w:p>
        </w:tc>
        <w:tc>
          <w:tcPr>
            <w:tcW w:w="10862" w:type="dxa"/>
          </w:tcPr>
          <w:p w:rsidR="00F176D3" w:rsidRDefault="00F176D3">
            <w:pPr>
              <w:spacing w:line="240" w:lineRule="auto"/>
              <w:rPr>
                <w:b/>
                <w:bCs/>
                <w:sz w:val="18"/>
                <w:szCs w:val="18"/>
              </w:rPr>
            </w:pPr>
            <w:r>
              <w:rPr>
                <w:b/>
                <w:bCs/>
                <w:sz w:val="18"/>
                <w:szCs w:val="18"/>
              </w:rPr>
              <w:t xml:space="preserve">Description of multi-centre study design, with prospective collection of standard data across centres. </w:t>
            </w:r>
            <w:r>
              <w:rPr>
                <w:sz w:val="18"/>
                <w:szCs w:val="18"/>
              </w:rPr>
              <w:t xml:space="preserve">Example” </w:t>
            </w:r>
            <w:r>
              <w:rPr>
                <w:b/>
                <w:bCs/>
                <w:color w:val="1C1D1E"/>
                <w:sz w:val="18"/>
                <w:szCs w:val="18"/>
              </w:rPr>
              <w:t>“</w:t>
            </w:r>
            <w:r>
              <w:rPr>
                <w:color w:val="1C1D1E"/>
                <w:sz w:val="18"/>
                <w:szCs w:val="18"/>
              </w:rPr>
              <w:t xml:space="preserve">We conducted a 20‐centre non‐randomised controlled prospective cohort study of treatments for uterine fibroids, in which patients were fully informed about the treatment options and then chose whether to receive hysterectomy, myomectomy or HIFU therapy. </w:t>
            </w:r>
            <w:r>
              <w:rPr>
                <w:color w:val="1F1F1F"/>
                <w:sz w:val="18"/>
                <w:szCs w:val="18"/>
              </w:rPr>
              <w:t>Setting and data collection:</w:t>
            </w:r>
            <w:r>
              <w:rPr>
                <w:b/>
                <w:bCs/>
                <w:color w:val="1F1F1F"/>
                <w:sz w:val="18"/>
                <w:szCs w:val="18"/>
              </w:rPr>
              <w:t xml:space="preserve"> </w:t>
            </w:r>
            <w:r>
              <w:rPr>
                <w:color w:val="1C1D1E"/>
                <w:sz w:val="18"/>
                <w:szCs w:val="18"/>
              </w:rPr>
              <w:t>The centres of clinical investigation were selected from respondents to a nationwide call for participation in the trial. Twenty centres were selected based on having the required ultrasound therapeutic devices in place and conforming to a uniform treatment protocol. Recruitment opened in March 2011 and closed in December 2013.”</w:t>
            </w:r>
            <w:r>
              <w:rPr>
                <w:color w:val="1C1D1E"/>
                <w:sz w:val="18"/>
                <w:szCs w:val="18"/>
              </w:rPr>
              <w:fldChar w:fldCharType="begin" w:fldLock="1"/>
            </w:r>
            <w:r>
              <w:rPr>
                <w:color w:val="1C1D1E"/>
                <w:sz w:val="18"/>
                <w:szCs w:val="18"/>
              </w:rPr>
              <w:instrText>ADDIN CSL_CITATION {"citationItems":[{"id":"ITEM-1","itemData":{"DOI":"10.1111/1471-0528.14689","ISSN":"14700328","abstract":"Objective: To evaluate the clinical outcomes of high-intensity focused ultrasound (HIFU) and surgery in treating uterine fibroids, and prepare for a definitive randomised trial. Design: Prospective multicentre patient choice cohort study (IDEAL Exploratory study) of HIFU, myomectomy or hysterectomy for treating symptomatic uterine fibroids. Setting: 20 Chinese hospitals. Population or sample: 2411 Chinese women with symptomatic fibroids. Methods: Prospective non-randomised cohort study with learning curve analysis (IDEAL Stage 2b Prospective Exploration Study). Main outcome measures: Complications, hospital stay, return to normal activities, and quality of life (measured with UFS-Qol and SF-36 at baseline, 6 and 12 months), and need for further treatment. Quality-of-life outcomes were adjusted using regression modelling. HIFU treatment quality was evaluated using LC-CUSUM to identify operator learning curves. A health economic analysis of costs was performed. Results: 1353 women received HIFU, 472 hysterectomy and 586 myomectomy. HIFU patients were significantly younger (P &lt; 0.001), slimmer (P &lt; 0.001), better educated (P &lt; 0.001), and wealthier (P = 0.002) than surgery patients. Both UFS and QoL improved more rapidly after HIFU than after surgery (P = 0.002 and P = 0.001, respectively at 6 months), but absolute differences were small. Major adverse events occurred in 3 (0.2%) of HIFU and in 133 (12.6%) of surgical cases (P &lt; 0.001). Median time for hospital stay was 4 days (interquartile range, 0–5 days), 10 days (interquartile range, 8–12.5 days) and 8 days (interquartile range, 7–10 days). Conclusions: HIFU caused substantially less morbidity than surgery, with similar longer-term QoL. Despite group baseline differences and lack of blinding, these findings support the need for a randomised controlled trial (RCT) of HIFU treatment for fibroids. The IDEAL Exploratory design facilitated RCT protocol development. Tweetable abstract: HIFU had much better short-term outcomes than surgery for fibroids in 2411-patient Chinese IDEAL format study.","author":[{"dropping-particle":"","family":"Chen","given":"Jinyun","non-dropping-particle":"","parse-names":false,"suffix":""},{"dropping-particle":"","family":"Li","given":"Y","non-dropping-particle":"","parse-names":false,"suffix":""},{"dropping-particle":"","family":"Wang","given":"Zhibiao","non-dropping-particle":"","parse-names":false,"suffix":""},{"dropping-particle":"","family":"McCulloch","given":"P.","non-dropping-particle":"","parse-names":false,"suffix":""},{"dropping-particle":"","family":"Hu","given":"Liang","non-dropping-particle":"","parse-names":false,"suffix":""},{"dropping-particle":"","family":"Chen","given":"W","non-dropping-particle":"","parse-names":false,"suffix":""},{"dropping-particle":"","family":"Liu","given":"Guanjian","non-dropping-particle":"","parse-names":false,"suffix":""},{"dropping-particle":"","family":"Li","given":"J","non-dropping-particle":"","parse-names":false,"suffix":""},{"dropping-particle":"","family":"Lang","given":"Jinghe","non-dropping-particle":"","parse-names":false,"suffix":""}],"container-title":"BJOG: An International Journal of Obstetrics &amp; Gynaecology","id":"ITEM-1","issue":"3","issued":{"date-parts":[["2018","2"]]},"page":"354-364","title":"Evaluation of high-intensity focused ultrasound ablation for uterine fibroids: an IDEAL prospective exploration study","type":"article-journal","volume":"125"},"uris":["http://www.mendeley.com/documents/?uuid=9a848b84-7f18-431f-8965-d6c1fcf2ebd2"]}],"mendeley":{"formattedCitation":"&lt;sup&gt;11&lt;/sup&gt;","plainTextFormattedCitation":"11","previouslyFormattedCitation":"&lt;sup&gt;10&lt;/sup&gt;"},"properties":{"noteIndex":0},"schema":"https://github.com/citation-style-language/schema/raw/master/csl-citation.json"}</w:instrText>
            </w:r>
            <w:r>
              <w:rPr>
                <w:color w:val="1C1D1E"/>
                <w:sz w:val="18"/>
                <w:szCs w:val="18"/>
              </w:rPr>
              <w:fldChar w:fldCharType="separate"/>
            </w:r>
            <w:r>
              <w:rPr>
                <w:noProof/>
                <w:color w:val="1C1D1E"/>
                <w:sz w:val="18"/>
                <w:szCs w:val="18"/>
                <w:vertAlign w:val="superscript"/>
              </w:rPr>
              <w:t>11</w:t>
            </w:r>
            <w:r>
              <w:rPr>
                <w:color w:val="1C1D1E"/>
                <w:sz w:val="18"/>
                <w:szCs w:val="18"/>
              </w:rPr>
              <w:fldChar w:fldCharType="end"/>
            </w:r>
          </w:p>
        </w:tc>
      </w:tr>
      <w:tr w:rsidR="00F176D3">
        <w:tc>
          <w:tcPr>
            <w:tcW w:w="2269" w:type="dxa"/>
            <w:tcBorders>
              <w:bottom w:val="nil"/>
            </w:tcBorders>
          </w:tcPr>
          <w:p w:rsidR="00F176D3" w:rsidRDefault="00F176D3">
            <w:pPr>
              <w:spacing w:line="240" w:lineRule="auto"/>
              <w:rPr>
                <w:sz w:val="18"/>
                <w:szCs w:val="18"/>
              </w:rPr>
            </w:pPr>
            <w:r>
              <w:rPr>
                <w:sz w:val="18"/>
                <w:szCs w:val="18"/>
              </w:rPr>
              <w:t>Participants</w:t>
            </w:r>
          </w:p>
        </w:tc>
        <w:tc>
          <w:tcPr>
            <w:tcW w:w="709" w:type="dxa"/>
            <w:gridSpan w:val="2"/>
            <w:tcBorders>
              <w:bottom w:val="nil"/>
            </w:tcBorders>
          </w:tcPr>
          <w:p w:rsidR="00F176D3" w:rsidRDefault="00F176D3">
            <w:pPr>
              <w:spacing w:line="240" w:lineRule="auto"/>
              <w:jc w:val="center"/>
              <w:rPr>
                <w:sz w:val="18"/>
                <w:szCs w:val="18"/>
              </w:rPr>
            </w:pPr>
            <w:r>
              <w:rPr>
                <w:sz w:val="18"/>
                <w:szCs w:val="18"/>
              </w:rPr>
              <w:t>4a</w:t>
            </w:r>
          </w:p>
        </w:tc>
        <w:tc>
          <w:tcPr>
            <w:tcW w:w="10862" w:type="dxa"/>
          </w:tcPr>
          <w:p w:rsidR="00F176D3" w:rsidRDefault="00F176D3">
            <w:pPr>
              <w:spacing w:line="240" w:lineRule="auto"/>
              <w:rPr>
                <w:b/>
                <w:bCs/>
                <w:sz w:val="18"/>
                <w:szCs w:val="18"/>
              </w:rPr>
            </w:pPr>
            <w:r>
              <w:rPr>
                <w:b/>
                <w:bCs/>
                <w:sz w:val="18"/>
                <w:szCs w:val="18"/>
              </w:rPr>
              <w:t xml:space="preserve">Detailed account of patient inclusion and exclusion criteria, defining any specific recognized patient sub-groups or technique/device variants included for which there is not full consensus over their eligibility. </w:t>
            </w:r>
            <w:r>
              <w:rPr>
                <w:sz w:val="18"/>
                <w:szCs w:val="18"/>
              </w:rPr>
              <w:t xml:space="preserve">Example: </w:t>
            </w:r>
            <w:r>
              <w:rPr>
                <w:color w:val="1F1F1F"/>
                <w:sz w:val="18"/>
                <w:szCs w:val="18"/>
                <w:lang w:val="en-US"/>
              </w:rPr>
              <w:t>“Inclusion criteria:</w:t>
            </w:r>
            <w:r>
              <w:rPr>
                <w:b/>
                <w:bCs/>
                <w:color w:val="1F1F1F"/>
                <w:sz w:val="18"/>
                <w:szCs w:val="18"/>
                <w:lang w:val="en-US"/>
              </w:rPr>
              <w:t xml:space="preserve"> </w:t>
            </w:r>
            <w:r>
              <w:rPr>
                <w:color w:val="1F1F1F"/>
                <w:sz w:val="18"/>
                <w:szCs w:val="18"/>
                <w:lang w:val="en-US"/>
              </w:rPr>
              <w:t>Consecutive women aged 16 or over who require a mastectomy for breast cancer or risk-reduction who elect to undergo IBBR are considered technically suitable for PPBR by their surgeon and consent to undergo the procedure are eligible to participate in the study” “Exclusion criteria:</w:t>
            </w:r>
            <w:r>
              <w:rPr>
                <w:b/>
                <w:bCs/>
                <w:color w:val="1F1F1F"/>
                <w:sz w:val="18"/>
                <w:szCs w:val="18"/>
                <w:lang w:val="en-US"/>
              </w:rPr>
              <w:t xml:space="preserve"> </w:t>
            </w:r>
            <w:r>
              <w:rPr>
                <w:color w:val="1F1F1F"/>
                <w:sz w:val="18"/>
                <w:szCs w:val="18"/>
                <w:lang w:val="en-US"/>
              </w:rPr>
              <w:t>Absolute and relative exclusion criteria will be used to reflect current practice and account for the variable experience of surgeons performing PPBR across the UK. Absolute exclusion criteria will be applied to all patients. Absolute exclusion criteria: Patients assessed as having insufficient soft tissue coverage for PPBR…”</w:t>
            </w:r>
            <w:r>
              <w:rPr>
                <w:color w:val="1F1F1F"/>
                <w:sz w:val="18"/>
                <w:szCs w:val="18"/>
                <w:lang w:val="en-US"/>
              </w:rPr>
              <w:fldChar w:fldCharType="begin" w:fldLock="1"/>
            </w:r>
            <w:r>
              <w:rPr>
                <w:color w:val="1F1F1F"/>
                <w:sz w:val="18"/>
                <w:szCs w:val="18"/>
                <w:lang w:val="en-US"/>
              </w:rPr>
              <w:instrText>ADDIN CSL_CITATION {"citationItems":[{"id":"ITEM-1","itemData":{"DOI":"10.1136/bmjopen-2019-033641","ISSN":"2044-6055","abstract":"Introduction Implant-based breast reconstruction is the most commonly performed reconstructive technique worldwide. Subpectoral reconstruction with mesh is the current standard of care but new prepectoral techniques have recently been introduced. Prepectoral breast reconstruction (PPBR) may improve outcomes for patients but robust evaluation is required. Randomised clinical trials (RCTs) are ideally needed but the short-term safety of PPBR is yet to be established; the technique and its indications are evolving and it has yet to be adopted by a sufficient number of surgeons for an RCT to be feasible. The Pre-BRA study aims to determine the feasibility of using mixed-methods within an IDEAL 2a/2b (IDEAL, Idea-Development-Exploration-Assessment-Long-term) study to explore the short-term safety of PPBR and determine when the technique is sufficiently stable for evaluation in a pragmatic RCT. Methods and analysis Pre-BRA is an IDEAL stage 2a/2b prospective multicentre cohort study with embedded qualitative research. Consecutive patients electing to undergo immediate PPBR at participating centres will be invited to participate. Demographic, operative, oncology and complication data will be collected and patient-reported outcomes will be assessed at baseline, 3 and 18 months postoperatively. The primary safety endpoint will be implant loss at 3 months. Surgeons performing PPBR will be asked to complete questionnaires regarding their practice and report any modifications made to the procedure or learning arising from complications via free-text response fields on electronic case-report forms. Semistructured will explore surgeons' experiences in detail to identify emerging best practice. This will be fed back to participating surgeons to promote shared learning. The Pre-BRA study will aim to recruit 341 patients from 30 to 40 UK centres over a 12-month period. Recruitment will commence Spring 2019. Ethics and dissemination The study has full ethical approval from OXFORD-B South Central Committee Ref:19/SC/0129. Results will be presented at national and international meetings and published in peer-reviewed journals. Trial registration number ISRCTN11898000; Pre-results.","author":[{"dropping-particle":"","family":"Harvey","given":"Kate Louise","non-dropping-particle":"","parse-names":false,"suffix":""},{"dropping-particle":"","family":"Mills","given":"Nicola","non-dropping-particle":"","parse-names":false,"suffix":""},{"dropping-particle":"","family":"White","given":"Paul","non-dropping-particle":"","parse-names":false,"suffix":""},{"dropping-particle":"","family":"Holcombe","given":"Christopher","non-dropping-particle":"","parse-names":false,"suffix":""},{"dropping-particle":"","family":"Potter","given":"Shelley","non-dropping-particle":"","parse-names":false,"suffix":""}],"container-title":"BMJ Open","id":"ITEM-1","issue":"1","issued":{"date-parts":[["2020","1","26"]]},"page":"e033641","title":"The Pre-BRA (pre-pectoral Breast Reconstruction EvAluation) feasibility study: protocol for a mixed-methods IDEAL 2a/2b prospective cohort study to determine the safety and effectiveness of prepectoral implant-based breast reconstruction","type":"article-journal","volume":"10"},"uris":["http://www.mendeley.com/documents/?uuid=c2a53a79-4598-41b5-a881-1cfaf2dd604c"]}],"mendeley":{"formattedCitation":"&lt;sup&gt;10&lt;/sup&gt;","plainTextFormattedCitation":"10","previouslyFormattedCitation":"&lt;sup&gt;9&lt;/sup&gt;"},"properties":{"noteIndex":0},"schema":"https://github.com/citation-style-language/schema/raw/master/csl-citation.json"}</w:instrText>
            </w:r>
            <w:r>
              <w:rPr>
                <w:color w:val="1F1F1F"/>
                <w:sz w:val="18"/>
                <w:szCs w:val="18"/>
                <w:lang w:val="en-US"/>
              </w:rPr>
              <w:fldChar w:fldCharType="separate"/>
            </w:r>
            <w:r>
              <w:rPr>
                <w:noProof/>
                <w:color w:val="1F1F1F"/>
                <w:sz w:val="18"/>
                <w:szCs w:val="18"/>
                <w:vertAlign w:val="superscript"/>
                <w:lang w:val="en-US"/>
              </w:rPr>
              <w:t>10</w:t>
            </w:r>
            <w:r>
              <w:rPr>
                <w:color w:val="1F1F1F"/>
                <w:sz w:val="18"/>
                <w:szCs w:val="18"/>
                <w:lang w:val="en-US"/>
              </w:rPr>
              <w:fldChar w:fldCharType="end"/>
            </w:r>
          </w:p>
        </w:tc>
      </w:tr>
      <w:tr w:rsidR="00F176D3">
        <w:tc>
          <w:tcPr>
            <w:tcW w:w="2269" w:type="dxa"/>
            <w:tcBorders>
              <w:top w:val="nil"/>
              <w:bottom w:val="nil"/>
            </w:tcBorders>
          </w:tcPr>
          <w:p w:rsidR="00F176D3" w:rsidRDefault="00F176D3">
            <w:pPr>
              <w:spacing w:line="240" w:lineRule="auto"/>
              <w:rPr>
                <w:sz w:val="18"/>
                <w:szCs w:val="18"/>
              </w:rPr>
            </w:pPr>
          </w:p>
        </w:tc>
        <w:tc>
          <w:tcPr>
            <w:tcW w:w="709" w:type="dxa"/>
            <w:gridSpan w:val="2"/>
            <w:tcBorders>
              <w:top w:val="nil"/>
              <w:bottom w:val="nil"/>
            </w:tcBorders>
          </w:tcPr>
          <w:p w:rsidR="00F176D3" w:rsidRDefault="00F176D3">
            <w:pPr>
              <w:spacing w:line="240" w:lineRule="auto"/>
              <w:jc w:val="center"/>
              <w:rPr>
                <w:sz w:val="18"/>
                <w:szCs w:val="18"/>
              </w:rPr>
            </w:pPr>
            <w:r>
              <w:rPr>
                <w:sz w:val="18"/>
                <w:szCs w:val="18"/>
              </w:rPr>
              <w:t>4b</w:t>
            </w:r>
          </w:p>
        </w:tc>
        <w:tc>
          <w:tcPr>
            <w:tcW w:w="10862" w:type="dxa"/>
          </w:tcPr>
          <w:p w:rsidR="00F176D3" w:rsidRDefault="00F176D3">
            <w:pPr>
              <w:spacing w:line="240" w:lineRule="auto"/>
              <w:rPr>
                <w:b/>
                <w:bCs/>
                <w:sz w:val="18"/>
                <w:szCs w:val="18"/>
              </w:rPr>
            </w:pPr>
            <w:r>
              <w:rPr>
                <w:b/>
                <w:bCs/>
                <w:sz w:val="18"/>
                <w:szCs w:val="18"/>
              </w:rPr>
              <w:t>Informed consent process described, including explanation of risks and acknowledgement of level of experience with technique/device.</w:t>
            </w:r>
          </w:p>
        </w:tc>
      </w:tr>
      <w:tr w:rsidR="00F176D3">
        <w:tc>
          <w:tcPr>
            <w:tcW w:w="2269" w:type="dxa"/>
            <w:tcBorders>
              <w:top w:val="nil"/>
            </w:tcBorders>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4c</w:t>
            </w:r>
          </w:p>
        </w:tc>
        <w:tc>
          <w:tcPr>
            <w:tcW w:w="10862" w:type="dxa"/>
          </w:tcPr>
          <w:p w:rsidR="00F176D3" w:rsidRDefault="00F176D3">
            <w:pPr>
              <w:spacing w:line="240" w:lineRule="auto"/>
              <w:rPr>
                <w:b/>
                <w:bCs/>
                <w:sz w:val="18"/>
                <w:szCs w:val="18"/>
              </w:rPr>
            </w:pPr>
            <w:r>
              <w:rPr>
                <w:b/>
                <w:bCs/>
                <w:sz w:val="18"/>
                <w:szCs w:val="18"/>
              </w:rPr>
              <w:t>Setting, location, and timeframe of recruitment and follow-up, including when and where the data were collected, as well as hospital characteristics and appropriate details regarding the operator/team (e.g. prior experience with novel technique).</w:t>
            </w:r>
          </w:p>
        </w:tc>
      </w:tr>
      <w:tr w:rsidR="00F176D3">
        <w:tc>
          <w:tcPr>
            <w:tcW w:w="2269" w:type="dxa"/>
            <w:tcBorders>
              <w:bottom w:val="nil"/>
            </w:tcBorders>
          </w:tcPr>
          <w:p w:rsidR="00F176D3" w:rsidRDefault="00F176D3">
            <w:pPr>
              <w:spacing w:line="240" w:lineRule="auto"/>
              <w:rPr>
                <w:sz w:val="18"/>
                <w:szCs w:val="18"/>
              </w:rPr>
            </w:pPr>
            <w:r>
              <w:rPr>
                <w:sz w:val="18"/>
                <w:szCs w:val="18"/>
              </w:rPr>
              <w:t>Intervention</w:t>
            </w:r>
          </w:p>
        </w:tc>
        <w:tc>
          <w:tcPr>
            <w:tcW w:w="709" w:type="dxa"/>
            <w:gridSpan w:val="2"/>
          </w:tcPr>
          <w:p w:rsidR="00F176D3" w:rsidRDefault="00F176D3">
            <w:pPr>
              <w:spacing w:line="240" w:lineRule="auto"/>
              <w:jc w:val="center"/>
              <w:rPr>
                <w:sz w:val="18"/>
                <w:szCs w:val="18"/>
              </w:rPr>
            </w:pPr>
            <w:r>
              <w:rPr>
                <w:sz w:val="18"/>
                <w:szCs w:val="18"/>
              </w:rPr>
              <w:t>5a</w:t>
            </w:r>
          </w:p>
        </w:tc>
        <w:tc>
          <w:tcPr>
            <w:tcW w:w="10862" w:type="dxa"/>
          </w:tcPr>
          <w:p w:rsidR="00F176D3" w:rsidRDefault="00F176D3">
            <w:pPr>
              <w:spacing w:line="240" w:lineRule="auto"/>
              <w:rPr>
                <w:b/>
                <w:bCs/>
                <w:color w:val="000000"/>
                <w:sz w:val="18"/>
                <w:szCs w:val="18"/>
              </w:rPr>
            </w:pPr>
            <w:r>
              <w:rPr>
                <w:b/>
                <w:bCs/>
                <w:color w:val="000000"/>
                <w:sz w:val="18"/>
                <w:szCs w:val="18"/>
              </w:rPr>
              <w:t xml:space="preserve">Clear and detailed description of technique, or reference to it, including an assessment measure for quality of performance for operators/teams. </w:t>
            </w:r>
            <w:r>
              <w:rPr>
                <w:color w:val="000000"/>
                <w:sz w:val="18"/>
                <w:szCs w:val="18"/>
              </w:rPr>
              <w:t xml:space="preserve">Example: </w:t>
            </w:r>
            <w:r>
              <w:rPr>
                <w:color w:val="1C1D1E"/>
                <w:sz w:val="18"/>
                <w:szCs w:val="18"/>
              </w:rPr>
              <w:t>“Irreversible Electroporation Ablation (Study Intervention):</w:t>
            </w:r>
            <w:r>
              <w:rPr>
                <w:b/>
                <w:bCs/>
                <w:color w:val="1C1D1E"/>
                <w:sz w:val="18"/>
                <w:szCs w:val="18"/>
              </w:rPr>
              <w:t xml:space="preserve"> </w:t>
            </w:r>
            <w:r>
              <w:rPr>
                <w:color w:val="1C1D1E"/>
                <w:sz w:val="18"/>
                <w:szCs w:val="18"/>
              </w:rPr>
              <w:t>In this study, IRE ablation is performed using the NanoKnife IRE device (AngioDynamics Inc) (</w:t>
            </w:r>
            <w:hyperlink r:id="rId6" w:tgtFrame="figure" w:history="1">
              <w:r>
                <w:rPr>
                  <w:color w:val="1C1D1E"/>
                  <w:sz w:val="18"/>
                  <w:szCs w:val="18"/>
                </w:rPr>
                <w:t>Figure 2</w:t>
              </w:r>
            </w:hyperlink>
            <w:r>
              <w:rPr>
                <w:color w:val="1C1D1E"/>
                <w:sz w:val="18"/>
                <w:szCs w:val="18"/>
              </w:rPr>
              <w:t>, A), also registered as the HVP-01 electroporation system. The IRE system contains a low energy direct current generator, a foot switch, and 19G monopolar needle electrodes (15 or 25 cm length).”” The IRE procedure will be performed at the radiology department CT room with the patient under general anesthesia including deep muscle relaxation to prevent severe muscle contraction… guided by CT and accompanied by an external spacer for fixation, needle electrodes will be placed (</w:t>
            </w:r>
            <w:hyperlink r:id="rId7" w:tgtFrame="figure" w:history="1">
              <w:r>
                <w:rPr>
                  <w:color w:val="1C1D1E"/>
                  <w:sz w:val="18"/>
                  <w:szCs w:val="18"/>
                </w:rPr>
                <w:t>Figure 2</w:t>
              </w:r>
            </w:hyperlink>
            <w:r>
              <w:rPr>
                <w:color w:val="1C1D1E"/>
                <w:sz w:val="18"/>
                <w:szCs w:val="18"/>
              </w:rPr>
              <w:t>, B).”</w:t>
            </w:r>
            <w:r>
              <w:rPr>
                <w:color w:val="1C1D1E"/>
                <w:sz w:val="18"/>
                <w:szCs w:val="18"/>
              </w:rPr>
              <w:fldChar w:fldCharType="begin" w:fldLock="1"/>
            </w:r>
            <w:r>
              <w:rPr>
                <w:color w:val="1C1D1E"/>
                <w:sz w:val="18"/>
                <w:szCs w:val="18"/>
              </w:rPr>
              <w:instrText>ADDIN CSL_CITATION {"citationItems":[{"id":"ITEM-1","itemData":{"DOI":"10.2196/resprot.6725","ISSN":"1929-0748","abstract":"Background: Irreversible electroporation (IRE) is an emerging technique delivering electrical pulses to ablate tissue, with the theoretical advantage to overcome the main shortcomings of conventional thermal ablation. Recent short-term research showed that IRE for the ablation of renal masses is a safe and feasible treatment option. In an ablate and resect design, histopathological analysis 4 weeks after radical nephrectomy demonstrated that IRE-targeted renal tumors were completely covered by ablation zone. In order to develop a validated long-term IRE follow-up study, it is essential to obtain clinical confirmation of the efficacy of this novel technology. Additionally, follow-up after IRE ablation obliges verification of a suitable imaging modality. Objective: The objectives of this study are the clinical efficacy and safety of IRE ablation of renal masses and to evaluate the use of cross-sectional imaging modalities in the follow-up after IRE in renal tumors. This study conforms to the recommendations of the IDEAL Collaboration and can be categorized as a phase 2B exploration trial. Methods: In this prospective clinical trial, IRE will be performed in 20 patients aged 18 years and older presenting with a solid enhancing small renal mass (SRM) (≤4 cm) who are candidates for ablation. Magnetic resonance imaging (MRI) and contrast-enhanced ultrasound (CEUS) will be performed at 1 day pre-IRE, and 1 week post-IRE. Computed tomography (CT), CEUS, and MRI will be performed at 3 months, 6 months, and 12 months post-IRE. Results: Presently, recruitment of patients has started and the first inclusions are completed. Preliminary results and outcomes are expected in 2018. Conclusions: To establish the position of IRE ablation for treating renal tumors, a structured stepwise assessment in clinical practice is required. This study will offer fundamental knowledge on the clinical efficacy of IRE ablation for SRMs, potentially positioning IRE as ablative modality for renal tumors and accrediting future research with long-term follow-up.","author":[{"dropping-particle":"","family":"Buijs","given":"Mara","non-dropping-particle":"","parse-names":false,"suffix":""},{"dropping-particle":"","family":"Lienden","given":"Krijn P","non-dropping-particle":"van","parse-names":false,"suffix":""},{"dropping-particle":"","family":"Wagstaff","given":"Peter GK","non-dropping-particle":"","parse-names":false,"suffix":""},{"dropping-particle":"","family":"Scheltema","given":"Matthijs JV","non-dropping-particle":"","parse-names":false,"suffix":""},{"dropping-particle":"","family":"Bruin","given":"Daniel M","non-dropping-particle":"de","parse-names":false,"suffix":""},{"dropping-particle":"","family":"Zondervan","given":"Patricia J","non-dropping-particle":"","parse-names":false,"suffix":""},{"dropping-particle":"","family":"Delden","given":"Otto M","non-dropping-particle":"van","parse-names":false,"suffix":""},{"dropping-particle":"","family":"Leeuwen","given":"Ton G","non-dropping-particle":"van","parse-names":false,"suffix":""},{"dropping-particle":"","family":"la Rosette","given":"Jean JMCH","non-dropping-particle":"de","parse-names":false,"suffix":""},{"dropping-particle":"","family":"Laguna","given":"M Pilar","non-dropping-particle":"","parse-names":false,"suffix":""}],"container-title":"JMIR Research Protocols","id":"ITEM-1","issue":"2","issued":{"date-parts":[["2017","2","16"]]},"page":"e21","title":"Irreversible Electroporation for the Ablation of Renal Cell Carcinoma: A Prospective, Human, In Vivo Study Protocol (IDEAL Phase 2b)","type":"article-journal","volume":"6"},"uris":["http://www.mendeley.com/documents/?uuid=2e8b5511-0958-4109-8dfb-741aa62bb96e"]}],"mendeley":{"formattedCitation":"&lt;sup&gt;12&lt;/sup&gt;","plainTextFormattedCitation":"12","previouslyFormattedCitation":"&lt;sup&gt;11&lt;/sup&gt;"},"properties":{"noteIndex":0},"schema":"https://github.com/citation-style-language/schema/raw/master/csl-citation.json"}</w:instrText>
            </w:r>
            <w:r>
              <w:rPr>
                <w:color w:val="1C1D1E"/>
                <w:sz w:val="18"/>
                <w:szCs w:val="18"/>
              </w:rPr>
              <w:fldChar w:fldCharType="separate"/>
            </w:r>
            <w:r>
              <w:rPr>
                <w:noProof/>
                <w:color w:val="1C1D1E"/>
                <w:sz w:val="18"/>
                <w:szCs w:val="18"/>
                <w:vertAlign w:val="superscript"/>
              </w:rPr>
              <w:t>12</w:t>
            </w:r>
            <w:r>
              <w:rPr>
                <w:color w:val="1C1D1E"/>
                <w:sz w:val="18"/>
                <w:szCs w:val="18"/>
              </w:rPr>
              <w:fldChar w:fldCharType="end"/>
            </w:r>
          </w:p>
        </w:tc>
      </w:tr>
      <w:tr w:rsidR="00F176D3">
        <w:tc>
          <w:tcPr>
            <w:tcW w:w="2269" w:type="dxa"/>
            <w:tcBorders>
              <w:top w:val="nil"/>
              <w:bottom w:val="nil"/>
            </w:tcBorders>
          </w:tcPr>
          <w:p w:rsidR="00F176D3" w:rsidRDefault="00F176D3">
            <w:pPr>
              <w:spacing w:line="240" w:lineRule="auto"/>
              <w:rPr>
                <w:sz w:val="18"/>
                <w:szCs w:val="18"/>
              </w:rPr>
            </w:pPr>
          </w:p>
        </w:tc>
        <w:tc>
          <w:tcPr>
            <w:tcW w:w="709" w:type="dxa"/>
            <w:gridSpan w:val="2"/>
            <w:tcBorders>
              <w:bottom w:val="nil"/>
            </w:tcBorders>
          </w:tcPr>
          <w:p w:rsidR="00F176D3" w:rsidRDefault="00F176D3">
            <w:pPr>
              <w:spacing w:line="240" w:lineRule="auto"/>
              <w:jc w:val="center"/>
              <w:rPr>
                <w:sz w:val="18"/>
                <w:szCs w:val="18"/>
              </w:rPr>
            </w:pPr>
            <w:r>
              <w:rPr>
                <w:sz w:val="18"/>
                <w:szCs w:val="18"/>
              </w:rPr>
              <w:t>5b</w:t>
            </w:r>
          </w:p>
        </w:tc>
        <w:tc>
          <w:tcPr>
            <w:tcW w:w="10862" w:type="dxa"/>
          </w:tcPr>
          <w:p w:rsidR="00F176D3" w:rsidRDefault="00F176D3">
            <w:pPr>
              <w:spacing w:line="240" w:lineRule="auto"/>
              <w:rPr>
                <w:b/>
                <w:bCs/>
                <w:color w:val="000000"/>
                <w:sz w:val="18"/>
                <w:szCs w:val="18"/>
              </w:rPr>
            </w:pPr>
            <w:r>
              <w:rPr>
                <w:b/>
                <w:bCs/>
                <w:color w:val="000000"/>
                <w:sz w:val="18"/>
                <w:szCs w:val="18"/>
              </w:rPr>
              <w:t>Description or reference to statistical learning curve assessment of operators/team using pre-defined objective quality metrics.</w:t>
            </w:r>
          </w:p>
          <w:p w:rsidR="00F176D3" w:rsidRDefault="00F176D3">
            <w:pPr>
              <w:spacing w:line="240" w:lineRule="auto"/>
              <w:rPr>
                <w:sz w:val="18"/>
                <w:szCs w:val="18"/>
              </w:rPr>
            </w:pPr>
            <w:r>
              <w:rPr>
                <w:color w:val="1F1F1F"/>
                <w:sz w:val="18"/>
                <w:szCs w:val="18"/>
              </w:rPr>
              <w:t xml:space="preserve">“Evaluation of learning curves: </w:t>
            </w:r>
            <w:r>
              <w:rPr>
                <w:color w:val="1C1D1E"/>
                <w:sz w:val="18"/>
                <w:szCs w:val="18"/>
              </w:rPr>
              <w:t>Procedure time and percent NPV on enhanced MRI at 4 weeks were measured, to assess the quality of treatment delivery and assess learning curves. For each centre, %NPV was analysed sequentially using the LC‐CUSUM method to identify the point at which a stable satisfactory performance could be demonstrated.</w:t>
            </w:r>
            <w:r>
              <w:rPr>
                <w:color w:val="434343"/>
                <w:sz w:val="18"/>
                <w:szCs w:val="18"/>
                <w:vertAlign w:val="superscript"/>
              </w:rPr>
              <w:t>15,16</w:t>
            </w:r>
            <w:r>
              <w:rPr>
                <w:color w:val="1C1D1E"/>
                <w:sz w:val="18"/>
                <w:szCs w:val="18"/>
              </w:rPr>
              <w:t xml:space="preserve"> The target for %NPV was set at 70%, and acceptable and unacceptable failure rates were set at 0.1 and 0.2, i.e. 10% and 20% failure to achieve the 70% target.”</w:t>
            </w:r>
            <w:r>
              <w:rPr>
                <w:color w:val="1C1D1E"/>
                <w:sz w:val="18"/>
                <w:szCs w:val="18"/>
              </w:rPr>
              <w:fldChar w:fldCharType="begin" w:fldLock="1"/>
            </w:r>
            <w:r>
              <w:rPr>
                <w:color w:val="1C1D1E"/>
                <w:sz w:val="18"/>
                <w:szCs w:val="18"/>
              </w:rPr>
              <w:instrText>ADDIN CSL_CITATION {"citationItems":[{"id":"ITEM-1","itemData":{"DOI":"10.1111/1471-0528.14689","ISSN":"14700328","abstract":"Objective: To evaluate the clinical outcomes of high-intensity focused ultrasound (HIFU) and surgery in treating uterine fibroids, and prepare for a definitive randomised trial. Design: Prospective multicentre patient choice cohort study (IDEAL Exploratory study) of HIFU, myomectomy or hysterectomy for treating symptomatic uterine fibroids. Setting: 20 Chinese hospitals. Population or sample: 2411 Chinese women with symptomatic fibroids. Methods: Prospective non-randomised cohort study with learning curve analysis (IDEAL Stage 2b Prospective Exploration Study). Main outcome measures: Complications, hospital stay, return to normal activities, and quality of life (measured with UFS-Qol and SF-36 at baseline, 6 and 12 months), and need for further treatment. Quality-of-life outcomes were adjusted using regression modelling. HIFU treatment quality was evaluated using LC-CUSUM to identify operator learning curves. A health economic analysis of costs was performed. Results: 1353 women received HIFU, 472 hysterectomy and 586 myomectomy. HIFU patients were significantly younger (P &lt; 0.001), slimmer (P &lt; 0.001), better educated (P &lt; 0.001), and wealthier (P = 0.002) than surgery patients. Both UFS and QoL improved more rapidly after HIFU than after surgery (P = 0.002 and P = 0.001, respectively at 6 months), but absolute differences were small. Major adverse events occurred in 3 (0.2%) of HIFU and in 133 (12.6%) of surgical cases (P &lt; 0.001). Median time for hospital stay was 4 days (interquartile range, 0–5 days), 10 days (interquartile range, 8–12.5 days) and 8 days (interquartile range, 7–10 days). Conclusions: HIFU caused substantially less morbidity than surgery, with similar longer-term QoL. Despite group baseline differences and lack of blinding, these findings support the need for a randomised controlled trial (RCT) of HIFU treatment for fibroids. The IDEAL Exploratory design facilitated RCT protocol development. Tweetable abstract: HIFU had much better short-term outcomes than surgery for fibroids in 2411-patient Chinese IDEAL format study.","author":[{"dropping-particle":"","family":"Chen","given":"Jinyun","non-dropping-particle":"","parse-names":false,"suffix":""},{"dropping-particle":"","family":"Li","given":"Y","non-dropping-particle":"","parse-names":false,"suffix":""},{"dropping-particle":"","family":"Wang","given":"Zhibiao","non-dropping-particle":"","parse-names":false,"suffix":""},{"dropping-particle":"","family":"McCulloch","given":"P.","non-dropping-particle":"","parse-names":false,"suffix":""},{"dropping-particle":"","family":"Hu","given":"Liang","non-dropping-particle":"","parse-names":false,"suffix":""},{"dropping-particle":"","family":"Chen","given":"W","non-dropping-particle":"","parse-names":false,"suffix":""},{"dropping-particle":"","family":"Liu","given":"Guanjian","non-dropping-particle":"","parse-names":false,"suffix":""},{"dropping-particle":"","family":"Li","given":"J","non-dropping-particle":"","parse-names":false,"suffix":""},{"dropping-particle":"","family":"Lang","given":"Jinghe","non-dropping-particle":"","parse-names":false,"suffix":""}],"container-title":"BJOG: An International Journal of Obstetrics &amp; Gynaecology","id":"ITEM-1","issue":"3","issued":{"date-parts":[["2018","2"]]},"page":"354-364","title":"Evaluation of high-intensity focused ultrasound ablation for uterine fibroids: an IDEAL prospective exploration study","type":"article-journal","volume":"125"},"uris":["http://www.mendeley.com/documents/?uuid=9a848b84-7f18-431f-8965-d6c1fcf2ebd2"]}],"mendeley":{"formattedCitation":"&lt;sup&gt;11&lt;/sup&gt;","plainTextFormattedCitation":"11","previouslyFormattedCitation":"&lt;sup&gt;10&lt;/sup&gt;"},"properties":{"noteIndex":0},"schema":"https://github.com/citation-style-language/schema/raw/master/csl-citation.json"}</w:instrText>
            </w:r>
            <w:r>
              <w:rPr>
                <w:color w:val="1C1D1E"/>
                <w:sz w:val="18"/>
                <w:szCs w:val="18"/>
              </w:rPr>
              <w:fldChar w:fldCharType="separate"/>
            </w:r>
            <w:r>
              <w:rPr>
                <w:noProof/>
                <w:color w:val="1C1D1E"/>
                <w:sz w:val="18"/>
                <w:szCs w:val="18"/>
                <w:vertAlign w:val="superscript"/>
              </w:rPr>
              <w:t>11</w:t>
            </w:r>
            <w:r>
              <w:rPr>
                <w:color w:val="1C1D1E"/>
                <w:sz w:val="18"/>
                <w:szCs w:val="18"/>
              </w:rPr>
              <w:fldChar w:fldCharType="end"/>
            </w:r>
          </w:p>
        </w:tc>
      </w:tr>
      <w:tr w:rsidR="00F176D3">
        <w:tc>
          <w:tcPr>
            <w:tcW w:w="2269" w:type="dxa"/>
            <w:tcBorders>
              <w:top w:val="nil"/>
            </w:tcBorders>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5c</w:t>
            </w:r>
          </w:p>
        </w:tc>
        <w:tc>
          <w:tcPr>
            <w:tcW w:w="10862" w:type="dxa"/>
          </w:tcPr>
          <w:p w:rsidR="00F176D3" w:rsidRDefault="00F176D3">
            <w:pPr>
              <w:spacing w:line="240" w:lineRule="auto"/>
              <w:rPr>
                <w:b/>
                <w:bCs/>
                <w:sz w:val="18"/>
                <w:szCs w:val="18"/>
              </w:rPr>
            </w:pPr>
            <w:r>
              <w:rPr>
                <w:b/>
                <w:bCs/>
                <w:sz w:val="18"/>
                <w:szCs w:val="18"/>
              </w:rPr>
              <w:t>Patient safety monitoring methods and safeguards.</w:t>
            </w:r>
          </w:p>
        </w:tc>
      </w:tr>
      <w:tr w:rsidR="00F176D3">
        <w:tc>
          <w:tcPr>
            <w:tcW w:w="2269" w:type="dxa"/>
          </w:tcPr>
          <w:p w:rsidR="00F176D3" w:rsidRDefault="00F176D3">
            <w:pPr>
              <w:spacing w:line="240" w:lineRule="auto"/>
              <w:rPr>
                <w:sz w:val="18"/>
                <w:szCs w:val="18"/>
              </w:rPr>
            </w:pPr>
            <w:r>
              <w:rPr>
                <w:sz w:val="18"/>
                <w:szCs w:val="18"/>
              </w:rPr>
              <w:t>Outcomes</w:t>
            </w:r>
          </w:p>
        </w:tc>
        <w:tc>
          <w:tcPr>
            <w:tcW w:w="709" w:type="dxa"/>
            <w:gridSpan w:val="2"/>
          </w:tcPr>
          <w:p w:rsidR="00F176D3" w:rsidRDefault="00F176D3">
            <w:pPr>
              <w:spacing w:line="240" w:lineRule="auto"/>
              <w:jc w:val="center"/>
              <w:rPr>
                <w:sz w:val="18"/>
                <w:szCs w:val="18"/>
              </w:rPr>
            </w:pPr>
            <w:r>
              <w:rPr>
                <w:sz w:val="18"/>
                <w:szCs w:val="18"/>
              </w:rPr>
              <w:t>6</w:t>
            </w:r>
          </w:p>
        </w:tc>
        <w:tc>
          <w:tcPr>
            <w:tcW w:w="10862" w:type="dxa"/>
          </w:tcPr>
          <w:p w:rsidR="00F176D3" w:rsidRDefault="00F176D3">
            <w:pPr>
              <w:spacing w:line="240" w:lineRule="auto"/>
              <w:rPr>
                <w:b/>
                <w:bCs/>
                <w:sz w:val="18"/>
                <w:szCs w:val="18"/>
              </w:rPr>
            </w:pPr>
            <w:r>
              <w:rPr>
                <w:b/>
                <w:bCs/>
                <w:sz w:val="18"/>
                <w:szCs w:val="18"/>
              </w:rPr>
              <w:t xml:space="preserve">Description of pre-specified primary and secondary outcome measures selected and how they will be assessed, including patient reported outcome measures, when appropriate, utilising standardised and validated core outcomes sets, when available and applicable. When these are not available, provide rationale for the outcome measure(s) used. </w:t>
            </w:r>
            <w:r>
              <w:rPr>
                <w:sz w:val="18"/>
                <w:szCs w:val="18"/>
              </w:rPr>
              <w:t>Example:</w:t>
            </w:r>
            <w:r>
              <w:rPr>
                <w:b/>
                <w:bCs/>
                <w:sz w:val="18"/>
                <w:szCs w:val="18"/>
              </w:rPr>
              <w:t xml:space="preserve"> </w:t>
            </w:r>
            <w:r>
              <w:rPr>
                <w:color w:val="1C1D1E"/>
                <w:sz w:val="18"/>
                <w:szCs w:val="18"/>
                <w:shd w:val="clear" w:color="auto" w:fill="FFFFFF"/>
              </w:rPr>
              <w:t>“In the present context, a prospective database was set up to record patient details including age, sex, body mass index (BMI), preoperative chemotherapy regimen, cancer stage, site and type. Process measures included duration of surgery (defined as knife to skin to completion of wound closure), intraoperative blood loss (recorded by the surgeon from in‐theatre assessment of blood loss) and pathological disease stage.</w:t>
            </w:r>
            <w:r>
              <w:rPr>
                <w:color w:val="1C1D1E"/>
                <w:sz w:val="18"/>
                <w:szCs w:val="18"/>
                <w:shd w:val="clear" w:color="auto" w:fill="FFFFFF"/>
                <w:vertAlign w:val="superscript"/>
              </w:rPr>
              <w:t>7</w:t>
            </w:r>
            <w:r>
              <w:rPr>
                <w:color w:val="1C1D1E"/>
                <w:sz w:val="18"/>
                <w:szCs w:val="18"/>
                <w:shd w:val="clear" w:color="auto" w:fill="FFFFFF"/>
              </w:rPr>
              <w:t xml:space="preserve"> Short‐term measures included length of hospital stay (defined as the number of days spent in hospital from day of operation to discharge), in‐hospital morbidity and in‐hospital mortality. Morbidity was graded according to the Clavien–Dindo classification, which grades complications based on the intervention required for their treatment…”</w:t>
            </w:r>
            <w:r>
              <w:rPr>
                <w:color w:val="1C1D1E"/>
                <w:sz w:val="18"/>
                <w:szCs w:val="18"/>
                <w:shd w:val="clear" w:color="auto" w:fill="FFFFFF"/>
              </w:rPr>
              <w:fldChar w:fldCharType="begin" w:fldLock="1"/>
            </w:r>
            <w:r>
              <w:rPr>
                <w:color w:val="1C1D1E"/>
                <w:sz w:val="18"/>
                <w:szCs w:val="18"/>
                <w:shd w:val="clear" w:color="auto" w:fill="FFFFFF"/>
              </w:rPr>
              <w:instrText>ADDIN CSL_CITATION {"citationItems":[{"id":"ITEM-1","itemData":{"DOI":"10.1002/bjs.7387","ISSN":"00071323","abstract":"Background: The Idea, Development, Evaluation, Assessment and Long term study (IDEAL) framework makes recommendations for evaluating and reporting surgical innovation and adoption, but remains untested. Methods: A prospective database was created for the introduction of minimally invasive techniques for oesophagectomy. IDEAL stages of development and evaluation were examined retrospectively in a series of patients undergoing laparoscopically assisted oesophagectomy (LAO), two- or three-phase minimally invasive oesophagectomy (MIO) and open oesophagectomy. Results: A total of 192 patients were involved. In IDEAL stages 1 and 2a, LAO in 16 patients was uneventful, but two-phase MIO in six patients was abandoned following consecutive technical complications. Two-phase MIO was modified to a three-phase MIO procedure, and the results of LAO (67 patients), three-phase MIO (35) and open techniques (68) were studied in IDEAL stage 2b. Major complications (Clavien-Dindo grades III and IV) occurred in 12 (18 per cent), nine (26 per cent) and 14 (21 per cent) LAO, three-phase MIO and open procedures respectively. There were four in-hospital deaths (2 LAO and 2 open). Conclusion: The IDEAL framework is a feasible method for documenting the development and implementation of a procedure. MIO should now be compared with open surgery in a randomized controlled trial (IDEAL stage 3). © 2011 British Journal of Surgery Society Ltd.","author":[{"dropping-particle":"","family":"Blazeby","given":"J. M.","non-dropping-particle":"","parse-names":false,"suffix":""},{"dropping-particle":"","family":"Blencowe","given":"N. S.","non-dropping-particle":"","parse-names":false,"suffix":""},{"dropping-particle":"","family":"Titcomb","given":"D. R.","non-dropping-particle":"","parse-names":false,"suffix":""},{"dropping-particle":"","family":"Metcalfe","given":"C.","non-dropping-particle":"","parse-names":false,"suffix":""},{"dropping-particle":"","family":"Hollowood","given":"A. D.","non-dropping-particle":"","parse-names":false,"suffix":""},{"dropping-particle":"","family":"Barham","given":"C. P.","non-dropping-particle":"","parse-names":false,"suffix":""}],"container-title":"British Journal of Surgery","id":"ITEM-1","issue":"4","issued":{"date-parts":[["2011","4"]]},"page":"544-551","title":"Demonstration of the IDEAL recommendations for evaluating and reporting surgical innovation in minimally invasive oesophagectomy","type":"article-journal","volume":"98"},"uris":["http://www.mendeley.com/documents/?uuid=d4529acb-472c-45c6-a9db-f4f4a7ba7449"]}],"mendeley":{"formattedCitation":"&lt;sup&gt;9&lt;/sup&gt;","plainTextFormattedCitation":"9","previouslyFormattedCitation":"&lt;sup&gt;12&lt;/sup&gt;"},"properties":{"noteIndex":0},"schema":"https://github.com/citation-style-language/schema/raw/master/csl-citation.json"}</w:instrText>
            </w:r>
            <w:r>
              <w:rPr>
                <w:color w:val="1C1D1E"/>
                <w:sz w:val="18"/>
                <w:szCs w:val="18"/>
                <w:shd w:val="clear" w:color="auto" w:fill="FFFFFF"/>
              </w:rPr>
              <w:fldChar w:fldCharType="separate"/>
            </w:r>
            <w:r>
              <w:rPr>
                <w:noProof/>
                <w:color w:val="1C1D1E"/>
                <w:sz w:val="18"/>
                <w:szCs w:val="18"/>
                <w:shd w:val="clear" w:color="auto" w:fill="FFFFFF"/>
                <w:vertAlign w:val="superscript"/>
              </w:rPr>
              <w:t>9</w:t>
            </w:r>
            <w:r>
              <w:rPr>
                <w:color w:val="1C1D1E"/>
                <w:sz w:val="18"/>
                <w:szCs w:val="18"/>
                <w:shd w:val="clear" w:color="auto" w:fill="FFFFFF"/>
              </w:rPr>
              <w:fldChar w:fldCharType="end"/>
            </w:r>
          </w:p>
        </w:tc>
      </w:tr>
      <w:tr w:rsidR="00F176D3">
        <w:tc>
          <w:tcPr>
            <w:tcW w:w="2269" w:type="dxa"/>
          </w:tcPr>
          <w:p w:rsidR="00F176D3" w:rsidRDefault="00F176D3">
            <w:pPr>
              <w:spacing w:line="240" w:lineRule="auto"/>
              <w:rPr>
                <w:sz w:val="18"/>
                <w:szCs w:val="18"/>
              </w:rPr>
            </w:pPr>
            <w:r>
              <w:rPr>
                <w:sz w:val="18"/>
                <w:szCs w:val="18"/>
              </w:rPr>
              <w:t>Statistical Methods</w:t>
            </w:r>
          </w:p>
        </w:tc>
        <w:tc>
          <w:tcPr>
            <w:tcW w:w="709" w:type="dxa"/>
            <w:gridSpan w:val="2"/>
          </w:tcPr>
          <w:p w:rsidR="00F176D3" w:rsidRDefault="00F176D3">
            <w:pPr>
              <w:spacing w:line="240" w:lineRule="auto"/>
              <w:jc w:val="center"/>
              <w:rPr>
                <w:sz w:val="18"/>
                <w:szCs w:val="18"/>
              </w:rPr>
            </w:pPr>
            <w:r>
              <w:rPr>
                <w:color w:val="000000"/>
                <w:sz w:val="18"/>
                <w:szCs w:val="18"/>
              </w:rPr>
              <w:t>7</w:t>
            </w:r>
          </w:p>
        </w:tc>
        <w:tc>
          <w:tcPr>
            <w:tcW w:w="10862" w:type="dxa"/>
          </w:tcPr>
          <w:p w:rsidR="00F176D3" w:rsidRDefault="00F176D3">
            <w:pPr>
              <w:spacing w:line="240" w:lineRule="auto"/>
              <w:rPr>
                <w:b/>
                <w:bCs/>
                <w:color w:val="000000"/>
                <w:sz w:val="18"/>
                <w:szCs w:val="18"/>
              </w:rPr>
            </w:pPr>
            <w:r>
              <w:rPr>
                <w:b/>
                <w:bCs/>
                <w:color w:val="000000"/>
                <w:sz w:val="18"/>
                <w:szCs w:val="18"/>
              </w:rPr>
              <w:t xml:space="preserve">Statistical methods used to describe baseline characteristics and evaluate primary and secondary outcomes, when appropriate, including methods for additional analysis (e.g. learning curve analysis, pre-specified subgroup analysis, evaluation of known confounders). </w:t>
            </w:r>
            <w:r>
              <w:rPr>
                <w:color w:val="000000"/>
                <w:sz w:val="18"/>
                <w:szCs w:val="18"/>
              </w:rPr>
              <w:t>Example: “</w:t>
            </w:r>
            <w:r>
              <w:rPr>
                <w:color w:val="1C1D1E"/>
                <w:sz w:val="18"/>
                <w:szCs w:val="18"/>
                <w:shd w:val="clear" w:color="auto" w:fill="FFFFFF"/>
              </w:rPr>
              <w:t xml:space="preserve">Group comparisons were carried out using the chi‐square test for comparison of proportions, two‐sided Student's </w:t>
            </w:r>
            <w:r>
              <w:rPr>
                <w:i/>
                <w:iCs/>
                <w:color w:val="1C1D1E"/>
                <w:sz w:val="18"/>
                <w:szCs w:val="18"/>
              </w:rPr>
              <w:t>t</w:t>
            </w:r>
            <w:r>
              <w:rPr>
                <w:color w:val="1C1D1E"/>
                <w:sz w:val="18"/>
                <w:szCs w:val="18"/>
                <w:shd w:val="clear" w:color="auto" w:fill="FFFFFF"/>
              </w:rPr>
              <w:t>‐test for continuous parametric variables and the Kruskal–Wallis (3 group) and Wilcoxon (2 group) tests for categorical non‐parametric data comparison. To adjust for the effects of inequalities between treatment groups, multiple regression modelling was performed to identify the influence of preselected covariates on the dependent variable. This process was carried out for each of the dimensions of SF‐36….”</w:t>
            </w:r>
            <w:r>
              <w:rPr>
                <w:color w:val="1C1D1E"/>
                <w:sz w:val="18"/>
                <w:szCs w:val="18"/>
                <w:shd w:val="clear" w:color="auto" w:fill="FFFFFF"/>
              </w:rPr>
              <w:fldChar w:fldCharType="begin" w:fldLock="1"/>
            </w:r>
            <w:r>
              <w:rPr>
                <w:color w:val="1C1D1E"/>
                <w:sz w:val="18"/>
                <w:szCs w:val="18"/>
                <w:shd w:val="clear" w:color="auto" w:fill="FFFFFF"/>
              </w:rPr>
              <w:instrText>ADDIN CSL_CITATION {"citationItems":[{"id":"ITEM-1","itemData":{"DOI":"10.1111/1471-0528.14689","ISSN":"14700328","abstract":"Objective: To evaluate the clinical outcomes of high-intensity focused ultrasound (HIFU) and surgery in treating uterine fibroids, and prepare for a definitive randomised trial. Design: Prospective multicentre patient choice cohort study (IDEAL Exploratory study) of HIFU, myomectomy or hysterectomy for treating symptomatic uterine fibroids. Setting: 20 Chinese hospitals. Population or sample: 2411 Chinese women with symptomatic fibroids. Methods: Prospective non-randomised cohort study with learning curve analysis (IDEAL Stage 2b Prospective Exploration Study). Main outcome measures: Complications, hospital stay, return to normal activities, and quality of life (measured with UFS-Qol and SF-36 at baseline, 6 and 12 months), and need for further treatment. Quality-of-life outcomes were adjusted using regression modelling. HIFU treatment quality was evaluated using LC-CUSUM to identify operator learning curves. A health economic analysis of costs was performed. Results: 1353 women received HIFU, 472 hysterectomy and 586 myomectomy. HIFU patients were significantly younger (P &lt; 0.001), slimmer (P &lt; 0.001), better educated (P &lt; 0.001), and wealthier (P = 0.002) than surgery patients. Both UFS and QoL improved more rapidly after HIFU than after surgery (P = 0.002 and P = 0.001, respectively at 6 months), but absolute differences were small. Major adverse events occurred in 3 (0.2%) of HIFU and in 133 (12.6%) of surgical cases (P &lt; 0.001). Median time for hospital stay was 4 days (interquartile range, 0–5 days), 10 days (interquartile range, 8–12.5 days) and 8 days (interquartile range, 7–10 days). Conclusions: HIFU caused substantially less morbidity than surgery, with similar longer-term QoL. Despite group baseline differences and lack of blinding, these findings support the need for a randomised controlled trial (RCT) of HIFU treatment for fibroids. The IDEAL Exploratory design facilitated RCT protocol development. Tweetable abstract: HIFU had much better short-term outcomes than surgery for fibroids in 2411-patient Chinese IDEAL format study.","author":[{"dropping-particle":"","family":"Chen","given":"Jinyun","non-dropping-particle":"","parse-names":false,"suffix":""},{"dropping-particle":"","family":"Li","given":"Y","non-dropping-particle":"","parse-names":false,"suffix":""},{"dropping-particle":"","family":"Wang","given":"Zhibiao","non-dropping-particle":"","parse-names":false,"suffix":""},{"dropping-particle":"","family":"McCulloch","given":"P.","non-dropping-particle":"","parse-names":false,"suffix":""},{"dropping-particle":"","family":"Hu","given":"Liang","non-dropping-particle":"","parse-names":false,"suffix":""},{"dropping-particle":"","family":"Chen","given":"W","non-dropping-particle":"","parse-names":false,"suffix":""},{"dropping-particle":"","family":"Liu","given":"Guanjian","non-dropping-particle":"","parse-names":false,"suffix":""},{"dropping-particle":"","family":"Li","given":"J","non-dropping-particle":"","parse-names":false,"suffix":""},{"dropping-particle":"","family":"Lang","given":"Jinghe","non-dropping-particle":"","parse-names":false,"suffix":""}],"container-title":"BJOG: An International Journal of Obstetrics &amp; Gynaecology","id":"ITEM-1","issue":"3","issued":{"date-parts":[["2018","2"]]},"page":"354-364","title":"Evaluation of high-intensity focused ultrasound ablation for uterine fibroids: an IDEAL prospective exploration study","type":"article-journal","volume":"125"},"uris":["http://www.mendeley.com/documents/?uuid=9a848b84-7f18-431f-8965-d6c1fcf2ebd2"]}],"mendeley":{"formattedCitation":"&lt;sup&gt;11&lt;/sup&gt;","plainTextFormattedCitation":"11","previouslyFormattedCitation":"&lt;sup&gt;10&lt;/sup&gt;"},"properties":{"noteIndex":0},"schema":"https://github.com/citation-style-language/schema/raw/master/csl-citation.json"}</w:instrText>
            </w:r>
            <w:r>
              <w:rPr>
                <w:color w:val="1C1D1E"/>
                <w:sz w:val="18"/>
                <w:szCs w:val="18"/>
                <w:shd w:val="clear" w:color="auto" w:fill="FFFFFF"/>
              </w:rPr>
              <w:fldChar w:fldCharType="separate"/>
            </w:r>
            <w:r>
              <w:rPr>
                <w:noProof/>
                <w:color w:val="1C1D1E"/>
                <w:sz w:val="18"/>
                <w:szCs w:val="18"/>
                <w:shd w:val="clear" w:color="auto" w:fill="FFFFFF"/>
                <w:vertAlign w:val="superscript"/>
              </w:rPr>
              <w:t>11</w:t>
            </w:r>
            <w:r>
              <w:rPr>
                <w:color w:val="1C1D1E"/>
                <w:sz w:val="18"/>
                <w:szCs w:val="18"/>
                <w:shd w:val="clear" w:color="auto" w:fill="FFFFFF"/>
              </w:rPr>
              <w:fldChar w:fldCharType="end"/>
            </w:r>
          </w:p>
        </w:tc>
      </w:tr>
      <w:tr w:rsidR="00F176D3">
        <w:tc>
          <w:tcPr>
            <w:tcW w:w="2269" w:type="dxa"/>
          </w:tcPr>
          <w:p w:rsidR="00F176D3" w:rsidRDefault="00F176D3">
            <w:pPr>
              <w:spacing w:line="240" w:lineRule="auto"/>
              <w:rPr>
                <w:sz w:val="18"/>
                <w:szCs w:val="18"/>
              </w:rPr>
            </w:pPr>
            <w:r>
              <w:rPr>
                <w:sz w:val="18"/>
                <w:szCs w:val="18"/>
              </w:rPr>
              <w:t>Stakeholder Values</w:t>
            </w:r>
          </w:p>
        </w:tc>
        <w:tc>
          <w:tcPr>
            <w:tcW w:w="709" w:type="dxa"/>
            <w:gridSpan w:val="2"/>
          </w:tcPr>
          <w:p w:rsidR="00F176D3" w:rsidRDefault="00F176D3">
            <w:pPr>
              <w:spacing w:line="240" w:lineRule="auto"/>
              <w:jc w:val="center"/>
              <w:rPr>
                <w:sz w:val="18"/>
                <w:szCs w:val="18"/>
              </w:rPr>
            </w:pPr>
            <w:r>
              <w:rPr>
                <w:color w:val="000000"/>
                <w:sz w:val="18"/>
                <w:szCs w:val="18"/>
              </w:rPr>
              <w:t>8</w:t>
            </w:r>
          </w:p>
        </w:tc>
        <w:tc>
          <w:tcPr>
            <w:tcW w:w="10862" w:type="dxa"/>
          </w:tcPr>
          <w:p w:rsidR="00F176D3" w:rsidRDefault="00F176D3">
            <w:pPr>
              <w:spacing w:line="240" w:lineRule="auto"/>
              <w:rPr>
                <w:b/>
                <w:bCs/>
                <w:sz w:val="18"/>
                <w:szCs w:val="18"/>
              </w:rPr>
            </w:pPr>
            <w:r>
              <w:rPr>
                <w:b/>
                <w:bCs/>
                <w:sz w:val="18"/>
                <w:szCs w:val="18"/>
              </w:rPr>
              <w:t xml:space="preserve">Describe or reference attempts to evaluate patient and surgeon preferences and values relevant to future RCT trial design and conduct, including any qualitative work done to ascertain views about randomization. </w:t>
            </w:r>
            <w:r>
              <w:rPr>
                <w:sz w:val="18"/>
                <w:szCs w:val="18"/>
              </w:rPr>
              <w:t>Example:</w:t>
            </w:r>
            <w:r>
              <w:rPr>
                <w:b/>
                <w:bCs/>
                <w:sz w:val="18"/>
                <w:szCs w:val="18"/>
              </w:rPr>
              <w:t xml:space="preserve"> </w:t>
            </w:r>
            <w:r>
              <w:rPr>
                <w:sz w:val="18"/>
                <w:szCs w:val="18"/>
              </w:rPr>
              <w:t>“</w:t>
            </w:r>
            <w:r>
              <w:rPr>
                <w:color w:val="1C1D1E"/>
                <w:sz w:val="18"/>
                <w:szCs w:val="18"/>
                <w:shd w:val="clear" w:color="auto" w:fill="FFFFFF"/>
              </w:rPr>
              <w:t>Surgeon engagement will be used to assess the feasibility of using mixed-methods to explore learning and intervention stability in the study. At study entry, the number of surgeons completing the surgeon questionnaire; the number of surgeons consenting to be contacted for interview and the number of surgeons interviewed will be compared. For modifications/learning arising from complications, the numbers of events (modifications and complications) reported will be compared with numbers of free-text responses entered; the number of surgeons consenting to interview and the actual number interviewed. The content of the free-text responses and interviews will also be assessed</w:t>
            </w:r>
            <w:r>
              <w:rPr>
                <w:color w:val="1C1D1E"/>
                <w:sz w:val="18"/>
                <w:szCs w:val="18"/>
                <w:shd w:val="clear" w:color="auto" w:fill="FFFFFF"/>
                <w:lang w:val="en-US"/>
              </w:rPr>
              <w:t>…”</w:t>
            </w:r>
            <w:r>
              <w:rPr>
                <w:color w:val="1C1D1E"/>
                <w:sz w:val="18"/>
                <w:szCs w:val="18"/>
                <w:shd w:val="clear" w:color="auto" w:fill="FFFFFF"/>
                <w:lang w:val="en-US"/>
              </w:rPr>
              <w:fldChar w:fldCharType="begin" w:fldLock="1"/>
            </w:r>
            <w:r>
              <w:rPr>
                <w:color w:val="1C1D1E"/>
                <w:sz w:val="18"/>
                <w:szCs w:val="18"/>
                <w:shd w:val="clear" w:color="auto" w:fill="FFFFFF"/>
                <w:lang w:val="en-US"/>
              </w:rPr>
              <w:instrText>ADDIN CSL_CITATION {"citationItems":[{"id":"ITEM-1","itemData":{"DOI":"10.1136/bmjopen-2019-033641","ISSN":"2044-6055","abstract":"Introduction Implant-based breast reconstruction is the most commonly performed reconstructive technique worldwide. Subpectoral reconstruction with mesh is the current standard of care but new prepectoral techniques have recently been introduced. Prepectoral breast reconstruction (PPBR) may improve outcomes for patients but robust evaluation is required. Randomised clinical trials (RCTs) are ideally needed but the short-term safety of PPBR is yet to be established; the technique and its indications are evolving and it has yet to be adopted by a sufficient number of surgeons for an RCT to be feasible. The Pre-BRA study aims to determine the feasibility of using mixed-methods within an IDEAL 2a/2b (IDEAL, Idea-Development-Exploration-Assessment-Long-term) study to explore the short-term safety of PPBR and determine when the technique is sufficiently stable for evaluation in a pragmatic RCT. Methods and analysis Pre-BRA is an IDEAL stage 2a/2b prospective multicentre cohort study with embedded qualitative research. Consecutive patients electing to undergo immediate PPBR at participating centres will be invited to participate. Demographic, operative, oncology and complication data will be collected and patient-reported outcomes will be assessed at baseline, 3 and 18 months postoperatively. The primary safety endpoint will be implant loss at 3 months. Surgeons performing PPBR will be asked to complete questionnaires regarding their practice and report any modifications made to the procedure or learning arising from complications via free-text response fields on electronic case-report forms. Semistructured will explore surgeons' experiences in detail to identify emerging best practice. This will be fed back to participating surgeons to promote shared learning. The Pre-BRA study will aim to recruit 341 patients from 30 to 40 UK centres over a 12-month period. Recruitment will commence Spring 2019. Ethics and dissemination The study has full ethical approval from OXFORD-B South Central Committee Ref:19/SC/0129. Results will be presented at national and international meetings and published in peer-reviewed journals. Trial registration number ISRCTN11898000; Pre-results.","author":[{"dropping-particle":"","family":"Harvey","given":"Kate Louise","non-dropping-particle":"","parse-names":false,"suffix":""},{"dropping-particle":"","family":"Mills","given":"Nicola","non-dropping-particle":"","parse-names":false,"suffix":""},{"dropping-particle":"","family":"White","given":"Paul","non-dropping-particle":"","parse-names":false,"suffix":""},{"dropping-particle":"","family":"Holcombe","given":"Christopher","non-dropping-particle":"","parse-names":false,"suffix":""},{"dropping-particle":"","family":"Potter","given":"Shelley","non-dropping-particle":"","parse-names":false,"suffix":""}],"container-title":"BMJ Open","id":"ITEM-1","issue":"1","issued":{"date-parts":[["2020","1","26"]]},"page":"e033641","title":"The Pre-BRA (pre-pectoral Breast Reconstruction EvAluation) feasibility study: protocol for a mixed-methods IDEAL 2a/2b prospective cohort study to determine the safety and effectiveness of prepectoral implant-based breast reconstruction","type":"article-journal","volume":"10"},"uris":["http://www.mendeley.com/documents/?uuid=c2a53a79-4598-41b5-a881-1cfaf2dd604c"]}],"mendeley":{"formattedCitation":"&lt;sup&gt;10&lt;/sup&gt;","plainTextFormattedCitation":"10","previouslyFormattedCitation":"&lt;sup&gt;9&lt;/sup&gt;"},"properties":{"noteIndex":0},"schema":"https://github.com/citation-style-language/schema/raw/master/csl-citation.json"}</w:instrText>
            </w:r>
            <w:r>
              <w:rPr>
                <w:color w:val="1C1D1E"/>
                <w:sz w:val="18"/>
                <w:szCs w:val="18"/>
                <w:shd w:val="clear" w:color="auto" w:fill="FFFFFF"/>
                <w:lang w:val="en-US"/>
              </w:rPr>
              <w:fldChar w:fldCharType="separate"/>
            </w:r>
            <w:r>
              <w:rPr>
                <w:noProof/>
                <w:color w:val="1C1D1E"/>
                <w:sz w:val="18"/>
                <w:szCs w:val="18"/>
                <w:shd w:val="clear" w:color="auto" w:fill="FFFFFF"/>
                <w:vertAlign w:val="superscript"/>
                <w:lang w:val="en-US"/>
              </w:rPr>
              <w:t>10</w:t>
            </w:r>
            <w:r>
              <w:rPr>
                <w:color w:val="1C1D1E"/>
                <w:sz w:val="18"/>
                <w:szCs w:val="18"/>
                <w:shd w:val="clear" w:color="auto" w:fill="FFFFFF"/>
                <w:lang w:val="en-US"/>
              </w:rPr>
              <w:fldChar w:fldCharType="end"/>
            </w:r>
          </w:p>
        </w:tc>
      </w:tr>
      <w:tr w:rsidR="00F176D3">
        <w:tc>
          <w:tcPr>
            <w:tcW w:w="2269" w:type="dxa"/>
            <w:tcBorders>
              <w:right w:val="nil"/>
            </w:tcBorders>
          </w:tcPr>
          <w:p w:rsidR="00F176D3" w:rsidRDefault="00F176D3">
            <w:pPr>
              <w:spacing w:line="240" w:lineRule="auto"/>
              <w:rPr>
                <w:b/>
                <w:bCs/>
                <w:sz w:val="18"/>
                <w:szCs w:val="18"/>
              </w:rPr>
            </w:pPr>
            <w:r>
              <w:rPr>
                <w:b/>
                <w:bCs/>
                <w:sz w:val="18"/>
                <w:szCs w:val="18"/>
              </w:rPr>
              <w:t>Results</w:t>
            </w:r>
          </w:p>
        </w:tc>
        <w:tc>
          <w:tcPr>
            <w:tcW w:w="709" w:type="dxa"/>
            <w:gridSpan w:val="2"/>
            <w:tcBorders>
              <w:left w:val="nil"/>
              <w:right w:val="nil"/>
            </w:tcBorders>
          </w:tcPr>
          <w:p w:rsidR="00F176D3" w:rsidRDefault="00F176D3">
            <w:pPr>
              <w:spacing w:line="240" w:lineRule="auto"/>
              <w:jc w:val="center"/>
              <w:rPr>
                <w:b/>
                <w:bCs/>
                <w:sz w:val="18"/>
                <w:szCs w:val="18"/>
              </w:rPr>
            </w:pPr>
          </w:p>
        </w:tc>
        <w:tc>
          <w:tcPr>
            <w:tcW w:w="10862" w:type="dxa"/>
            <w:tcBorders>
              <w:left w:val="nil"/>
            </w:tcBorders>
          </w:tcPr>
          <w:p w:rsidR="00F176D3" w:rsidRDefault="00F176D3">
            <w:pPr>
              <w:spacing w:line="240" w:lineRule="auto"/>
              <w:rPr>
                <w:b/>
                <w:bCs/>
                <w:sz w:val="18"/>
                <w:szCs w:val="18"/>
              </w:rPr>
            </w:pPr>
          </w:p>
        </w:tc>
      </w:tr>
      <w:tr w:rsidR="00F176D3">
        <w:tc>
          <w:tcPr>
            <w:tcW w:w="2269" w:type="dxa"/>
          </w:tcPr>
          <w:p w:rsidR="00F176D3" w:rsidRDefault="00F176D3">
            <w:pPr>
              <w:spacing w:line="240" w:lineRule="auto"/>
              <w:rPr>
                <w:sz w:val="18"/>
                <w:szCs w:val="18"/>
              </w:rPr>
            </w:pPr>
            <w:r>
              <w:rPr>
                <w:sz w:val="18"/>
                <w:szCs w:val="18"/>
              </w:rPr>
              <w:t>Baseline data</w:t>
            </w:r>
          </w:p>
        </w:tc>
        <w:tc>
          <w:tcPr>
            <w:tcW w:w="709" w:type="dxa"/>
            <w:gridSpan w:val="2"/>
          </w:tcPr>
          <w:p w:rsidR="00F176D3" w:rsidRDefault="00F176D3">
            <w:pPr>
              <w:spacing w:line="240" w:lineRule="auto"/>
              <w:jc w:val="center"/>
              <w:rPr>
                <w:sz w:val="18"/>
                <w:szCs w:val="18"/>
              </w:rPr>
            </w:pPr>
            <w:r>
              <w:rPr>
                <w:sz w:val="18"/>
                <w:szCs w:val="18"/>
              </w:rPr>
              <w:t>9</w:t>
            </w:r>
          </w:p>
        </w:tc>
        <w:tc>
          <w:tcPr>
            <w:tcW w:w="10862" w:type="dxa"/>
          </w:tcPr>
          <w:p w:rsidR="00F176D3" w:rsidRDefault="00F176D3">
            <w:pPr>
              <w:spacing w:line="240" w:lineRule="auto"/>
              <w:rPr>
                <w:b/>
                <w:bCs/>
                <w:sz w:val="18"/>
                <w:szCs w:val="18"/>
              </w:rPr>
            </w:pPr>
            <w:r>
              <w:rPr>
                <w:b/>
                <w:bCs/>
                <w:sz w:val="18"/>
                <w:szCs w:val="18"/>
              </w:rPr>
              <w:t xml:space="preserve">Patient baseline demographic and clinical characteristics, including how many patients were assessed for treatment and a description of which patients were included, excluded, or refused, and why (to be displayed in a flow diagram format, when appropriate). </w:t>
            </w:r>
            <w:r>
              <w:rPr>
                <w:sz w:val="18"/>
                <w:szCs w:val="18"/>
              </w:rPr>
              <w:t xml:space="preserve">Example: </w:t>
            </w:r>
            <w:r>
              <w:rPr>
                <w:color w:val="1C1D1E"/>
                <w:sz w:val="18"/>
                <w:szCs w:val="18"/>
                <w:shd w:val="clear" w:color="auto" w:fill="FFFFFF"/>
              </w:rPr>
              <w:t>“A total of 2411 patients were enrolled in the study, 1353 in the HIFU group and 1058 in the surgery group, of whom 586 had myomectomy and 472 hysterectomy (Figure 1). Of 586 myomectomies, 284 (48%) were performed laparoscopically, 233 (40%) by open surgery, and 69 (12%) either transvaginally, by hysteroscopy, or by laparoscopic transvaginal surgery. Of 472 hysterectomies, 251 (53%) were by laparotomy, 93 (20%) by laparoscopy, and 128 (27%) transvaginally. A comparison of baseline data of the two groups is shown in Table 1.”</w:t>
            </w:r>
            <w:r>
              <w:rPr>
                <w:color w:val="1C1D1E"/>
                <w:sz w:val="18"/>
                <w:szCs w:val="18"/>
                <w:shd w:val="clear" w:color="auto" w:fill="FFFFFF"/>
              </w:rPr>
              <w:fldChar w:fldCharType="begin" w:fldLock="1"/>
            </w:r>
            <w:r>
              <w:rPr>
                <w:color w:val="1C1D1E"/>
                <w:sz w:val="18"/>
                <w:szCs w:val="18"/>
                <w:shd w:val="clear" w:color="auto" w:fill="FFFFFF"/>
              </w:rPr>
              <w:instrText>ADDIN CSL_CITATION {"citationItems":[{"id":"ITEM-1","itemData":{"DOI":"10.1111/1471-0528.14689","ISSN":"14700328","abstract":"Objective: To evaluate the clinical outcomes of high-intensity focused ultrasound (HIFU) and surgery in treating uterine fibroids, and prepare for a definitive randomised trial. Design: Prospective multicentre patient choice cohort study (IDEAL Exploratory study) of HIFU, myomectomy or hysterectomy for treating symptomatic uterine fibroids. Setting: 20 Chinese hospitals. Population or sample: 2411 Chinese women with symptomatic fibroids. Methods: Prospective non-randomised cohort study with learning curve analysis (IDEAL Stage 2b Prospective Exploration Study). Main outcome measures: Complications, hospital stay, return to normal activities, and quality of life (measured with UFS-Qol and SF-36 at baseline, 6 and 12 months), and need for further treatment. Quality-of-life outcomes were adjusted using regression modelling. HIFU treatment quality was evaluated using LC-CUSUM to identify operator learning curves. A health economic analysis of costs was performed. Results: 1353 women received HIFU, 472 hysterectomy and 586 myomectomy. HIFU patients were significantly younger (P &lt; 0.001), slimmer (P &lt; 0.001), better educated (P &lt; 0.001), and wealthier (P = 0.002) than surgery patients. Both UFS and QoL improved more rapidly after HIFU than after surgery (P = 0.002 and P = 0.001, respectively at 6 months), but absolute differences were small. Major adverse events occurred in 3 (0.2%) of HIFU and in 133 (12.6%) of surgical cases (P &lt; 0.001). Median time for hospital stay was 4 days (interquartile range, 0–5 days), 10 days (interquartile range, 8–12.5 days) and 8 days (interquartile range, 7–10 days). Conclusions: HIFU caused substantially less morbidity than surgery, with similar longer-term QoL. Despite group baseline differences and lack of blinding, these findings support the need for a randomised controlled trial (RCT) of HIFU treatment for fibroids. The IDEAL Exploratory design facilitated RCT protocol development. Tweetable abstract: HIFU had much better short-term outcomes than surgery for fibroids in 2411-patient Chinese IDEAL format study.","author":[{"dropping-particle":"","family":"Chen","given":"Jinyun","non-dropping-particle":"","parse-names":false,"suffix":""},{"dropping-particle":"","family":"Li","given":"Y","non-dropping-particle":"","parse-names":false,"suffix":""},{"dropping-particle":"","family":"Wang","given":"Zhibiao","non-dropping-particle":"","parse-names":false,"suffix":""},{"dropping-particle":"","family":"McCulloch","given":"P.","non-dropping-particle":"","parse-names":false,"suffix":""},{"dropping-particle":"","family":"Hu","given":"Liang","non-dropping-particle":"","parse-names":false,"suffix":""},{"dropping-particle":"","family":"Chen","given":"W","non-dropping-particle":"","parse-names":false,"suffix":""},{"dropping-particle":"","family":"Liu","given":"Guanjian","non-dropping-particle":"","parse-names":false,"suffix":""},{"dropping-particle":"","family":"Li","given":"J","non-dropping-particle":"","parse-names":false,"suffix":""},{"dropping-particle":"","family":"Lang","given":"Jinghe","non-dropping-particle":"","parse-names":false,"suffix":""}],"container-title":"BJOG: An International Journal of Obstetrics &amp; Gynaecology","id":"ITEM-1","issue":"3","issued":{"date-parts":[["2018","2"]]},"page":"354-364","title":"Evaluation of high-intensity focused ultrasound ablation for uterine fibroids: an IDEAL prospective exploration study","type":"article-journal","volume":"125"},"uris":["http://www.mendeley.com/documents/?uuid=9a848b84-7f18-431f-8965-d6c1fcf2ebd2"]}],"mendeley":{"formattedCitation":"&lt;sup&gt;11&lt;/sup&gt;","plainTextFormattedCitation":"11","previouslyFormattedCitation":"&lt;sup&gt;10&lt;/sup&gt;"},"properties":{"noteIndex":0},"schema":"https://github.com/citation-style-language/schema/raw/master/csl-citation.json"}</w:instrText>
            </w:r>
            <w:r>
              <w:rPr>
                <w:color w:val="1C1D1E"/>
                <w:sz w:val="18"/>
                <w:szCs w:val="18"/>
                <w:shd w:val="clear" w:color="auto" w:fill="FFFFFF"/>
              </w:rPr>
              <w:fldChar w:fldCharType="separate"/>
            </w:r>
            <w:r>
              <w:rPr>
                <w:noProof/>
                <w:color w:val="1C1D1E"/>
                <w:sz w:val="18"/>
                <w:szCs w:val="18"/>
                <w:shd w:val="clear" w:color="auto" w:fill="FFFFFF"/>
                <w:vertAlign w:val="superscript"/>
              </w:rPr>
              <w:t>11</w:t>
            </w:r>
            <w:r>
              <w:rPr>
                <w:color w:val="1C1D1E"/>
                <w:sz w:val="18"/>
                <w:szCs w:val="18"/>
                <w:shd w:val="clear" w:color="auto" w:fill="FFFFFF"/>
              </w:rPr>
              <w:fldChar w:fldCharType="end"/>
            </w:r>
          </w:p>
        </w:tc>
      </w:tr>
      <w:tr w:rsidR="00F176D3">
        <w:tc>
          <w:tcPr>
            <w:tcW w:w="2269" w:type="dxa"/>
          </w:tcPr>
          <w:p w:rsidR="00F176D3" w:rsidRDefault="00F176D3">
            <w:pPr>
              <w:spacing w:line="240" w:lineRule="auto"/>
              <w:rPr>
                <w:sz w:val="18"/>
                <w:szCs w:val="18"/>
              </w:rPr>
            </w:pPr>
            <w:r>
              <w:rPr>
                <w:sz w:val="18"/>
                <w:szCs w:val="18"/>
              </w:rPr>
              <w:t>Learning Curves</w:t>
            </w:r>
          </w:p>
        </w:tc>
        <w:tc>
          <w:tcPr>
            <w:tcW w:w="709" w:type="dxa"/>
            <w:gridSpan w:val="2"/>
          </w:tcPr>
          <w:p w:rsidR="00F176D3" w:rsidRDefault="00F176D3">
            <w:pPr>
              <w:spacing w:line="240" w:lineRule="auto"/>
              <w:jc w:val="center"/>
              <w:rPr>
                <w:sz w:val="18"/>
                <w:szCs w:val="18"/>
              </w:rPr>
            </w:pPr>
            <w:r>
              <w:rPr>
                <w:sz w:val="18"/>
                <w:szCs w:val="18"/>
              </w:rPr>
              <w:t>10</w:t>
            </w:r>
          </w:p>
        </w:tc>
        <w:tc>
          <w:tcPr>
            <w:tcW w:w="10862" w:type="dxa"/>
          </w:tcPr>
          <w:p w:rsidR="00F176D3" w:rsidRDefault="00F176D3">
            <w:pPr>
              <w:spacing w:line="240" w:lineRule="auto"/>
              <w:rPr>
                <w:b/>
                <w:bCs/>
                <w:sz w:val="18"/>
                <w:szCs w:val="18"/>
              </w:rPr>
            </w:pPr>
            <w:r>
              <w:rPr>
                <w:b/>
                <w:bCs/>
                <w:sz w:val="18"/>
                <w:szCs w:val="18"/>
              </w:rPr>
              <w:t xml:space="preserve">Report of learning curve assessment results for operators/team based on pre-defined objective quality metrics, including statistical analysis, if feasible. </w:t>
            </w:r>
            <w:r>
              <w:rPr>
                <w:sz w:val="18"/>
                <w:szCs w:val="18"/>
              </w:rPr>
              <w:t xml:space="preserve">Example: </w:t>
            </w:r>
            <w:r>
              <w:rPr>
                <w:color w:val="1C1D1E"/>
                <w:sz w:val="18"/>
                <w:szCs w:val="18"/>
                <w:shd w:val="clear" w:color="auto" w:fill="FFFFFF"/>
              </w:rPr>
              <w:t xml:space="preserve">“The mean NPV score within the study was 87.2%, with a range for individual centre means from 69.8 to 96.6%. Nineteen of the 20 centres achieved a median NPV higher than the target of 70% set </w:t>
            </w:r>
            <w:r>
              <w:rPr>
                <w:i/>
                <w:iCs/>
                <w:color w:val="1C1D1E"/>
                <w:sz w:val="18"/>
                <w:szCs w:val="18"/>
              </w:rPr>
              <w:t>a priori</w:t>
            </w:r>
            <w:r>
              <w:rPr>
                <w:color w:val="1C1D1E"/>
                <w:sz w:val="18"/>
                <w:szCs w:val="18"/>
                <w:shd w:val="clear" w:color="auto" w:fill="FFFFFF"/>
              </w:rPr>
              <w:t>. Three centres recorded a mean NPV below the 95% centile, with a 95% CI of 82.5–88.1% (Figure S1). Learning‐curve effects were evaluated using the LC‐CUSUM method, which tests for the presence of a stable ‘in control’ level of performance…. Four centres did not demonstrate stable satisfactory performance by the end of the study. Among the 16 centres that did achieve this, the median number of cases at which stable satisfactory performance was reached was 11 procedures.”</w:t>
            </w:r>
            <w:r>
              <w:rPr>
                <w:color w:val="1C1D1E"/>
                <w:sz w:val="18"/>
                <w:szCs w:val="18"/>
              </w:rPr>
              <w:t xml:space="preserve"> </w:t>
            </w:r>
            <w:r>
              <w:rPr>
                <w:color w:val="1C1D1E"/>
                <w:sz w:val="18"/>
                <w:szCs w:val="18"/>
              </w:rPr>
              <w:fldChar w:fldCharType="begin" w:fldLock="1"/>
            </w:r>
            <w:r>
              <w:rPr>
                <w:color w:val="1C1D1E"/>
                <w:sz w:val="18"/>
                <w:szCs w:val="18"/>
              </w:rPr>
              <w:instrText>ADDIN CSL_CITATION {"citationItems":[{"id":"ITEM-1","itemData":{"DOI":"10.1111/1471-0528.14689","ISSN":"14700328","abstract":"Objective: To evaluate the clinical outcomes of high-intensity focused ultrasound (HIFU) and surgery in treating uterine fibroids, and prepare for a definitive randomised trial. Design: Prospective multicentre patient choice cohort study (IDEAL Exploratory study) of HIFU, myomectomy or hysterectomy for treating symptomatic uterine fibroids. Setting: 20 Chinese hospitals. Population or sample: 2411 Chinese women with symptomatic fibroids. Methods: Prospective non-randomised cohort study with learning curve analysis (IDEAL Stage 2b Prospective Exploration Study). Main outcome measures: Complications, hospital stay, return to normal activities, and quality of life (measured with UFS-Qol and SF-36 at baseline, 6 and 12 months), and need for further treatment. Quality-of-life outcomes were adjusted using regression modelling. HIFU treatment quality was evaluated using LC-CUSUM to identify operator learning curves. A health economic analysis of costs was performed. Results: 1353 women received HIFU, 472 hysterectomy and 586 myomectomy. HIFU patients were significantly younger (P &lt; 0.001), slimmer (P &lt; 0.001), better educated (P &lt; 0.001), and wealthier (P = 0.002) than surgery patients. Both UFS and QoL improved more rapidly after HIFU than after surgery (P = 0.002 and P = 0.001, respectively at 6 months), but absolute differences were small. Major adverse events occurred in 3 (0.2%) of HIFU and in 133 (12.6%) of surgical cases (P &lt; 0.001). Median time for hospital stay was 4 days (interquartile range, 0–5 days), 10 days (interquartile range, 8–12.5 days) and 8 days (interquartile range, 7–10 days). Conclusions: HIFU caused substantially less morbidity than surgery, with similar longer-term QoL. Despite group baseline differences and lack of blinding, these findings support the need for a randomised controlled trial (RCT) of HIFU treatment for fibroids. The IDEAL Exploratory design facilitated RCT protocol development. Tweetable abstract: HIFU had much better short-term outcomes than surgery for fibroids in 2411-patient Chinese IDEAL format study.","author":[{"dropping-particle":"","family":"Chen","given":"Jinyun","non-dropping-particle":"","parse-names":false,"suffix":""},{"dropping-particle":"","family":"Li","given":"Y","non-dropping-particle":"","parse-names":false,"suffix":""},{"dropping-particle":"","family":"Wang","given":"Zhibiao","non-dropping-particle":"","parse-names":false,"suffix":""},{"dropping-particle":"","family":"McCulloch","given":"P.","non-dropping-particle":"","parse-names":false,"suffix":""},{"dropping-particle":"","family":"Hu","given":"Liang","non-dropping-particle":"","parse-names":false,"suffix":""},{"dropping-particle":"","family":"Chen","given":"W","non-dropping-particle":"","parse-names":false,"suffix":""},{"dropping-particle":"","family":"Liu","given":"Guanjian","non-dropping-particle":"","parse-names":false,"suffix":""},{"dropping-particle":"","family":"Li","given":"J","non-dropping-particle":"","parse-names":false,"suffix":""},{"dropping-particle":"","family":"Lang","given":"Jinghe","non-dropping-particle":"","parse-names":false,"suffix":""}],"container-title":"BJOG: An International Journal of Obstetrics &amp; Gynaecology","id":"ITEM-1","issue":"3","issued":{"date-parts":[["2018","2"]]},"page":"354-364","title":"Evaluation of high-intensity focused ultrasound ablation for uterine fibroids: an IDEAL prospective exploration study","type":"article-journal","volume":"125"},"uris":["http://www.mendeley.com/documents/?uuid=9a848b84-7f18-431f-8965-d6c1fcf2ebd2"]}],"mendeley":{"formattedCitation":"&lt;sup&gt;11&lt;/sup&gt;","plainTextFormattedCitation":"11","previouslyFormattedCitation":"&lt;sup&gt;10&lt;/sup&gt;"},"properties":{"noteIndex":0},"schema":"https://github.com/citation-style-language/schema/raw/master/csl-citation.json"}</w:instrText>
            </w:r>
            <w:r>
              <w:rPr>
                <w:color w:val="1C1D1E"/>
                <w:sz w:val="18"/>
                <w:szCs w:val="18"/>
              </w:rPr>
              <w:fldChar w:fldCharType="separate"/>
            </w:r>
            <w:r>
              <w:rPr>
                <w:noProof/>
                <w:color w:val="1C1D1E"/>
                <w:sz w:val="18"/>
                <w:szCs w:val="18"/>
                <w:vertAlign w:val="superscript"/>
              </w:rPr>
              <w:t>11</w:t>
            </w:r>
            <w:r>
              <w:rPr>
                <w:color w:val="1C1D1E"/>
                <w:sz w:val="18"/>
                <w:szCs w:val="18"/>
              </w:rPr>
              <w:fldChar w:fldCharType="end"/>
            </w:r>
          </w:p>
        </w:tc>
      </w:tr>
      <w:tr w:rsidR="00F176D3">
        <w:tc>
          <w:tcPr>
            <w:tcW w:w="2269" w:type="dxa"/>
          </w:tcPr>
          <w:p w:rsidR="00F176D3" w:rsidRDefault="00F176D3">
            <w:pPr>
              <w:spacing w:line="240" w:lineRule="auto"/>
              <w:rPr>
                <w:sz w:val="18"/>
                <w:szCs w:val="18"/>
              </w:rPr>
            </w:pPr>
            <w:r>
              <w:rPr>
                <w:sz w:val="18"/>
                <w:szCs w:val="18"/>
              </w:rPr>
              <w:t xml:space="preserve">Outcomes </w:t>
            </w:r>
          </w:p>
        </w:tc>
        <w:tc>
          <w:tcPr>
            <w:tcW w:w="709" w:type="dxa"/>
            <w:gridSpan w:val="2"/>
          </w:tcPr>
          <w:p w:rsidR="00F176D3" w:rsidRDefault="00F176D3">
            <w:pPr>
              <w:spacing w:line="240" w:lineRule="auto"/>
              <w:jc w:val="center"/>
              <w:rPr>
                <w:sz w:val="18"/>
                <w:szCs w:val="18"/>
              </w:rPr>
            </w:pPr>
            <w:r>
              <w:rPr>
                <w:sz w:val="18"/>
                <w:szCs w:val="18"/>
              </w:rPr>
              <w:t>11</w:t>
            </w:r>
          </w:p>
        </w:tc>
        <w:tc>
          <w:tcPr>
            <w:tcW w:w="10862" w:type="dxa"/>
          </w:tcPr>
          <w:p w:rsidR="00F176D3" w:rsidRDefault="00F176D3">
            <w:pPr>
              <w:spacing w:line="240" w:lineRule="auto"/>
              <w:rPr>
                <w:b/>
                <w:bCs/>
                <w:color w:val="000000"/>
                <w:sz w:val="18"/>
                <w:szCs w:val="18"/>
              </w:rPr>
            </w:pPr>
            <w:r>
              <w:rPr>
                <w:b/>
                <w:bCs/>
                <w:color w:val="000000"/>
                <w:sz w:val="18"/>
                <w:szCs w:val="18"/>
              </w:rPr>
              <w:t>Describe results of each pre-specified outcome measure, including patient reported outcome measures, where appropriate.  Report the results of pre-specified subgroup analysis to investigate outcomes in patient groups or technique/device variants where pre-study investigator consensus about eligibility was not reached.  Report on effects of known confounders.</w:t>
            </w:r>
            <w:r>
              <w:rPr>
                <w:color w:val="000000"/>
                <w:sz w:val="18"/>
                <w:szCs w:val="18"/>
              </w:rPr>
              <w:t xml:space="preserve"> Example: </w:t>
            </w:r>
            <w:r>
              <w:rPr>
                <w:sz w:val="18"/>
                <w:szCs w:val="18"/>
                <w:lang w:val="en-US"/>
              </w:rPr>
              <w:t>“Details of clinical experience are shown in Table 4. An access sheath was used in most patients (n = 72). In nine patients with narrow ureters (six children, three females), the ureterorenoscope was inserted directly following rigid ureteroscopy and placement of a guide wire. Mean docking time of the robot was 59.6 s (range: 35–124), which decreased after 42 cases to a mean of 45.9 s. Mean stone location time, including complete inspection of the renal collecting system, was 3.7 min (range: 2–8). Mean frag- mentation time was 46 min (range: 15–118), corresponding to a mean fragmentation speed of 29.1 mm3/min (range: 18–46), increasing to 32.7 mm3/min after 42 cases.”</w:t>
            </w:r>
            <w:r>
              <w:rPr>
                <w:sz w:val="18"/>
                <w:szCs w:val="18"/>
                <w:lang w:val="en-US"/>
              </w:rPr>
              <w:fldChar w:fldCharType="begin" w:fldLock="1"/>
            </w:r>
            <w:r>
              <w:rPr>
                <w:sz w:val="18"/>
                <w:szCs w:val="18"/>
                <w:lang w:val="en-US"/>
              </w:rPr>
              <w:instrText>ADDIN CSL_CITATION {"citationItems":[{"id":"ITEM-1","itemData":{"DOI":"10.1016/j.eururo.2014.06.047","ISSN":"03022838","abstract":"Background An improved armamentarium has had a significant impact on the emerging role of flexible ureteroscopy (FURS) for the management of nephrolithiasis; however, FURS still represents a challenging technique. Design, setting, and participants Roboflex Avicenna consists of a surgeon's console and a manipulator for the flexible ureterorenoscope. Following experimental evaluation of the prototype (IDEAL stage 1) and receipt of ethical approval, seven surgeons treated 81 patients (mean age: 42 yr [range: 6-68]) with renal calculi (mean volume: 1296 ± 544 mm3 [range: 432-3100 mm3]) in an observational study (IDEAL stage 2). Surgical procedure Robotic FURS was performed with the Roboflex Avicenna robotic device. Outcome measurements and statistical analysis Numerical data were analysed with the Mann-Whitney test, and categorical variables were analysed using the chi-square test or Fisher exact test. P values &lt;0.05 were considered statistically significant. Results and limitations Mean robot docking time was 59.6 ± 45 s. Mean operative time was 74 min (range: 40-182). Mean fragmentation speed was 29.1 ± 6.1 mm3/min. Ergonomics based on a validated questionnaire showed significant advantage for robotic FURS (total score: 5.6 vs 31.3; p &lt; 0.01). A 10/12F-access sheath was used in 72 patients. Two cases required secondary FURS, one because of malfunction of the flexible digital ureteroscope and another because of larger residual fragments. In the remaining 79 cases, complete stone disintegration was accomplished. Conclusions Roboflex Avicenna provides a suitable and safe platform for robotic FURS with significant improvement of ergonomics. Future studies should evaluate its impact on the clinical outcome of FURS. Patient summary Robotic flexible ureteroscopy (FURS) was performed with the Roboflex Avicenna robotic device. Results showed that Roboflex Avicenna provides a suitable and safe platform for robotic FURS with significant improvement of ergonomics.","author":[{"dropping-particle":"","family":"Saglam","given":"Remzi","non-dropping-particle":"","parse-names":false,"suffix":""},{"dropping-particle":"","family":"Muslumanoglu","given":"Ahmet Yaser","non-dropping-particle":"","parse-names":false,"suffix":""},{"dropping-particle":"","family":"Tokatlı","given":"Zafer","non-dropping-particle":"","parse-names":false,"suffix":""},{"dropping-particle":"","family":"Çaşkurlu","given":"Turhan","non-dropping-particle":"","parse-names":false,"suffix":""},{"dropping-particle":"","family":"Sarica","given":"Kemal","non-dropping-particle":"","parse-names":false,"suffix":""},{"dropping-particle":"","family":"Taşçi","given":"Ali İhsan","non-dropping-particle":"","parse-names":false,"suffix":""},{"dropping-particle":"","family":"Erkurt","given":"Bülent","non-dropping-particle":"","parse-names":false,"suffix":""},{"dropping-particle":"","family":"Süer","given":"Evren","non-dropping-particle":"","parse-names":false,"suffix":""},{"dropping-particle":"","family":"Kabakci","given":"Ahmet Sinan","non-dropping-particle":"","parse-names":false,"suffix":""},{"dropping-particle":"","family":"Preminger","given":"Glenn","non-dropping-particle":"","parse-names":false,"suffix":""},{"dropping-particle":"","family":"Traxer","given":"Olivier","non-dropping-particle":"","parse-names":false,"suffix":""},{"dropping-particle":"","family":"Rassweiler","given":"Jens J.","non-dropping-particle":"","parse-names":false,"suffix":""}],"container-title":"European Urology","id":"ITEM-1","issue":"6","issued":{"date-parts":[["2014","12"]]},"page":"1092-1100","title":"A New Robot for Flexible Ureteroscopy: Development and Early Clinical Results (IDEAL Stage 1–2b)","type":"article-journal","volume":"66"},"uris":["http://www.mendeley.com/documents/?uuid=57abd712-c144-4d3c-b0c9-fc68e0d3a156"]}],"mendeley":{"formattedCitation":"&lt;sup&gt;13&lt;/sup&gt;","plainTextFormattedCitation":"13","previouslyFormattedCitation":"&lt;sup&gt;13&lt;/sup&gt;"},"properties":{"noteIndex":0},"schema":"https://github.com/citation-style-language/schema/raw/master/csl-citation.json"}</w:instrText>
            </w:r>
            <w:r>
              <w:rPr>
                <w:sz w:val="18"/>
                <w:szCs w:val="18"/>
                <w:lang w:val="en-US"/>
              </w:rPr>
              <w:fldChar w:fldCharType="separate"/>
            </w:r>
            <w:r>
              <w:rPr>
                <w:noProof/>
                <w:sz w:val="18"/>
                <w:szCs w:val="18"/>
                <w:vertAlign w:val="superscript"/>
                <w:lang w:val="en-US"/>
              </w:rPr>
              <w:t>13</w:t>
            </w:r>
            <w:r>
              <w:rPr>
                <w:sz w:val="18"/>
                <w:szCs w:val="18"/>
                <w:lang w:val="en-US"/>
              </w:rPr>
              <w:fldChar w:fldCharType="end"/>
            </w:r>
          </w:p>
        </w:tc>
      </w:tr>
      <w:tr w:rsidR="00F176D3">
        <w:tc>
          <w:tcPr>
            <w:tcW w:w="2269" w:type="dxa"/>
          </w:tcPr>
          <w:p w:rsidR="00F176D3" w:rsidRDefault="00F176D3">
            <w:pPr>
              <w:spacing w:line="240" w:lineRule="auto"/>
              <w:rPr>
                <w:sz w:val="18"/>
                <w:szCs w:val="18"/>
              </w:rPr>
            </w:pPr>
            <w:r>
              <w:rPr>
                <w:sz w:val="18"/>
                <w:szCs w:val="18"/>
              </w:rPr>
              <w:t>Harms</w:t>
            </w:r>
          </w:p>
        </w:tc>
        <w:tc>
          <w:tcPr>
            <w:tcW w:w="709" w:type="dxa"/>
            <w:gridSpan w:val="2"/>
          </w:tcPr>
          <w:p w:rsidR="00F176D3" w:rsidRDefault="00F176D3">
            <w:pPr>
              <w:spacing w:line="240" w:lineRule="auto"/>
              <w:jc w:val="center"/>
              <w:rPr>
                <w:sz w:val="18"/>
                <w:szCs w:val="18"/>
              </w:rPr>
            </w:pPr>
            <w:r>
              <w:rPr>
                <w:sz w:val="18"/>
                <w:szCs w:val="18"/>
              </w:rPr>
              <w:t>12</w:t>
            </w:r>
          </w:p>
        </w:tc>
        <w:tc>
          <w:tcPr>
            <w:tcW w:w="10862" w:type="dxa"/>
          </w:tcPr>
          <w:p w:rsidR="00F176D3" w:rsidRDefault="00F176D3">
            <w:pPr>
              <w:spacing w:line="240" w:lineRule="auto"/>
              <w:rPr>
                <w:sz w:val="18"/>
                <w:szCs w:val="18"/>
              </w:rPr>
            </w:pPr>
            <w:r>
              <w:rPr>
                <w:b/>
                <w:bCs/>
                <w:color w:val="000000"/>
                <w:sz w:val="18"/>
                <w:szCs w:val="18"/>
              </w:rPr>
              <w:t xml:space="preserve">Transparent account of all harms or unintended effects reported. </w:t>
            </w:r>
            <w:r>
              <w:rPr>
                <w:color w:val="000000"/>
                <w:sz w:val="18"/>
                <w:szCs w:val="18"/>
              </w:rPr>
              <w:t xml:space="preserve">Example: </w:t>
            </w:r>
            <w:r>
              <w:rPr>
                <w:color w:val="1C1D1E"/>
                <w:sz w:val="18"/>
                <w:szCs w:val="18"/>
                <w:shd w:val="clear" w:color="auto" w:fill="FFFFFF"/>
              </w:rPr>
              <w:t>“Minor adverse events occurred in 335 (25%) patients in the HIFU group and in 719 patients (68%) in the surgery group (</w:t>
            </w:r>
            <w:r>
              <w:rPr>
                <w:i/>
                <w:iCs/>
                <w:color w:val="1C1D1E"/>
                <w:sz w:val="18"/>
                <w:szCs w:val="18"/>
              </w:rPr>
              <w:t>P</w:t>
            </w:r>
            <w:r>
              <w:rPr>
                <w:color w:val="1C1D1E"/>
                <w:sz w:val="18"/>
                <w:szCs w:val="18"/>
                <w:shd w:val="clear" w:color="auto" w:fill="FFFFFF"/>
              </w:rPr>
              <w:t xml:space="preserve"> &lt; 0.001). The events recorded included pain, weakness, or numbness in the lower limbs, back or perineum, haematuria, and general symptoms such as nausea and dizziness. The only categories where HIFU treatment had a higher percentage of minor complications than did surgery were superficial skin burns (2 versus 0), blurred vision and transient pain, and weakness or numbness in the back, shoulder, or lower limb (Table 2). Major adverse events attributable to the intervention occurred in three (0.22%) HIFU cases and in 133 (12.6%) surgical cases within 30 days after treatment. All three HIFU events were second‐degree skin burns. Events in the surgery group included haemorrhage, infection, thromboembolic events, and injury to the bladder….”</w:t>
            </w:r>
            <w:r>
              <w:rPr>
                <w:color w:val="1C1D1E"/>
                <w:sz w:val="18"/>
                <w:szCs w:val="18"/>
                <w:shd w:val="clear" w:color="auto" w:fill="FFFFFF"/>
              </w:rPr>
              <w:fldChar w:fldCharType="begin" w:fldLock="1"/>
            </w:r>
            <w:r>
              <w:rPr>
                <w:color w:val="1C1D1E"/>
                <w:sz w:val="18"/>
                <w:szCs w:val="18"/>
                <w:shd w:val="clear" w:color="auto" w:fill="FFFFFF"/>
              </w:rPr>
              <w:instrText>ADDIN CSL_CITATION {"citationItems":[{"id":"ITEM-1","itemData":{"DOI":"10.1111/1471-0528.14689","ISSN":"14700328","abstract":"Objective: To evaluate the clinical outcomes of high-intensity focused ultrasound (HIFU) and surgery in treating uterine fibroids, and prepare for a definitive randomised trial. Design: Prospective multicentre patient choice cohort study (IDEAL Exploratory study) of HIFU, myomectomy or hysterectomy for treating symptomatic uterine fibroids. Setting: 20 Chinese hospitals. Population or sample: 2411 Chinese women with symptomatic fibroids. Methods: Prospective non-randomised cohort study with learning curve analysis (IDEAL Stage 2b Prospective Exploration Study). Main outcome measures: Complications, hospital stay, return to normal activities, and quality of life (measured with UFS-Qol and SF-36 at baseline, 6 and 12 months), and need for further treatment. Quality-of-life outcomes were adjusted using regression modelling. HIFU treatment quality was evaluated using LC-CUSUM to identify operator learning curves. A health economic analysis of costs was performed. Results: 1353 women received HIFU, 472 hysterectomy and 586 myomectomy. HIFU patients were significantly younger (P &lt; 0.001), slimmer (P &lt; 0.001), better educated (P &lt; 0.001), and wealthier (P = 0.002) than surgery patients. Both UFS and QoL improved more rapidly after HIFU than after surgery (P = 0.002 and P = 0.001, respectively at 6 months), but absolute differences were small. Major adverse events occurred in 3 (0.2%) of HIFU and in 133 (12.6%) of surgical cases (P &lt; 0.001). Median time for hospital stay was 4 days (interquartile range, 0–5 days), 10 days (interquartile range, 8–12.5 days) and 8 days (interquartile range, 7–10 days). Conclusions: HIFU caused substantially less morbidity than surgery, with similar longer-term QoL. Despite group baseline differences and lack of blinding, these findings support the need for a randomised controlled trial (RCT) of HIFU treatment for fibroids. The IDEAL Exploratory design facilitated RCT protocol development. Tweetable abstract: HIFU had much better short-term outcomes than surgery for fibroids in 2411-patient Chinese IDEAL format study.","author":[{"dropping-particle":"","family":"Chen","given":"Jinyun","non-dropping-particle":"","parse-names":false,"suffix":""},{"dropping-particle":"","family":"Li","given":"Y","non-dropping-particle":"","parse-names":false,"suffix":""},{"dropping-particle":"","family":"Wang","given":"Zhibiao","non-dropping-particle":"","parse-names":false,"suffix":""},{"dropping-particle":"","family":"McCulloch","given":"P.","non-dropping-particle":"","parse-names":false,"suffix":""},{"dropping-particle":"","family":"Hu","given":"Liang","non-dropping-particle":"","parse-names":false,"suffix":""},{"dropping-particle":"","family":"Chen","given":"W","non-dropping-particle":"","parse-names":false,"suffix":""},{"dropping-particle":"","family":"Liu","given":"Guanjian","non-dropping-particle":"","parse-names":false,"suffix":""},{"dropping-particle":"","family":"Li","given":"J","non-dropping-particle":"","parse-names":false,"suffix":""},{"dropping-particle":"","family":"Lang","given":"Jinghe","non-dropping-particle":"","parse-names":false,"suffix":""}],"container-title":"BJOG: An International Journal of Obstetrics &amp; Gynaecology","id":"ITEM-1","issue":"3","issued":{"date-parts":[["2018","2"]]},"page":"354-364","title":"Evaluation of high-intensity focused ultrasound ablation for uterine fibroids: an IDEAL prospective exploration study","type":"article-journal","volume":"125"},"uris":["http://www.mendeley.com/documents/?uuid=9a848b84-7f18-431f-8965-d6c1fcf2ebd2"]}],"mendeley":{"formattedCitation":"&lt;sup&gt;11&lt;/sup&gt;","plainTextFormattedCitation":"11","previouslyFormattedCitation":"&lt;sup&gt;10&lt;/sup&gt;"},"properties":{"noteIndex":0},"schema":"https://github.com/citation-style-language/schema/raw/master/csl-citation.json"}</w:instrText>
            </w:r>
            <w:r>
              <w:rPr>
                <w:color w:val="1C1D1E"/>
                <w:sz w:val="18"/>
                <w:szCs w:val="18"/>
                <w:shd w:val="clear" w:color="auto" w:fill="FFFFFF"/>
              </w:rPr>
              <w:fldChar w:fldCharType="separate"/>
            </w:r>
            <w:r>
              <w:rPr>
                <w:noProof/>
                <w:color w:val="1C1D1E"/>
                <w:sz w:val="18"/>
                <w:szCs w:val="18"/>
                <w:shd w:val="clear" w:color="auto" w:fill="FFFFFF"/>
                <w:vertAlign w:val="superscript"/>
              </w:rPr>
              <w:t>11</w:t>
            </w:r>
            <w:r>
              <w:rPr>
                <w:color w:val="1C1D1E"/>
                <w:sz w:val="18"/>
                <w:szCs w:val="18"/>
                <w:shd w:val="clear" w:color="auto" w:fill="FFFFFF"/>
              </w:rPr>
              <w:fldChar w:fldCharType="end"/>
            </w:r>
          </w:p>
        </w:tc>
      </w:tr>
      <w:tr w:rsidR="00F176D3">
        <w:tc>
          <w:tcPr>
            <w:tcW w:w="2269" w:type="dxa"/>
          </w:tcPr>
          <w:p w:rsidR="00F176D3" w:rsidRDefault="00F176D3">
            <w:pPr>
              <w:spacing w:line="240" w:lineRule="auto"/>
              <w:rPr>
                <w:sz w:val="18"/>
                <w:szCs w:val="18"/>
              </w:rPr>
            </w:pPr>
            <w:r>
              <w:rPr>
                <w:sz w:val="18"/>
                <w:szCs w:val="18"/>
              </w:rPr>
              <w:t>Stakeholder Values</w:t>
            </w:r>
          </w:p>
        </w:tc>
        <w:tc>
          <w:tcPr>
            <w:tcW w:w="709" w:type="dxa"/>
            <w:gridSpan w:val="2"/>
          </w:tcPr>
          <w:p w:rsidR="00F176D3" w:rsidRDefault="00F176D3">
            <w:pPr>
              <w:spacing w:line="240" w:lineRule="auto"/>
              <w:jc w:val="center"/>
              <w:rPr>
                <w:sz w:val="18"/>
                <w:szCs w:val="18"/>
              </w:rPr>
            </w:pPr>
            <w:r>
              <w:rPr>
                <w:sz w:val="18"/>
                <w:szCs w:val="18"/>
              </w:rPr>
              <w:t>13</w:t>
            </w:r>
          </w:p>
        </w:tc>
        <w:tc>
          <w:tcPr>
            <w:tcW w:w="10862" w:type="dxa"/>
          </w:tcPr>
          <w:p w:rsidR="00F176D3" w:rsidRDefault="00F176D3">
            <w:pPr>
              <w:spacing w:line="240" w:lineRule="auto"/>
              <w:rPr>
                <w:b/>
                <w:bCs/>
                <w:sz w:val="18"/>
                <w:szCs w:val="18"/>
              </w:rPr>
            </w:pPr>
            <w:r>
              <w:rPr>
                <w:b/>
                <w:bCs/>
                <w:sz w:val="18"/>
                <w:szCs w:val="18"/>
              </w:rPr>
              <w:t xml:space="preserve">Report findings of attempts to evaluate patient and surgeon preferences and values relevant to future RCT trial design and conduct, including any qualitative work done to ascertain views about randomization. </w:t>
            </w:r>
            <w:r>
              <w:rPr>
                <w:sz w:val="18"/>
                <w:szCs w:val="18"/>
              </w:rPr>
              <w:t xml:space="preserve">Example: </w:t>
            </w:r>
            <w:r>
              <w:rPr>
                <w:color w:val="1C1D1E"/>
                <w:sz w:val="18"/>
                <w:szCs w:val="18"/>
                <w:shd w:val="clear" w:color="auto" w:fill="FFFFFF"/>
              </w:rPr>
              <w:t>Surgeon engagement will be used to assess the feasibility of using mixed-methods to explore learning and intervention stability in the study. At study entry, the number of surgeons completing the surgeon questionnaire; the number of surgeons consenting to be contacted for interview and the number of surgeons interviewed will be compared. For modifications/learning arising from complications, the numbers of events (modifications and complications) reported will be compared with numbers of free-text responses entered; the number of surgeons consenting to interview and the actual number interviewed.”</w:t>
            </w:r>
            <w:r>
              <w:rPr>
                <w:color w:val="1F1F1F"/>
                <w:sz w:val="18"/>
                <w:szCs w:val="18"/>
                <w:lang w:val="en-US"/>
              </w:rPr>
              <w:fldChar w:fldCharType="begin" w:fldLock="1"/>
            </w:r>
            <w:r>
              <w:rPr>
                <w:color w:val="1F1F1F"/>
                <w:sz w:val="18"/>
                <w:szCs w:val="18"/>
                <w:lang w:val="en-US"/>
              </w:rPr>
              <w:instrText>ADDIN CSL_CITATION {"citationItems":[{"id":"ITEM-1","itemData":{"DOI":"10.1136/bmjopen-2019-033641","ISSN":"2044-6055","abstract":"Introduction Implant-based breast reconstruction is the most commonly performed reconstructive technique worldwide. Subpectoral reconstruction with mesh is the current standard of care but new prepectoral techniques have recently been introduced. Prepectoral breast reconstruction (PPBR) may improve outcomes for patients but robust evaluation is required. Randomised clinical trials (RCTs) are ideally needed but the short-term safety of PPBR is yet to be established; the technique and its indications are evolving and it has yet to be adopted by a sufficient number of surgeons for an RCT to be feasible. The Pre-BRA study aims to determine the feasibility of using mixed-methods within an IDEAL 2a/2b (IDEAL, Idea-Development-Exploration-Assessment-Long-term) study to explore the short-term safety of PPBR and determine when the technique is sufficiently stable for evaluation in a pragmatic RCT. Methods and analysis Pre-BRA is an IDEAL stage 2a/2b prospective multicentre cohort study with embedded qualitative research. Consecutive patients electing to undergo immediate PPBR at participating centres will be invited to participate. Demographic, operative, oncology and complication data will be collected and patient-reported outcomes will be assessed at baseline, 3 and 18 months postoperatively. The primary safety endpoint will be implant loss at 3 months. Surgeons performing PPBR will be asked to complete questionnaires regarding their practice and report any modifications made to the procedure or learning arising from complications via free-text response fields on electronic case-report forms. Semistructured will explore surgeons' experiences in detail to identify emerging best practice. This will be fed back to participating surgeons to promote shared learning. The Pre-BRA study will aim to recruit 341 patients from 30 to 40 UK centres over a 12-month period. Recruitment will commence Spring 2019. Ethics and dissemination The study has full ethical approval from OXFORD-B South Central Committee Ref:19/SC/0129. Results will be presented at national and international meetings and published in peer-reviewed journals. Trial registration number ISRCTN11898000; Pre-results.","author":[{"dropping-particle":"","family":"Harvey","given":"Kate Louise","non-dropping-particle":"","parse-names":false,"suffix":""},{"dropping-particle":"","family":"Mills","given":"Nicola","non-dropping-particle":"","parse-names":false,"suffix":""},{"dropping-particle":"","family":"White","given":"Paul","non-dropping-particle":"","parse-names":false,"suffix":""},{"dropping-particle":"","family":"Holcombe","given":"Christopher","non-dropping-particle":"","parse-names":false,"suffix":""},{"dropping-particle":"","family":"Potter","given":"Shelley","non-dropping-particle":"","parse-names":false,"suffix":""}],"container-title":"BMJ Open","id":"ITEM-1","issue":"1","issued":{"date-parts":[["2020","1","26"]]},"page":"e033641","title":"The Pre-BRA (pre-pectoral Breast Reconstruction EvAluation) feasibility study: protocol for a mixed-methods IDEAL 2a/2b prospective cohort study to determine the safety and effectiveness of prepectoral implant-based breast reconstruction","type":"article-journal","volume":"10"},"uris":["http://www.mendeley.com/documents/?uuid=c2a53a79-4598-41b5-a881-1cfaf2dd604c"]}],"mendeley":{"formattedCitation":"&lt;sup&gt;10&lt;/sup&gt;","plainTextFormattedCitation":"10","previouslyFormattedCitation":"&lt;sup&gt;9&lt;/sup&gt;"},"properties":{"noteIndex":0},"schema":"https://github.com/citation-style-language/schema/raw/master/csl-citation.json"}</w:instrText>
            </w:r>
            <w:r>
              <w:rPr>
                <w:color w:val="1F1F1F"/>
                <w:sz w:val="18"/>
                <w:szCs w:val="18"/>
                <w:lang w:val="en-US"/>
              </w:rPr>
              <w:fldChar w:fldCharType="separate"/>
            </w:r>
            <w:r>
              <w:rPr>
                <w:noProof/>
                <w:color w:val="1F1F1F"/>
                <w:sz w:val="18"/>
                <w:szCs w:val="18"/>
                <w:vertAlign w:val="superscript"/>
                <w:lang w:val="en-US"/>
              </w:rPr>
              <w:t>10</w:t>
            </w:r>
            <w:r>
              <w:rPr>
                <w:color w:val="1F1F1F"/>
                <w:sz w:val="18"/>
                <w:szCs w:val="18"/>
                <w:lang w:val="en-US"/>
              </w:rPr>
              <w:fldChar w:fldCharType="end"/>
            </w:r>
          </w:p>
        </w:tc>
      </w:tr>
      <w:tr w:rsidR="00F176D3">
        <w:tc>
          <w:tcPr>
            <w:tcW w:w="2269" w:type="dxa"/>
            <w:tcBorders>
              <w:right w:val="nil"/>
            </w:tcBorders>
          </w:tcPr>
          <w:p w:rsidR="00F176D3" w:rsidRDefault="00F176D3">
            <w:pPr>
              <w:spacing w:line="240" w:lineRule="auto"/>
              <w:rPr>
                <w:b/>
                <w:bCs/>
                <w:sz w:val="18"/>
                <w:szCs w:val="18"/>
              </w:rPr>
            </w:pPr>
            <w:r>
              <w:rPr>
                <w:b/>
                <w:bCs/>
                <w:sz w:val="18"/>
                <w:szCs w:val="18"/>
              </w:rPr>
              <w:t>Discussion</w:t>
            </w:r>
          </w:p>
        </w:tc>
        <w:tc>
          <w:tcPr>
            <w:tcW w:w="709" w:type="dxa"/>
            <w:gridSpan w:val="2"/>
            <w:tcBorders>
              <w:left w:val="nil"/>
              <w:right w:val="nil"/>
            </w:tcBorders>
          </w:tcPr>
          <w:p w:rsidR="00F176D3" w:rsidRDefault="00F176D3">
            <w:pPr>
              <w:spacing w:line="240" w:lineRule="auto"/>
              <w:jc w:val="center"/>
              <w:rPr>
                <w:sz w:val="18"/>
                <w:szCs w:val="18"/>
              </w:rPr>
            </w:pPr>
          </w:p>
        </w:tc>
        <w:tc>
          <w:tcPr>
            <w:tcW w:w="10862" w:type="dxa"/>
            <w:tcBorders>
              <w:left w:val="nil"/>
            </w:tcBorders>
          </w:tcPr>
          <w:p w:rsidR="00F176D3" w:rsidRDefault="00F176D3">
            <w:pPr>
              <w:spacing w:line="240" w:lineRule="auto"/>
              <w:rPr>
                <w:b/>
                <w:bCs/>
                <w:sz w:val="18"/>
                <w:szCs w:val="18"/>
              </w:rPr>
            </w:pPr>
          </w:p>
        </w:tc>
      </w:tr>
      <w:tr w:rsidR="00F176D3">
        <w:tc>
          <w:tcPr>
            <w:tcW w:w="2269" w:type="dxa"/>
          </w:tcPr>
          <w:p w:rsidR="00F176D3" w:rsidRDefault="00F176D3">
            <w:pPr>
              <w:spacing w:line="240" w:lineRule="auto"/>
              <w:rPr>
                <w:sz w:val="18"/>
                <w:szCs w:val="18"/>
              </w:rPr>
            </w:pPr>
            <w:r>
              <w:rPr>
                <w:sz w:val="18"/>
                <w:szCs w:val="18"/>
              </w:rPr>
              <w:t>Limitations</w:t>
            </w:r>
          </w:p>
        </w:tc>
        <w:tc>
          <w:tcPr>
            <w:tcW w:w="709" w:type="dxa"/>
            <w:gridSpan w:val="2"/>
          </w:tcPr>
          <w:p w:rsidR="00F176D3" w:rsidRDefault="00F176D3">
            <w:pPr>
              <w:spacing w:line="240" w:lineRule="auto"/>
              <w:jc w:val="center"/>
              <w:rPr>
                <w:sz w:val="18"/>
                <w:szCs w:val="18"/>
              </w:rPr>
            </w:pPr>
            <w:r>
              <w:rPr>
                <w:sz w:val="18"/>
                <w:szCs w:val="18"/>
              </w:rPr>
              <w:t>14</w:t>
            </w:r>
          </w:p>
        </w:tc>
        <w:tc>
          <w:tcPr>
            <w:tcW w:w="10862" w:type="dxa"/>
          </w:tcPr>
          <w:p w:rsidR="00F176D3" w:rsidRDefault="00F176D3">
            <w:pPr>
              <w:spacing w:line="240" w:lineRule="auto"/>
              <w:rPr>
                <w:sz w:val="18"/>
                <w:szCs w:val="18"/>
              </w:rPr>
            </w:pPr>
            <w:r>
              <w:rPr>
                <w:b/>
                <w:bCs/>
                <w:sz w:val="18"/>
                <w:szCs w:val="18"/>
              </w:rPr>
              <w:t xml:space="preserve">Study limitations, addressing sources of potential bias. </w:t>
            </w:r>
            <w:r>
              <w:rPr>
                <w:sz w:val="18"/>
                <w:szCs w:val="18"/>
              </w:rPr>
              <w:t>Example:</w:t>
            </w:r>
            <w:r>
              <w:rPr>
                <w:b/>
                <w:bCs/>
                <w:sz w:val="18"/>
                <w:szCs w:val="18"/>
              </w:rPr>
              <w:t xml:space="preserve"> </w:t>
            </w:r>
            <w:r>
              <w:rPr>
                <w:b/>
                <w:bCs/>
                <w:color w:val="1F1F1F"/>
                <w:sz w:val="18"/>
                <w:szCs w:val="18"/>
              </w:rPr>
              <w:t>“</w:t>
            </w:r>
            <w:r>
              <w:rPr>
                <w:color w:val="1F1F1F"/>
                <w:sz w:val="18"/>
                <w:szCs w:val="18"/>
              </w:rPr>
              <w:t>Strengths and limitations of the study:</w:t>
            </w:r>
            <w:r>
              <w:rPr>
                <w:b/>
                <w:bCs/>
                <w:color w:val="1F1F1F"/>
                <w:sz w:val="18"/>
                <w:szCs w:val="18"/>
              </w:rPr>
              <w:t xml:space="preserve"> </w:t>
            </w:r>
            <w:r>
              <w:rPr>
                <w:color w:val="1C1D1E"/>
                <w:sz w:val="18"/>
                <w:szCs w:val="18"/>
              </w:rPr>
              <w:t>In this study HIFU treatment performed very well in terms of both frequency of complications and postoperative recovery period. The comparator surgical treatment groups were not randomised and the surgical treatments were not standardised, exposing comparisons to major risks of bias, but it seems unlikely that the very large differences in some short‐term outcomes could be attributed to selection bias. In China, as in many countries, medical insurance coverage for hospital inpatient stay is determined by the primary diagnosis and treatment. Most Chinese enjoy partial medical insurance coverage with a specific subvention for in‐hospital recovery time, and this may help to explain the relatively long hospital stay in all groups…”</w:t>
            </w:r>
            <w:r>
              <w:rPr>
                <w:color w:val="1C1D1E"/>
                <w:sz w:val="18"/>
                <w:szCs w:val="18"/>
              </w:rPr>
              <w:fldChar w:fldCharType="begin" w:fldLock="1"/>
            </w:r>
            <w:r>
              <w:rPr>
                <w:color w:val="1C1D1E"/>
                <w:sz w:val="18"/>
                <w:szCs w:val="18"/>
              </w:rPr>
              <w:instrText>ADDIN CSL_CITATION {"citationItems":[{"id":"ITEM-1","itemData":{"DOI":"10.1111/1471-0528.14689","ISSN":"14700328","abstract":"Objective: To evaluate the clinical outcomes of high-intensity focused ultrasound (HIFU) and surgery in treating uterine fibroids, and prepare for a definitive randomised trial. Design: Prospective multicentre patient choice cohort study (IDEAL Exploratory study) of HIFU, myomectomy or hysterectomy for treating symptomatic uterine fibroids. Setting: 20 Chinese hospitals. Population or sample: 2411 Chinese women with symptomatic fibroids. Methods: Prospective non-randomised cohort study with learning curve analysis (IDEAL Stage 2b Prospective Exploration Study). Main outcome measures: Complications, hospital stay, return to normal activities, and quality of life (measured with UFS-Qol and SF-36 at baseline, 6 and 12 months), and need for further treatment. Quality-of-life outcomes were adjusted using regression modelling. HIFU treatment quality was evaluated using LC-CUSUM to identify operator learning curves. A health economic analysis of costs was performed. Results: 1353 women received HIFU, 472 hysterectomy and 586 myomectomy. HIFU patients were significantly younger (P &lt; 0.001), slimmer (P &lt; 0.001), better educated (P &lt; 0.001), and wealthier (P = 0.002) than surgery patients. Both UFS and QoL improved more rapidly after HIFU than after surgery (P = 0.002 and P = 0.001, respectively at 6 months), but absolute differences were small. Major adverse events occurred in 3 (0.2%) of HIFU and in 133 (12.6%) of surgical cases (P &lt; 0.001). Median time for hospital stay was 4 days (interquartile range, 0–5 days), 10 days (interquartile range, 8–12.5 days) and 8 days (interquartile range, 7–10 days). Conclusions: HIFU caused substantially less morbidity than surgery, with similar longer-term QoL. Despite group baseline differences and lack of blinding, these findings support the need for a randomised controlled trial (RCT) of HIFU treatment for fibroids. The IDEAL Exploratory design facilitated RCT protocol development. Tweetable abstract: HIFU had much better short-term outcomes than surgery for fibroids in 2411-patient Chinese IDEAL format study.","author":[{"dropping-particle":"","family":"Chen","given":"Jinyun","non-dropping-particle":"","parse-names":false,"suffix":""},{"dropping-particle":"","family":"Li","given":"Y","non-dropping-particle":"","parse-names":false,"suffix":""},{"dropping-particle":"","family":"Wang","given":"Zhibiao","non-dropping-particle":"","parse-names":false,"suffix":""},{"dropping-particle":"","family":"McCulloch","given":"P.","non-dropping-particle":"","parse-names":false,"suffix":""},{"dropping-particle":"","family":"Hu","given":"Liang","non-dropping-particle":"","parse-names":false,"suffix":""},{"dropping-particle":"","family":"Chen","given":"W","non-dropping-particle":"","parse-names":false,"suffix":""},{"dropping-particle":"","family":"Liu","given":"Guanjian","non-dropping-particle":"","parse-names":false,"suffix":""},{"dropping-particle":"","family":"Li","given":"J","non-dropping-particle":"","parse-names":false,"suffix":""},{"dropping-particle":"","family":"Lang","given":"Jinghe","non-dropping-particle":"","parse-names":false,"suffix":""}],"container-title":"BJOG: An International Journal of Obstetrics &amp; Gynaecology","id":"ITEM-1","issue":"3","issued":{"date-parts":[["2018","2"]]},"page":"354-364","title":"Evaluation of high-intensity focused ultrasound ablation for uterine fibroids: an IDEAL prospective exploration study","type":"article-journal","volume":"125"},"uris":["http://www.mendeley.com/documents/?uuid=9a848b84-7f18-431f-8965-d6c1fcf2ebd2"]}],"mendeley":{"formattedCitation":"&lt;sup&gt;11&lt;/sup&gt;","plainTextFormattedCitation":"11","previouslyFormattedCitation":"&lt;sup&gt;10&lt;/sup&gt;"},"properties":{"noteIndex":0},"schema":"https://github.com/citation-style-language/schema/raw/master/csl-citation.json"}</w:instrText>
            </w:r>
            <w:r>
              <w:rPr>
                <w:color w:val="1C1D1E"/>
                <w:sz w:val="18"/>
                <w:szCs w:val="18"/>
              </w:rPr>
              <w:fldChar w:fldCharType="separate"/>
            </w:r>
            <w:r>
              <w:rPr>
                <w:noProof/>
                <w:color w:val="1C1D1E"/>
                <w:sz w:val="18"/>
                <w:szCs w:val="18"/>
                <w:vertAlign w:val="superscript"/>
              </w:rPr>
              <w:t>11</w:t>
            </w:r>
            <w:r>
              <w:rPr>
                <w:color w:val="1C1D1E"/>
                <w:sz w:val="18"/>
                <w:szCs w:val="18"/>
              </w:rPr>
              <w:fldChar w:fldCharType="end"/>
            </w:r>
          </w:p>
        </w:tc>
      </w:tr>
      <w:tr w:rsidR="00F176D3">
        <w:tc>
          <w:tcPr>
            <w:tcW w:w="2269" w:type="dxa"/>
            <w:tcBorders>
              <w:bottom w:val="nil"/>
            </w:tcBorders>
          </w:tcPr>
          <w:p w:rsidR="00F176D3" w:rsidRDefault="00F176D3">
            <w:pPr>
              <w:spacing w:line="240" w:lineRule="auto"/>
              <w:rPr>
                <w:sz w:val="18"/>
                <w:szCs w:val="18"/>
              </w:rPr>
            </w:pPr>
            <w:r>
              <w:rPr>
                <w:sz w:val="18"/>
                <w:szCs w:val="18"/>
              </w:rPr>
              <w:t>Stage End-Points</w:t>
            </w:r>
          </w:p>
        </w:tc>
        <w:tc>
          <w:tcPr>
            <w:tcW w:w="709" w:type="dxa"/>
            <w:gridSpan w:val="2"/>
            <w:tcBorders>
              <w:bottom w:val="nil"/>
            </w:tcBorders>
          </w:tcPr>
          <w:p w:rsidR="00F176D3" w:rsidRDefault="00F176D3">
            <w:pPr>
              <w:spacing w:line="240" w:lineRule="auto"/>
              <w:jc w:val="center"/>
              <w:rPr>
                <w:sz w:val="18"/>
                <w:szCs w:val="18"/>
              </w:rPr>
            </w:pPr>
            <w:r>
              <w:rPr>
                <w:sz w:val="18"/>
                <w:szCs w:val="18"/>
              </w:rPr>
              <w:t>15a</w:t>
            </w:r>
          </w:p>
        </w:tc>
        <w:tc>
          <w:tcPr>
            <w:tcW w:w="10862" w:type="dxa"/>
          </w:tcPr>
          <w:p w:rsidR="00F176D3" w:rsidRDefault="00F176D3">
            <w:pPr>
              <w:spacing w:line="240" w:lineRule="auto"/>
              <w:rPr>
                <w:b/>
                <w:bCs/>
                <w:color w:val="000000"/>
                <w:sz w:val="18"/>
                <w:szCs w:val="18"/>
              </w:rPr>
            </w:pPr>
            <w:r>
              <w:rPr>
                <w:b/>
                <w:bCs/>
                <w:color w:val="000000"/>
                <w:sz w:val="18"/>
                <w:szCs w:val="18"/>
              </w:rPr>
              <w:t xml:space="preserve">Pre-planned consensus review of results, and discussion of appropriateness of progressing to RCT or pilot/feasibility study. </w:t>
            </w:r>
            <w:r>
              <w:rPr>
                <w:color w:val="000000"/>
                <w:sz w:val="18"/>
                <w:szCs w:val="18"/>
              </w:rPr>
              <w:t>Example:</w:t>
            </w:r>
            <w:r>
              <w:rPr>
                <w:b/>
                <w:bCs/>
                <w:color w:val="000000"/>
                <w:sz w:val="18"/>
                <w:szCs w:val="18"/>
              </w:rPr>
              <w:t xml:space="preserve"> </w:t>
            </w:r>
            <w:r>
              <w:rPr>
                <w:color w:val="1C1D1E"/>
                <w:sz w:val="18"/>
                <w:szCs w:val="18"/>
              </w:rPr>
              <w:t>If PPBR is considered safe and data from the screening logs suggests sufficient numbers of PPBR are being performed at participating centres, a consensus meeting with key participating surgeons, steering group members, patients and methodologists will be held to agree the final design for a large-scale pragmatic RCT comparing prepectoral and subpectoral IBBR.”</w:t>
            </w:r>
            <w:r>
              <w:rPr>
                <w:color w:val="1C1D1E"/>
                <w:sz w:val="18"/>
                <w:szCs w:val="18"/>
              </w:rPr>
              <w:fldChar w:fldCharType="begin" w:fldLock="1"/>
            </w:r>
            <w:r>
              <w:rPr>
                <w:color w:val="1C1D1E"/>
                <w:sz w:val="18"/>
                <w:szCs w:val="18"/>
              </w:rPr>
              <w:instrText>ADDIN CSL_CITATION {"citationItems":[{"id":"ITEM-1","itemData":{"DOI":"10.1136/bmjopen-2019-033641","ISSN":"2044-6055","abstract":"Introduction Implant-based breast reconstruction is the most commonly performed reconstructive technique worldwide. Subpectoral reconstruction with mesh is the current standard of care but new prepectoral techniques have recently been introduced. Prepectoral breast reconstruction (PPBR) may improve outcomes for patients but robust evaluation is required. Randomised clinical trials (RCTs) are ideally needed but the short-term safety of PPBR is yet to be established; the technique and its indications are evolving and it has yet to be adopted by a sufficient number of surgeons for an RCT to be feasible. The Pre-BRA study aims to determine the feasibility of using mixed-methods within an IDEAL 2a/2b (IDEAL, Idea-Development-Exploration-Assessment-Long-term) study to explore the short-term safety of PPBR and determine when the technique is sufficiently stable for evaluation in a pragmatic RCT. Methods and analysis Pre-BRA is an IDEAL stage 2a/2b prospective multicentre cohort study with embedded qualitative research. Consecutive patients electing to undergo immediate PPBR at participating centres will be invited to participate. Demographic, operative, oncology and complication data will be collected and patient-reported outcomes will be assessed at baseline, 3 and 18 months postoperatively. The primary safety endpoint will be implant loss at 3 months. Surgeons performing PPBR will be asked to complete questionnaires regarding their practice and report any modifications made to the procedure or learning arising from complications via free-text response fields on electronic case-report forms. Semistructured will explore surgeons' experiences in detail to identify emerging best practice. This will be fed back to participating surgeons to promote shared learning. The Pre-BRA study will aim to recruit 341 patients from 30 to 40 UK centres over a 12-month period. Recruitment will commence Spring 2019. Ethics and dissemination The study has full ethical approval from OXFORD-B South Central Committee Ref:19/SC/0129. Results will be presented at national and international meetings and published in peer-reviewed journals. Trial registration number ISRCTN11898000; Pre-results.","author":[{"dropping-particle":"","family":"Harvey","given":"Kate Louise","non-dropping-particle":"","parse-names":false,"suffix":""},{"dropping-particle":"","family":"Mills","given":"Nicola","non-dropping-particle":"","parse-names":false,"suffix":""},{"dropping-particle":"","family":"White","given":"Paul","non-dropping-particle":"","parse-names":false,"suffix":""},{"dropping-particle":"","family":"Holcombe","given":"Christopher","non-dropping-particle":"","parse-names":false,"suffix":""},{"dropping-particle":"","family":"Potter","given":"Shelley","non-dropping-particle":"","parse-names":false,"suffix":""}],"container-title":"BMJ Open","id":"ITEM-1","issue":"1","issued":{"date-parts":[["2020","1","26"]]},"page":"e033641","title":"The Pre-BRA (pre-pectoral Breast Reconstruction EvAluation) feasibility study: protocol for a mixed-methods IDEAL 2a/2b prospective cohort study to determine the safety and effectiveness of prepectoral implant-based breast reconstruction","type":"article-journal","volume":"10"},"uris":["http://www.mendeley.com/documents/?uuid=c2a53a79-4598-41b5-a881-1cfaf2dd604c"]}],"mendeley":{"formattedCitation":"&lt;sup&gt;10&lt;/sup&gt;","plainTextFormattedCitation":"10","previouslyFormattedCitation":"&lt;sup&gt;9&lt;/sup&gt;"},"properties":{"noteIndex":0},"schema":"https://github.com/citation-style-language/schema/raw/master/csl-citation.json"}</w:instrText>
            </w:r>
            <w:r>
              <w:rPr>
                <w:color w:val="1C1D1E"/>
                <w:sz w:val="18"/>
                <w:szCs w:val="18"/>
              </w:rPr>
              <w:fldChar w:fldCharType="separate"/>
            </w:r>
            <w:r>
              <w:rPr>
                <w:noProof/>
                <w:color w:val="1C1D1E"/>
                <w:sz w:val="18"/>
                <w:szCs w:val="18"/>
                <w:vertAlign w:val="superscript"/>
              </w:rPr>
              <w:t>10</w:t>
            </w:r>
            <w:r>
              <w:rPr>
                <w:color w:val="1C1D1E"/>
                <w:sz w:val="18"/>
                <w:szCs w:val="18"/>
              </w:rPr>
              <w:fldChar w:fldCharType="end"/>
            </w:r>
          </w:p>
        </w:tc>
      </w:tr>
      <w:tr w:rsidR="00F176D3">
        <w:tc>
          <w:tcPr>
            <w:tcW w:w="2269" w:type="dxa"/>
            <w:tcBorders>
              <w:top w:val="nil"/>
              <w:bottom w:val="nil"/>
            </w:tcBorders>
          </w:tcPr>
          <w:p w:rsidR="00F176D3" w:rsidRDefault="00F176D3">
            <w:pPr>
              <w:spacing w:line="240" w:lineRule="auto"/>
              <w:rPr>
                <w:sz w:val="18"/>
                <w:szCs w:val="18"/>
              </w:rPr>
            </w:pPr>
          </w:p>
        </w:tc>
        <w:tc>
          <w:tcPr>
            <w:tcW w:w="709" w:type="dxa"/>
            <w:gridSpan w:val="2"/>
            <w:tcBorders>
              <w:top w:val="nil"/>
              <w:bottom w:val="nil"/>
            </w:tcBorders>
          </w:tcPr>
          <w:p w:rsidR="00F176D3" w:rsidRDefault="00F176D3">
            <w:pPr>
              <w:spacing w:line="240" w:lineRule="auto"/>
              <w:jc w:val="center"/>
              <w:rPr>
                <w:sz w:val="18"/>
                <w:szCs w:val="18"/>
              </w:rPr>
            </w:pPr>
            <w:r>
              <w:rPr>
                <w:sz w:val="18"/>
                <w:szCs w:val="18"/>
              </w:rPr>
              <w:t>15b</w:t>
            </w:r>
          </w:p>
        </w:tc>
        <w:tc>
          <w:tcPr>
            <w:tcW w:w="10862" w:type="dxa"/>
          </w:tcPr>
          <w:p w:rsidR="00F176D3" w:rsidRDefault="00F176D3">
            <w:pPr>
              <w:spacing w:line="240" w:lineRule="auto"/>
              <w:rPr>
                <w:b/>
                <w:bCs/>
                <w:color w:val="000000"/>
                <w:sz w:val="18"/>
                <w:szCs w:val="18"/>
              </w:rPr>
            </w:pPr>
            <w:r>
              <w:rPr>
                <w:b/>
                <w:bCs/>
                <w:color w:val="000000"/>
                <w:sz w:val="18"/>
                <w:szCs w:val="18"/>
              </w:rPr>
              <w:t>Has agreement been reached about standard technique, including accepted variants, and quality standards based on operator/team experience during this stage?</w:t>
            </w:r>
          </w:p>
        </w:tc>
      </w:tr>
      <w:tr w:rsidR="00F176D3">
        <w:tc>
          <w:tcPr>
            <w:tcW w:w="2269" w:type="dxa"/>
            <w:tcBorders>
              <w:top w:val="nil"/>
              <w:bottom w:val="nil"/>
            </w:tcBorders>
          </w:tcPr>
          <w:p w:rsidR="00F176D3" w:rsidRDefault="00F176D3">
            <w:pPr>
              <w:spacing w:line="240" w:lineRule="auto"/>
              <w:rPr>
                <w:sz w:val="18"/>
                <w:szCs w:val="18"/>
              </w:rPr>
            </w:pPr>
          </w:p>
        </w:tc>
        <w:tc>
          <w:tcPr>
            <w:tcW w:w="709" w:type="dxa"/>
            <w:gridSpan w:val="2"/>
            <w:tcBorders>
              <w:top w:val="nil"/>
              <w:bottom w:val="nil"/>
            </w:tcBorders>
          </w:tcPr>
          <w:p w:rsidR="00F176D3" w:rsidRDefault="00F176D3">
            <w:pPr>
              <w:spacing w:line="240" w:lineRule="auto"/>
              <w:jc w:val="center"/>
              <w:rPr>
                <w:sz w:val="18"/>
                <w:szCs w:val="18"/>
              </w:rPr>
            </w:pPr>
            <w:r>
              <w:rPr>
                <w:sz w:val="18"/>
                <w:szCs w:val="18"/>
              </w:rPr>
              <w:t>15c</w:t>
            </w:r>
          </w:p>
        </w:tc>
        <w:tc>
          <w:tcPr>
            <w:tcW w:w="10862" w:type="dxa"/>
          </w:tcPr>
          <w:p w:rsidR="00F176D3" w:rsidRDefault="00F176D3">
            <w:pPr>
              <w:spacing w:line="240" w:lineRule="auto"/>
              <w:rPr>
                <w:b/>
                <w:bCs/>
                <w:color w:val="000000"/>
                <w:sz w:val="18"/>
                <w:szCs w:val="18"/>
              </w:rPr>
            </w:pPr>
            <w:r>
              <w:rPr>
                <w:b/>
                <w:bCs/>
                <w:color w:val="000000"/>
                <w:sz w:val="18"/>
                <w:szCs w:val="18"/>
              </w:rPr>
              <w:t xml:space="preserve">Has agreement been reached on the appropriate target patient population and indications, including identification of subgroups for which the applicability of the technique is considered uncertain? </w:t>
            </w:r>
          </w:p>
        </w:tc>
      </w:tr>
      <w:tr w:rsidR="00F176D3">
        <w:tc>
          <w:tcPr>
            <w:tcW w:w="2269" w:type="dxa"/>
            <w:tcBorders>
              <w:top w:val="nil"/>
              <w:bottom w:val="nil"/>
            </w:tcBorders>
          </w:tcPr>
          <w:p w:rsidR="00F176D3" w:rsidRDefault="00F176D3">
            <w:pPr>
              <w:spacing w:line="240" w:lineRule="auto"/>
              <w:rPr>
                <w:sz w:val="18"/>
                <w:szCs w:val="18"/>
              </w:rPr>
            </w:pPr>
          </w:p>
        </w:tc>
        <w:tc>
          <w:tcPr>
            <w:tcW w:w="709" w:type="dxa"/>
            <w:gridSpan w:val="2"/>
            <w:tcBorders>
              <w:top w:val="nil"/>
              <w:bottom w:val="nil"/>
            </w:tcBorders>
          </w:tcPr>
          <w:p w:rsidR="00F176D3" w:rsidRDefault="00F176D3">
            <w:pPr>
              <w:spacing w:line="240" w:lineRule="auto"/>
              <w:jc w:val="center"/>
              <w:rPr>
                <w:sz w:val="18"/>
                <w:szCs w:val="18"/>
              </w:rPr>
            </w:pPr>
            <w:r>
              <w:rPr>
                <w:sz w:val="18"/>
                <w:szCs w:val="18"/>
              </w:rPr>
              <w:t>15d</w:t>
            </w:r>
          </w:p>
        </w:tc>
        <w:tc>
          <w:tcPr>
            <w:tcW w:w="10862" w:type="dxa"/>
          </w:tcPr>
          <w:p w:rsidR="00F176D3" w:rsidRDefault="00F176D3">
            <w:pPr>
              <w:spacing w:line="240" w:lineRule="auto"/>
              <w:rPr>
                <w:b/>
                <w:bCs/>
                <w:color w:val="000000"/>
                <w:sz w:val="18"/>
                <w:szCs w:val="18"/>
              </w:rPr>
            </w:pPr>
            <w:r>
              <w:rPr>
                <w:b/>
                <w:bCs/>
                <w:color w:val="000000"/>
                <w:sz w:val="18"/>
                <w:szCs w:val="18"/>
              </w:rPr>
              <w:t xml:space="preserve">Has agreement been reached regarding appropriate outcome measure(s) for a trial, including an estimated power calculation of the primary outcome for a future trial? </w:t>
            </w:r>
          </w:p>
        </w:tc>
      </w:tr>
      <w:tr w:rsidR="00F176D3">
        <w:tc>
          <w:tcPr>
            <w:tcW w:w="2269" w:type="dxa"/>
            <w:tcBorders>
              <w:top w:val="nil"/>
              <w:bottom w:val="nil"/>
            </w:tcBorders>
          </w:tcPr>
          <w:p w:rsidR="00F176D3" w:rsidRDefault="00F176D3">
            <w:pPr>
              <w:spacing w:line="240" w:lineRule="auto"/>
              <w:rPr>
                <w:sz w:val="18"/>
                <w:szCs w:val="18"/>
              </w:rPr>
            </w:pPr>
          </w:p>
        </w:tc>
        <w:tc>
          <w:tcPr>
            <w:tcW w:w="709" w:type="dxa"/>
            <w:gridSpan w:val="2"/>
            <w:tcBorders>
              <w:top w:val="nil"/>
              <w:bottom w:val="nil"/>
            </w:tcBorders>
          </w:tcPr>
          <w:p w:rsidR="00F176D3" w:rsidRDefault="00F176D3">
            <w:pPr>
              <w:spacing w:line="240" w:lineRule="auto"/>
              <w:jc w:val="center"/>
              <w:rPr>
                <w:sz w:val="18"/>
                <w:szCs w:val="18"/>
              </w:rPr>
            </w:pPr>
            <w:r>
              <w:rPr>
                <w:sz w:val="18"/>
                <w:szCs w:val="18"/>
              </w:rPr>
              <w:t>15e</w:t>
            </w:r>
          </w:p>
        </w:tc>
        <w:tc>
          <w:tcPr>
            <w:tcW w:w="10862" w:type="dxa"/>
          </w:tcPr>
          <w:p w:rsidR="00F176D3" w:rsidRDefault="00F176D3">
            <w:pPr>
              <w:spacing w:line="240" w:lineRule="auto"/>
              <w:rPr>
                <w:b/>
                <w:bCs/>
                <w:color w:val="000000"/>
                <w:sz w:val="18"/>
                <w:szCs w:val="18"/>
              </w:rPr>
            </w:pPr>
            <w:r>
              <w:rPr>
                <w:b/>
                <w:bCs/>
                <w:color w:val="000000"/>
                <w:sz w:val="18"/>
                <w:szCs w:val="18"/>
              </w:rPr>
              <w:t xml:space="preserve">Has agreement been reached regarding the appropriate comparator treatment for a trial? </w:t>
            </w:r>
          </w:p>
        </w:tc>
      </w:tr>
      <w:tr w:rsidR="00F176D3">
        <w:tc>
          <w:tcPr>
            <w:tcW w:w="2269" w:type="dxa"/>
            <w:tcBorders>
              <w:top w:val="nil"/>
              <w:bottom w:val="nil"/>
            </w:tcBorders>
          </w:tcPr>
          <w:p w:rsidR="00F176D3" w:rsidRDefault="00F176D3">
            <w:pPr>
              <w:spacing w:line="240" w:lineRule="auto"/>
              <w:rPr>
                <w:sz w:val="18"/>
                <w:szCs w:val="18"/>
              </w:rPr>
            </w:pPr>
          </w:p>
        </w:tc>
        <w:tc>
          <w:tcPr>
            <w:tcW w:w="709" w:type="dxa"/>
            <w:gridSpan w:val="2"/>
            <w:tcBorders>
              <w:top w:val="nil"/>
              <w:bottom w:val="nil"/>
            </w:tcBorders>
          </w:tcPr>
          <w:p w:rsidR="00F176D3" w:rsidRDefault="00F176D3">
            <w:pPr>
              <w:spacing w:line="240" w:lineRule="auto"/>
              <w:jc w:val="center"/>
              <w:rPr>
                <w:sz w:val="18"/>
                <w:szCs w:val="18"/>
              </w:rPr>
            </w:pPr>
            <w:r>
              <w:rPr>
                <w:sz w:val="18"/>
                <w:szCs w:val="18"/>
              </w:rPr>
              <w:t>15f</w:t>
            </w:r>
          </w:p>
        </w:tc>
        <w:tc>
          <w:tcPr>
            <w:tcW w:w="10862" w:type="dxa"/>
          </w:tcPr>
          <w:p w:rsidR="00F176D3" w:rsidRDefault="00F176D3">
            <w:pPr>
              <w:spacing w:line="240" w:lineRule="auto"/>
              <w:rPr>
                <w:b/>
                <w:bCs/>
                <w:color w:val="000000"/>
                <w:sz w:val="18"/>
                <w:szCs w:val="18"/>
              </w:rPr>
            </w:pPr>
            <w:r>
              <w:rPr>
                <w:b/>
                <w:bCs/>
                <w:color w:val="000000"/>
                <w:sz w:val="18"/>
                <w:szCs w:val="18"/>
              </w:rPr>
              <w:t xml:space="preserve">Are operators and patients willing to accept randomisation between the proposed treatments (establishing equipoise)? </w:t>
            </w:r>
          </w:p>
        </w:tc>
      </w:tr>
      <w:tr w:rsidR="00F176D3">
        <w:tc>
          <w:tcPr>
            <w:tcW w:w="2269" w:type="dxa"/>
            <w:tcBorders>
              <w:top w:val="nil"/>
            </w:tcBorders>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15g</w:t>
            </w:r>
          </w:p>
        </w:tc>
        <w:tc>
          <w:tcPr>
            <w:tcW w:w="10862" w:type="dxa"/>
          </w:tcPr>
          <w:p w:rsidR="00F176D3" w:rsidRDefault="00F176D3">
            <w:pPr>
              <w:spacing w:line="240" w:lineRule="auto"/>
              <w:rPr>
                <w:b/>
                <w:bCs/>
                <w:color w:val="000000"/>
                <w:sz w:val="18"/>
                <w:szCs w:val="18"/>
              </w:rPr>
            </w:pPr>
            <w:r>
              <w:rPr>
                <w:b/>
                <w:bCs/>
                <w:color w:val="000000"/>
                <w:sz w:val="18"/>
                <w:szCs w:val="18"/>
              </w:rPr>
              <w:t xml:space="preserve">Ensure potential harms from learning curves are addressed by evidence of completion, training and mentoring prior to Stage 3, where appropriate. </w:t>
            </w:r>
            <w:r>
              <w:rPr>
                <w:color w:val="000000"/>
                <w:sz w:val="18"/>
                <w:szCs w:val="18"/>
              </w:rPr>
              <w:t xml:space="preserve">Example: </w:t>
            </w:r>
            <w:r>
              <w:rPr>
                <w:color w:val="1C1D1E"/>
                <w:sz w:val="18"/>
                <w:szCs w:val="18"/>
              </w:rPr>
              <w:t>The learning and modifications emerging from the CRFs and interviews will be consolidated and reviewed at regular intervals by the study team. Any common themes will be shared with participating surgeons using a combination of methods. These will include a ‘tips and tricks’ section on the study website; e-mail updates; study newsletters and potentially social media channels (eg, ‘You Tube’). The acceptability and value of the different approaches to sharing learning will be discussed with individual surgeons at interview and the wider steering group. Metrics such as number of views/hits for online/social media resources will be used to provide additional information…”</w:t>
            </w:r>
            <w:r>
              <w:rPr>
                <w:color w:val="1C1D1E"/>
                <w:sz w:val="18"/>
                <w:szCs w:val="18"/>
              </w:rPr>
              <w:fldChar w:fldCharType="begin" w:fldLock="1"/>
            </w:r>
            <w:r>
              <w:rPr>
                <w:color w:val="1C1D1E"/>
                <w:sz w:val="18"/>
                <w:szCs w:val="18"/>
              </w:rPr>
              <w:instrText>ADDIN CSL_CITATION {"citationItems":[{"id":"ITEM-1","itemData":{"DOI":"10.1136/bmjopen-2019-033641","ISSN":"2044-6055","abstract":"Introduction Implant-based breast reconstruction is the most commonly performed reconstructive technique worldwide. Subpectoral reconstruction with mesh is the current standard of care but new prepectoral techniques have recently been introduced. Prepectoral breast reconstruction (PPBR) may improve outcomes for patients but robust evaluation is required. Randomised clinical trials (RCTs) are ideally needed but the short-term safety of PPBR is yet to be established; the technique and its indications are evolving and it has yet to be adopted by a sufficient number of surgeons for an RCT to be feasible. The Pre-BRA study aims to determine the feasibility of using mixed-methods within an IDEAL 2a/2b (IDEAL, Idea-Development-Exploration-Assessment-Long-term) study to explore the short-term safety of PPBR and determine when the technique is sufficiently stable for evaluation in a pragmatic RCT. Methods and analysis Pre-BRA is an IDEAL stage 2a/2b prospective multicentre cohort study with embedded qualitative research. Consecutive patients electing to undergo immediate PPBR at participating centres will be invited to participate. Demographic, operative, oncology and complication data will be collected and patient-reported outcomes will be assessed at baseline, 3 and 18 months postoperatively. The primary safety endpoint will be implant loss at 3 months. Surgeons performing PPBR will be asked to complete questionnaires regarding their practice and report any modifications made to the procedure or learning arising from complications via free-text response fields on electronic case-report forms. Semistructured will explore surgeons' experiences in detail to identify emerging best practice. This will be fed back to participating surgeons to promote shared learning. The Pre-BRA study will aim to recruit 341 patients from 30 to 40 UK centres over a 12-month period. Recruitment will commence Spring 2019. Ethics and dissemination The study has full ethical approval from OXFORD-B South Central Committee Ref:19/SC/0129. Results will be presented at national and international meetings and published in peer-reviewed journals. Trial registration number ISRCTN11898000; Pre-results.","author":[{"dropping-particle":"","family":"Harvey","given":"Kate Louise","non-dropping-particle":"","parse-names":false,"suffix":""},{"dropping-particle":"","family":"Mills","given":"Nicola","non-dropping-particle":"","parse-names":false,"suffix":""},{"dropping-particle":"","family":"White","given":"Paul","non-dropping-particle":"","parse-names":false,"suffix":""},{"dropping-particle":"","family":"Holcombe","given":"Christopher","non-dropping-particle":"","parse-names":false,"suffix":""},{"dropping-particle":"","family":"Potter","given":"Shelley","non-dropping-particle":"","parse-names":false,"suffix":""}],"container-title":"BMJ Open","id":"ITEM-1","issue":"1","issued":{"date-parts":[["2020","1","26"]]},"page":"e033641","title":"The Pre-BRA (pre-pectoral Breast Reconstruction EvAluation) feasibility study: protocol for a mixed-methods IDEAL 2a/2b prospective cohort study to determine the safety and effectiveness of prepectoral implant-based breast reconstruction","type":"article-journal","volume":"10"},"uris":["http://www.mendeley.com/documents/?uuid=c2a53a79-4598-41b5-a881-1cfaf2dd604c"]}],"mendeley":{"formattedCitation":"&lt;sup&gt;10&lt;/sup&gt;","plainTextFormattedCitation":"10","previouslyFormattedCitation":"&lt;sup&gt;9&lt;/sup&gt;"},"properties":{"noteIndex":0},"schema":"https://github.com/citation-style-language/schema/raw/master/csl-citation.json"}</w:instrText>
            </w:r>
            <w:r>
              <w:rPr>
                <w:color w:val="1C1D1E"/>
                <w:sz w:val="18"/>
                <w:szCs w:val="18"/>
              </w:rPr>
              <w:fldChar w:fldCharType="separate"/>
            </w:r>
            <w:r>
              <w:rPr>
                <w:noProof/>
                <w:color w:val="1C1D1E"/>
                <w:sz w:val="18"/>
                <w:szCs w:val="18"/>
                <w:vertAlign w:val="superscript"/>
              </w:rPr>
              <w:t>10</w:t>
            </w:r>
            <w:r>
              <w:rPr>
                <w:color w:val="1C1D1E"/>
                <w:sz w:val="18"/>
                <w:szCs w:val="18"/>
              </w:rPr>
              <w:fldChar w:fldCharType="end"/>
            </w:r>
          </w:p>
        </w:tc>
      </w:tr>
      <w:tr w:rsidR="00F176D3">
        <w:tc>
          <w:tcPr>
            <w:tcW w:w="2269" w:type="dxa"/>
          </w:tcPr>
          <w:p w:rsidR="00F176D3" w:rsidRDefault="00F176D3">
            <w:pPr>
              <w:spacing w:line="240" w:lineRule="auto"/>
              <w:rPr>
                <w:sz w:val="18"/>
                <w:szCs w:val="18"/>
              </w:rPr>
            </w:pPr>
            <w:r>
              <w:rPr>
                <w:sz w:val="18"/>
                <w:szCs w:val="18"/>
              </w:rPr>
              <w:t>Conclusion</w:t>
            </w:r>
          </w:p>
        </w:tc>
        <w:tc>
          <w:tcPr>
            <w:tcW w:w="709" w:type="dxa"/>
            <w:gridSpan w:val="2"/>
          </w:tcPr>
          <w:p w:rsidR="00F176D3" w:rsidRDefault="00F176D3">
            <w:pPr>
              <w:spacing w:line="240" w:lineRule="auto"/>
              <w:jc w:val="center"/>
              <w:rPr>
                <w:sz w:val="18"/>
                <w:szCs w:val="18"/>
              </w:rPr>
            </w:pPr>
            <w:r>
              <w:rPr>
                <w:sz w:val="18"/>
                <w:szCs w:val="18"/>
              </w:rPr>
              <w:t>16</w:t>
            </w:r>
          </w:p>
        </w:tc>
        <w:tc>
          <w:tcPr>
            <w:tcW w:w="10862" w:type="dxa"/>
          </w:tcPr>
          <w:p w:rsidR="00F176D3" w:rsidRDefault="00F176D3">
            <w:pPr>
              <w:spacing w:line="240" w:lineRule="auto"/>
              <w:rPr>
                <w:color w:val="000000"/>
                <w:sz w:val="18"/>
                <w:szCs w:val="18"/>
              </w:rPr>
            </w:pPr>
            <w:r>
              <w:rPr>
                <w:b/>
                <w:bCs/>
                <w:color w:val="000000"/>
                <w:sz w:val="18"/>
                <w:szCs w:val="18"/>
              </w:rPr>
              <w:t xml:space="preserve">Conclusions and relevance, including plans to evaluate the technique/device in a high-quality RCT against the current standard of care. If not planning to further evaluate in IDEAL Stage 3 study, please explain. </w:t>
            </w:r>
            <w:r>
              <w:rPr>
                <w:color w:val="000000"/>
                <w:sz w:val="18"/>
                <w:szCs w:val="18"/>
              </w:rPr>
              <w:t xml:space="preserve">Example: </w:t>
            </w:r>
            <w:r>
              <w:rPr>
                <w:color w:val="1C1D1E"/>
                <w:sz w:val="18"/>
                <w:szCs w:val="18"/>
              </w:rPr>
              <w:t>“HIFU is now recognised as a fully‐developed state‐of‐the‐art technology, supported by a growing literature, however definitive comparison of the effectiveness and safety of HIFU versus conventional therapies is required before it can be accepted as the standard of care for uterine fibroids….The IDEAL Recommendations propose a pre‐RCT stage (Stage 2b, Exploration) at which potential RCT primary outcomes, operator learning curves, quality control and definitions of the patient group and comparator for an RCT should be worked out, usually in a non‐randomised prospective trial. This IDEAL prospective exploration study has fulfilled all of these objectives, and has demonstrated that HIFU is safe, effective, and deliverable in a large group of unconnected health facilities at high patient volumes. […] Our findings make it clear that RCT proposals comparing complications or short‐term recovery in this context might not attract support or funding, as the very large differences we found are likely to affect equipoise.”</w:t>
            </w:r>
            <w:r>
              <w:rPr>
                <w:color w:val="1C1D1E"/>
                <w:sz w:val="18"/>
                <w:szCs w:val="18"/>
              </w:rPr>
              <w:fldChar w:fldCharType="begin" w:fldLock="1"/>
            </w:r>
            <w:r>
              <w:rPr>
                <w:color w:val="1C1D1E"/>
                <w:sz w:val="18"/>
                <w:szCs w:val="18"/>
              </w:rPr>
              <w:instrText>ADDIN CSL_CITATION {"citationItems":[{"id":"ITEM-1","itemData":{"DOI":"10.1111/1471-0528.14689","ISSN":"14700328","abstract":"Objective: To evaluate the clinical outcomes of high-intensity focused ultrasound (HIFU) and surgery in treating uterine fibroids, and prepare for a definitive randomised trial. Design: Prospective multicentre patient choice cohort study (IDEAL Exploratory study) of HIFU, myomectomy or hysterectomy for treating symptomatic uterine fibroids. Setting: 20 Chinese hospitals. Population or sample: 2411 Chinese women with symptomatic fibroids. Methods: Prospective non-randomised cohort study with learning curve analysis (IDEAL Stage 2b Prospective Exploration Study). Main outcome measures: Complications, hospital stay, return to normal activities, and quality of life (measured with UFS-Qol and SF-36 at baseline, 6 and 12 months), and need for further treatment. Quality-of-life outcomes were adjusted using regression modelling. HIFU treatment quality was evaluated using LC-CUSUM to identify operator learning curves. A health economic analysis of costs was performed. Results: 1353 women received HIFU, 472 hysterectomy and 586 myomectomy. HIFU patients were significantly younger (P &lt; 0.001), slimmer (P &lt; 0.001), better educated (P &lt; 0.001), and wealthier (P = 0.002) than surgery patients. Both UFS and QoL improved more rapidly after HIFU than after surgery (P = 0.002 and P = 0.001, respectively at 6 months), but absolute differences were small. Major adverse events occurred in 3 (0.2%) of HIFU and in 133 (12.6%) of surgical cases (P &lt; 0.001). Median time for hospital stay was 4 days (interquartile range, 0–5 days), 10 days (interquartile range, 8–12.5 days) and 8 days (interquartile range, 7–10 days). Conclusions: HIFU caused substantially less morbidity than surgery, with similar longer-term QoL. Despite group baseline differences and lack of blinding, these findings support the need for a randomised controlled trial (RCT) of HIFU treatment for fibroids. The IDEAL Exploratory design facilitated RCT protocol development. Tweetable abstract: HIFU had much better short-term outcomes than surgery for fibroids in 2411-patient Chinese IDEAL format study.","author":[{"dropping-particle":"","family":"Chen","given":"Jinyun","non-dropping-particle":"","parse-names":false,"suffix":""},{"dropping-particle":"","family":"Li","given":"Y","non-dropping-particle":"","parse-names":false,"suffix":""},{"dropping-particle":"","family":"Wang","given":"Zhibiao","non-dropping-particle":"","parse-names":false,"suffix":""},{"dropping-particle":"","family":"McCulloch","given":"P.","non-dropping-particle":"","parse-names":false,"suffix":""},{"dropping-particle":"","family":"Hu","given":"Liang","non-dropping-particle":"","parse-names":false,"suffix":""},{"dropping-particle":"","family":"Chen","given":"W","non-dropping-particle":"","parse-names":false,"suffix":""},{"dropping-particle":"","family":"Liu","given":"Guanjian","non-dropping-particle":"","parse-names":false,"suffix":""},{"dropping-particle":"","family":"Li","given":"J","non-dropping-particle":"","parse-names":false,"suffix":""},{"dropping-particle":"","family":"Lang","given":"Jinghe","non-dropping-particle":"","parse-names":false,"suffix":""}],"container-title":"BJOG: An International Journal of Obstetrics &amp; Gynaecology","id":"ITEM-1","issue":"3","issued":{"date-parts":[["2018","2"]]},"page":"354-364","title":"Evaluation of high-intensity focused ultrasound ablation for uterine fibroids: an IDEAL prospective exploration study","type":"article-journal","volume":"125"},"uris":["http://www.mendeley.com/documents/?uuid=9a848b84-7f18-431f-8965-d6c1fcf2ebd2"]}],"mendeley":{"formattedCitation":"&lt;sup&gt;11&lt;/sup&gt;","plainTextFormattedCitation":"11","previouslyFormattedCitation":"&lt;sup&gt;10&lt;/sup&gt;"},"properties":{"noteIndex":0},"schema":"https://github.com/citation-style-language/schema/raw/master/csl-citation.json"}</w:instrText>
            </w:r>
            <w:r>
              <w:rPr>
                <w:color w:val="1C1D1E"/>
                <w:sz w:val="18"/>
                <w:szCs w:val="18"/>
              </w:rPr>
              <w:fldChar w:fldCharType="separate"/>
            </w:r>
            <w:r>
              <w:rPr>
                <w:noProof/>
                <w:color w:val="1C1D1E"/>
                <w:sz w:val="18"/>
                <w:szCs w:val="18"/>
                <w:vertAlign w:val="superscript"/>
              </w:rPr>
              <w:t>11</w:t>
            </w:r>
            <w:r>
              <w:rPr>
                <w:color w:val="1C1D1E"/>
                <w:sz w:val="18"/>
                <w:szCs w:val="18"/>
              </w:rPr>
              <w:fldChar w:fldCharType="end"/>
            </w:r>
          </w:p>
        </w:tc>
      </w:tr>
      <w:tr w:rsidR="00F176D3">
        <w:tc>
          <w:tcPr>
            <w:tcW w:w="2269" w:type="dxa"/>
            <w:tcBorders>
              <w:left w:val="nil"/>
              <w:right w:val="nil"/>
            </w:tcBorders>
          </w:tcPr>
          <w:p w:rsidR="00F176D3" w:rsidRDefault="00F176D3">
            <w:pPr>
              <w:spacing w:line="240" w:lineRule="auto"/>
              <w:rPr>
                <w:sz w:val="18"/>
                <w:szCs w:val="18"/>
              </w:rPr>
            </w:pPr>
          </w:p>
        </w:tc>
        <w:tc>
          <w:tcPr>
            <w:tcW w:w="709" w:type="dxa"/>
            <w:gridSpan w:val="2"/>
            <w:tcBorders>
              <w:left w:val="nil"/>
              <w:right w:val="nil"/>
            </w:tcBorders>
          </w:tcPr>
          <w:p w:rsidR="00F176D3" w:rsidRDefault="00F176D3">
            <w:pPr>
              <w:spacing w:line="240" w:lineRule="auto"/>
              <w:jc w:val="center"/>
              <w:rPr>
                <w:sz w:val="18"/>
                <w:szCs w:val="18"/>
              </w:rPr>
            </w:pPr>
          </w:p>
        </w:tc>
        <w:tc>
          <w:tcPr>
            <w:tcW w:w="10862" w:type="dxa"/>
            <w:tcBorders>
              <w:left w:val="nil"/>
              <w:right w:val="nil"/>
            </w:tcBorders>
          </w:tcPr>
          <w:p w:rsidR="00F176D3" w:rsidRDefault="00F176D3">
            <w:pPr>
              <w:spacing w:line="240" w:lineRule="auto"/>
              <w:rPr>
                <w:b/>
                <w:bCs/>
                <w:color w:val="000000"/>
                <w:sz w:val="18"/>
                <w:szCs w:val="18"/>
              </w:rPr>
            </w:pPr>
          </w:p>
        </w:tc>
      </w:tr>
      <w:tr w:rsidR="00F176D3">
        <w:tc>
          <w:tcPr>
            <w:tcW w:w="2269" w:type="dxa"/>
            <w:tcBorders>
              <w:right w:val="nil"/>
            </w:tcBorders>
            <w:shd w:val="clear" w:color="auto" w:fill="DEEAF6"/>
          </w:tcPr>
          <w:p w:rsidR="00F176D3" w:rsidRDefault="00F176D3">
            <w:pPr>
              <w:spacing w:line="240" w:lineRule="auto"/>
              <w:rPr>
                <w:b/>
                <w:bCs/>
                <w:sz w:val="18"/>
                <w:szCs w:val="18"/>
              </w:rPr>
            </w:pPr>
            <w:r>
              <w:rPr>
                <w:b/>
                <w:bCs/>
                <w:sz w:val="18"/>
                <w:szCs w:val="18"/>
              </w:rPr>
              <w:t>STAGE 4:</w:t>
            </w:r>
          </w:p>
        </w:tc>
        <w:tc>
          <w:tcPr>
            <w:tcW w:w="709" w:type="dxa"/>
            <w:gridSpan w:val="2"/>
            <w:tcBorders>
              <w:left w:val="nil"/>
              <w:right w:val="nil"/>
            </w:tcBorders>
            <w:shd w:val="clear" w:color="auto" w:fill="DEEAF6"/>
          </w:tcPr>
          <w:p w:rsidR="00F176D3" w:rsidRDefault="00F176D3">
            <w:pPr>
              <w:spacing w:line="240" w:lineRule="auto"/>
              <w:jc w:val="center"/>
              <w:rPr>
                <w:sz w:val="18"/>
                <w:szCs w:val="18"/>
              </w:rPr>
            </w:pPr>
          </w:p>
        </w:tc>
        <w:tc>
          <w:tcPr>
            <w:tcW w:w="10862" w:type="dxa"/>
            <w:tcBorders>
              <w:left w:val="nil"/>
            </w:tcBorders>
            <w:shd w:val="clear" w:color="auto" w:fill="DEEAF6"/>
          </w:tcPr>
          <w:p w:rsidR="00F176D3" w:rsidRDefault="00F176D3">
            <w:pPr>
              <w:spacing w:line="240" w:lineRule="auto"/>
              <w:rPr>
                <w:sz w:val="18"/>
                <w:szCs w:val="18"/>
              </w:rPr>
            </w:pPr>
          </w:p>
        </w:tc>
      </w:tr>
      <w:tr w:rsidR="00F176D3">
        <w:tc>
          <w:tcPr>
            <w:tcW w:w="2269" w:type="dxa"/>
            <w:tcBorders>
              <w:bottom w:val="nil"/>
            </w:tcBorders>
          </w:tcPr>
          <w:p w:rsidR="00F176D3" w:rsidRDefault="00F176D3">
            <w:pPr>
              <w:spacing w:line="240" w:lineRule="auto"/>
              <w:rPr>
                <w:sz w:val="18"/>
                <w:szCs w:val="18"/>
              </w:rPr>
            </w:pPr>
            <w:r>
              <w:rPr>
                <w:sz w:val="18"/>
                <w:szCs w:val="18"/>
              </w:rPr>
              <w:t>Title and Abstract</w:t>
            </w:r>
          </w:p>
        </w:tc>
        <w:tc>
          <w:tcPr>
            <w:tcW w:w="709" w:type="dxa"/>
            <w:gridSpan w:val="2"/>
            <w:tcBorders>
              <w:bottom w:val="nil"/>
            </w:tcBorders>
          </w:tcPr>
          <w:p w:rsidR="00F176D3" w:rsidRDefault="00F176D3">
            <w:pPr>
              <w:spacing w:line="240" w:lineRule="auto"/>
              <w:jc w:val="center"/>
              <w:rPr>
                <w:b/>
                <w:bCs/>
                <w:sz w:val="18"/>
                <w:szCs w:val="18"/>
              </w:rPr>
            </w:pPr>
            <w:r>
              <w:rPr>
                <w:color w:val="000000"/>
                <w:sz w:val="18"/>
                <w:szCs w:val="18"/>
              </w:rPr>
              <w:t>1a</w:t>
            </w:r>
          </w:p>
        </w:tc>
        <w:tc>
          <w:tcPr>
            <w:tcW w:w="10862" w:type="dxa"/>
          </w:tcPr>
          <w:p w:rsidR="00F176D3" w:rsidRDefault="00F176D3">
            <w:pPr>
              <w:spacing w:line="240" w:lineRule="auto"/>
              <w:rPr>
                <w:b/>
                <w:bCs/>
                <w:sz w:val="18"/>
                <w:szCs w:val="18"/>
              </w:rPr>
            </w:pPr>
            <w:r>
              <w:rPr>
                <w:b/>
                <w:bCs/>
                <w:color w:val="000000"/>
                <w:sz w:val="18"/>
                <w:szCs w:val="18"/>
              </w:rPr>
              <w:t>Identify the study design and the IDEAL stage in the title or abstract</w:t>
            </w:r>
          </w:p>
        </w:tc>
      </w:tr>
      <w:tr w:rsidR="00F176D3">
        <w:tc>
          <w:tcPr>
            <w:tcW w:w="2269" w:type="dxa"/>
            <w:tcBorders>
              <w:top w:val="nil"/>
            </w:tcBorders>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b/>
                <w:bCs/>
                <w:sz w:val="18"/>
                <w:szCs w:val="18"/>
              </w:rPr>
            </w:pPr>
            <w:r>
              <w:rPr>
                <w:sz w:val="18"/>
                <w:szCs w:val="18"/>
              </w:rPr>
              <w:t>1b</w:t>
            </w:r>
          </w:p>
        </w:tc>
        <w:tc>
          <w:tcPr>
            <w:tcW w:w="10862" w:type="dxa"/>
          </w:tcPr>
          <w:p w:rsidR="00F176D3" w:rsidRDefault="00F176D3">
            <w:pPr>
              <w:spacing w:line="240" w:lineRule="auto"/>
              <w:rPr>
                <w:b/>
                <w:bCs/>
                <w:sz w:val="18"/>
                <w:szCs w:val="18"/>
              </w:rPr>
            </w:pPr>
            <w:r>
              <w:rPr>
                <w:b/>
                <w:bCs/>
                <w:sz w:val="18"/>
                <w:szCs w:val="18"/>
              </w:rPr>
              <w:t>Provide a structured summary of background, methods, results, and conclusions</w:t>
            </w:r>
          </w:p>
        </w:tc>
      </w:tr>
      <w:tr w:rsidR="00F176D3">
        <w:tc>
          <w:tcPr>
            <w:tcW w:w="2269" w:type="dxa"/>
            <w:tcBorders>
              <w:right w:val="nil"/>
            </w:tcBorders>
          </w:tcPr>
          <w:p w:rsidR="00F176D3" w:rsidRDefault="00F176D3">
            <w:pPr>
              <w:spacing w:line="240" w:lineRule="auto"/>
              <w:rPr>
                <w:b/>
                <w:bCs/>
                <w:sz w:val="18"/>
                <w:szCs w:val="18"/>
              </w:rPr>
            </w:pPr>
            <w:r>
              <w:rPr>
                <w:b/>
                <w:bCs/>
                <w:sz w:val="18"/>
                <w:szCs w:val="18"/>
              </w:rPr>
              <w:t>Introduction</w:t>
            </w:r>
          </w:p>
        </w:tc>
        <w:tc>
          <w:tcPr>
            <w:tcW w:w="709" w:type="dxa"/>
            <w:gridSpan w:val="2"/>
            <w:tcBorders>
              <w:left w:val="nil"/>
              <w:right w:val="nil"/>
            </w:tcBorders>
          </w:tcPr>
          <w:p w:rsidR="00F176D3" w:rsidRDefault="00F176D3">
            <w:pPr>
              <w:spacing w:line="240" w:lineRule="auto"/>
              <w:jc w:val="center"/>
              <w:rPr>
                <w:b/>
                <w:bCs/>
                <w:sz w:val="18"/>
                <w:szCs w:val="18"/>
              </w:rPr>
            </w:pPr>
          </w:p>
        </w:tc>
        <w:tc>
          <w:tcPr>
            <w:tcW w:w="10862" w:type="dxa"/>
            <w:tcBorders>
              <w:left w:val="nil"/>
            </w:tcBorders>
          </w:tcPr>
          <w:p w:rsidR="00F176D3" w:rsidRDefault="00F176D3">
            <w:pPr>
              <w:spacing w:line="240" w:lineRule="auto"/>
              <w:rPr>
                <w:sz w:val="18"/>
                <w:szCs w:val="18"/>
              </w:rPr>
            </w:pPr>
          </w:p>
        </w:tc>
      </w:tr>
      <w:tr w:rsidR="00F176D3">
        <w:tc>
          <w:tcPr>
            <w:tcW w:w="2269" w:type="dxa"/>
            <w:tcBorders>
              <w:bottom w:val="nil"/>
            </w:tcBorders>
          </w:tcPr>
          <w:p w:rsidR="00F176D3" w:rsidRDefault="00F176D3">
            <w:pPr>
              <w:spacing w:line="240" w:lineRule="auto"/>
              <w:rPr>
                <w:sz w:val="18"/>
                <w:szCs w:val="18"/>
              </w:rPr>
            </w:pPr>
            <w:r>
              <w:rPr>
                <w:sz w:val="18"/>
                <w:szCs w:val="18"/>
              </w:rPr>
              <w:t>Background and objectives</w:t>
            </w:r>
          </w:p>
        </w:tc>
        <w:tc>
          <w:tcPr>
            <w:tcW w:w="709" w:type="dxa"/>
            <w:gridSpan w:val="2"/>
            <w:tcBorders>
              <w:bottom w:val="nil"/>
            </w:tcBorders>
          </w:tcPr>
          <w:p w:rsidR="00F176D3" w:rsidRDefault="00F176D3">
            <w:pPr>
              <w:spacing w:line="240" w:lineRule="auto"/>
              <w:jc w:val="center"/>
              <w:rPr>
                <w:sz w:val="18"/>
                <w:szCs w:val="18"/>
              </w:rPr>
            </w:pPr>
            <w:r>
              <w:rPr>
                <w:sz w:val="18"/>
                <w:szCs w:val="18"/>
              </w:rPr>
              <w:t>2a</w:t>
            </w:r>
          </w:p>
        </w:tc>
        <w:tc>
          <w:tcPr>
            <w:tcW w:w="10862" w:type="dxa"/>
          </w:tcPr>
          <w:p w:rsidR="00F176D3" w:rsidRDefault="00F176D3">
            <w:pPr>
              <w:spacing w:line="240" w:lineRule="auto"/>
              <w:rPr>
                <w:b/>
                <w:bCs/>
                <w:sz w:val="18"/>
                <w:szCs w:val="18"/>
              </w:rPr>
            </w:pPr>
            <w:r>
              <w:rPr>
                <w:b/>
                <w:bCs/>
                <w:sz w:val="18"/>
                <w:szCs w:val="18"/>
              </w:rPr>
              <w:t>Identify the study design and the IDEAL stage in the title or abstract.</w:t>
            </w:r>
          </w:p>
        </w:tc>
      </w:tr>
      <w:tr w:rsidR="00F176D3">
        <w:tc>
          <w:tcPr>
            <w:tcW w:w="2269" w:type="dxa"/>
            <w:tcBorders>
              <w:top w:val="nil"/>
            </w:tcBorders>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2b</w:t>
            </w:r>
          </w:p>
        </w:tc>
        <w:tc>
          <w:tcPr>
            <w:tcW w:w="10862" w:type="dxa"/>
          </w:tcPr>
          <w:p w:rsidR="00F176D3" w:rsidRDefault="00F176D3">
            <w:pPr>
              <w:spacing w:line="240" w:lineRule="auto"/>
              <w:rPr>
                <w:sz w:val="18"/>
                <w:szCs w:val="18"/>
              </w:rPr>
            </w:pPr>
            <w:r>
              <w:rPr>
                <w:b/>
                <w:bCs/>
                <w:sz w:val="18"/>
                <w:szCs w:val="18"/>
              </w:rPr>
              <w:t xml:space="preserve">Specific objectives stated, which may include recognizing late or uncommon safety outcomes, identification of changes in the use of procedure/device, risk adjustment, quality assurance, and effectiveness measurement. </w:t>
            </w:r>
            <w:r>
              <w:rPr>
                <w:sz w:val="18"/>
                <w:szCs w:val="18"/>
              </w:rPr>
              <w:t>Example: “We assessed the patterns of changing indications, clinical characteristics, procedural details, complications, and outcomes from the UK TAVI registry.”</w:t>
            </w:r>
            <w:r>
              <w:rPr>
                <w:sz w:val="18"/>
                <w:szCs w:val="18"/>
              </w:rPr>
              <w:fldChar w:fldCharType="begin" w:fldLock="1"/>
            </w:r>
            <w:r>
              <w:rPr>
                <w:sz w:val="18"/>
                <w:szCs w:val="18"/>
              </w:rPr>
              <w:instrText>ADDIN CSL_CITATION {"citationItems":[{"id":"ITEM-1","itemData":{"DOI":"10.1161/CIRCULATIONAHA.114.013947","ISSN":"0009-7322","PMID":"25637628","abstract":"BACKGROUND We assessed trends in the performance of transcatheter aortic valve implantation in the United Kingdom from the first case in 2007 to the end of 2012. We analyzed changes in case mix, complications, outcomes to 6 years, and predictors of mortality. METHODS AND RESULTS Annual cohorts were examined. Mortality outcomes were analyzed in the 92% of patients from England and Wales for whom independent mortality tracking was available. A total of 3980 transcatheter aortic valve implantation procedures were performed. In successive years, there was an increase in frequency of impaired left ventricular function, but there was no change in Logistic EuroSCORE. Overall 30-day mortality was 6.3%; it was highest in the first cohort (2007-2008), after which there were no further significant changes. One-year survival was 81.7%, falling to 37.3% at 6 years. Discharge by day 5 rose from 16.7% in 2007 and 2008 to 28% in 2012. The only multivariate preprocedural predictor of 30-day mortality was Logistic EuroSCORE ≥40. During long-term follow-up, multivariate predictors of mortality were preprocedural atrial fibrillation, chronic obstructive pulmonary disease, creatinine &gt;200 μmol/L, diabetes mellitus, and coronary artery disease. The strongest independent procedural predictor of long-term mortality was periprocedural stroke (hazard ratio=3.00; P&lt;0.0001). Nonfemoral access and postprocedural aortic regurgitation were also significant predictors of adverse outcome. CONCLUSIONS We analyzed transcatheter aortic valve implantation in an entire country, with follow-up over 6 years. Although clinical profiles of enrolled patients remained unchanged, longer-term outcomes improved, and patients were discharged earlier. Periprocedural stroke, nonfemoral access, and postprocedural aortic regurgitation are predictors of adverse outcome, along with intrinsic patient risk factors.","author":[{"dropping-particle":"","family":"Ludman","given":"Peter F.","non-dropping-particle":"","parse-names":false,"suffix":""},{"dropping-particle":"","family":"Moat","given":"Neil","non-dropping-particle":"","parse-names":false,"suffix":""},{"dropping-particle":"","family":"Belder","given":"Mark A","non-dropping-particle":"de","parse-names":false,"suffix":""},{"dropping-particle":"","family":"Blackman","given":"Daniel J.","non-dropping-particle":"","parse-names":false,"suffix":""},{"dropping-particle":"","family":"Duncan","given":"Alison","non-dropping-particle":"","parse-names":false,"suffix":""},{"dropping-particle":"","family":"Banya","given":"Winston","non-dropping-particle":"","parse-names":false,"suffix":""},{"dropping-particle":"","family":"MacCarthy","given":"Philip A.","non-dropping-particle":"","parse-names":false,"suffix":""},{"dropping-particle":"","family":"Cunningham","given":"David","non-dropping-particle":"","parse-names":false,"suffix":""},{"dropping-particle":"","family":"Wendler","given":"Olaf","non-dropping-particle":"","parse-names":false,"suffix":""},{"dropping-particle":"","family":"Marlee","given":"Damian","non-dropping-particle":"","parse-names":false,"suffix":""},{"dropping-particle":"","family":"Hildick-Smith","given":"David","non-dropping-particle":"","parse-names":false,"suffix":""},{"dropping-particle":"","family":"Young","given":"Christopher P.","non-dropping-particle":"","parse-names":false,"suffix":""},{"dropping-particle":"","family":"Kovac","given":"Jan","non-dropping-particle":"","parse-names":false,"suffix":""},{"dropping-particle":"","family":"Uren","given":"Neal G.","non-dropping-particle":"","parse-names":false,"suffix":""},{"dropping-particle":"","family":"Spyt","given":"Tomasz","non-dropping-particle":"","parse-names":false,"suffix":""},{"dropping-particle":"","family":"Trivedi","given":"Uday","non-dropping-particle":"","parse-names":false,"suffix":""},{"dropping-particle":"","family":"Howell","given":"Jonathan","non-dropping-particle":"","parse-names":false,"suffix":""},{"dropping-particle":"","family":"Gray","given":"Huon","non-dropping-particle":"","parse-names":false,"suffix":""}],"container-title":"Circulation","id":"ITEM-1","issue":"13","issued":{"date-parts":[["2015","3","31"]]},"page":"1181-1190","title":"Transcatheter Aortic Valve Implantation in the United Kingdom","type":"article-journal","volume":"131"},"uris":["http://www.mendeley.com/documents/?uuid=643589dd-e9e9-4b8d-8ad4-36e819333bc6"]}],"mendeley":{"formattedCitation":"&lt;sup&gt;14&lt;/sup&gt;","plainTextFormattedCitation":"14","previouslyFormattedCitation":"&lt;sup&gt;14&lt;/sup&gt;"},"properties":{"noteIndex":0},"schema":"https://github.com/citation-style-language/schema/raw/master/csl-citation.json"}</w:instrText>
            </w:r>
            <w:r>
              <w:rPr>
                <w:sz w:val="18"/>
                <w:szCs w:val="18"/>
              </w:rPr>
              <w:fldChar w:fldCharType="separate"/>
            </w:r>
            <w:r>
              <w:rPr>
                <w:noProof/>
                <w:sz w:val="18"/>
                <w:szCs w:val="18"/>
                <w:vertAlign w:val="superscript"/>
              </w:rPr>
              <w:t>14</w:t>
            </w:r>
            <w:r>
              <w:rPr>
                <w:sz w:val="18"/>
                <w:szCs w:val="18"/>
              </w:rPr>
              <w:fldChar w:fldCharType="end"/>
            </w:r>
          </w:p>
        </w:tc>
      </w:tr>
      <w:tr w:rsidR="00F176D3">
        <w:tc>
          <w:tcPr>
            <w:tcW w:w="2269" w:type="dxa"/>
            <w:tcBorders>
              <w:right w:val="nil"/>
            </w:tcBorders>
          </w:tcPr>
          <w:p w:rsidR="00F176D3" w:rsidRDefault="00F176D3">
            <w:pPr>
              <w:spacing w:line="240" w:lineRule="auto"/>
              <w:rPr>
                <w:b/>
                <w:bCs/>
                <w:sz w:val="18"/>
                <w:szCs w:val="18"/>
              </w:rPr>
            </w:pPr>
            <w:r>
              <w:rPr>
                <w:b/>
                <w:bCs/>
                <w:sz w:val="18"/>
                <w:szCs w:val="18"/>
              </w:rPr>
              <w:t>Methods</w:t>
            </w:r>
          </w:p>
        </w:tc>
        <w:tc>
          <w:tcPr>
            <w:tcW w:w="709" w:type="dxa"/>
            <w:gridSpan w:val="2"/>
            <w:tcBorders>
              <w:left w:val="nil"/>
              <w:right w:val="nil"/>
            </w:tcBorders>
          </w:tcPr>
          <w:p w:rsidR="00F176D3" w:rsidRDefault="00F176D3">
            <w:pPr>
              <w:spacing w:line="240" w:lineRule="auto"/>
              <w:jc w:val="center"/>
              <w:rPr>
                <w:b/>
                <w:bCs/>
                <w:sz w:val="18"/>
                <w:szCs w:val="18"/>
              </w:rPr>
            </w:pPr>
          </w:p>
        </w:tc>
        <w:tc>
          <w:tcPr>
            <w:tcW w:w="10862" w:type="dxa"/>
            <w:tcBorders>
              <w:left w:val="nil"/>
            </w:tcBorders>
          </w:tcPr>
          <w:p w:rsidR="00F176D3" w:rsidRDefault="00F176D3">
            <w:pPr>
              <w:spacing w:line="240" w:lineRule="auto"/>
              <w:rPr>
                <w:sz w:val="18"/>
                <w:szCs w:val="18"/>
              </w:rPr>
            </w:pPr>
          </w:p>
        </w:tc>
      </w:tr>
      <w:tr w:rsidR="00F176D3">
        <w:tc>
          <w:tcPr>
            <w:tcW w:w="2269" w:type="dxa"/>
          </w:tcPr>
          <w:p w:rsidR="00F176D3" w:rsidRDefault="00F176D3">
            <w:pPr>
              <w:spacing w:line="240" w:lineRule="auto"/>
              <w:rPr>
                <w:b/>
                <w:bCs/>
                <w:sz w:val="18"/>
                <w:szCs w:val="18"/>
              </w:rPr>
            </w:pPr>
            <w:r>
              <w:rPr>
                <w:sz w:val="18"/>
                <w:szCs w:val="18"/>
              </w:rPr>
              <w:t>Design</w:t>
            </w:r>
          </w:p>
        </w:tc>
        <w:tc>
          <w:tcPr>
            <w:tcW w:w="709" w:type="dxa"/>
            <w:gridSpan w:val="2"/>
          </w:tcPr>
          <w:p w:rsidR="00F176D3" w:rsidRDefault="00F176D3">
            <w:pPr>
              <w:spacing w:line="240" w:lineRule="auto"/>
              <w:jc w:val="center"/>
              <w:rPr>
                <w:b/>
                <w:bCs/>
                <w:sz w:val="18"/>
                <w:szCs w:val="18"/>
              </w:rPr>
            </w:pPr>
            <w:r>
              <w:rPr>
                <w:sz w:val="18"/>
                <w:szCs w:val="18"/>
              </w:rPr>
              <w:t>3</w:t>
            </w:r>
          </w:p>
        </w:tc>
        <w:tc>
          <w:tcPr>
            <w:tcW w:w="10862" w:type="dxa"/>
          </w:tcPr>
          <w:p w:rsidR="00F176D3" w:rsidRDefault="00F176D3">
            <w:pPr>
              <w:spacing w:line="240" w:lineRule="auto"/>
              <w:rPr>
                <w:sz w:val="18"/>
                <w:szCs w:val="18"/>
                <w:lang w:val="en-US"/>
              </w:rPr>
            </w:pPr>
            <w:r>
              <w:rPr>
                <w:b/>
                <w:bCs/>
                <w:sz w:val="18"/>
                <w:szCs w:val="18"/>
                <w:lang w:val="en-US"/>
              </w:rPr>
              <w:t xml:space="preserve">Describe the study design (e.g. registry, cohort analysis of real-world data, etc).  </w:t>
            </w:r>
            <w:r>
              <w:rPr>
                <w:sz w:val="18"/>
                <w:szCs w:val="18"/>
                <w:lang w:val="en-US"/>
              </w:rPr>
              <w:t>Example:</w:t>
            </w:r>
            <w:r>
              <w:rPr>
                <w:b/>
                <w:bCs/>
                <w:sz w:val="18"/>
                <w:szCs w:val="18"/>
                <w:lang w:val="en-US"/>
              </w:rPr>
              <w:t xml:space="preserve"> </w:t>
            </w:r>
            <w:r>
              <w:rPr>
                <w:sz w:val="18"/>
                <w:szCs w:val="18"/>
                <w:lang w:val="en-US"/>
              </w:rPr>
              <w:t>“Data were obtained from the Australian Orthopaedic Organisation National Joint Replacement Registry (AOANJRR), collected from September 1, 1999, until December 31, 2013, for 2 cohorts: those who received a cemented</w:t>
            </w:r>
            <w:r>
              <w:rPr>
                <w:b/>
                <w:bCs/>
                <w:sz w:val="18"/>
                <w:szCs w:val="18"/>
                <w:lang w:val="en-US"/>
              </w:rPr>
              <w:t xml:space="preserve"> </w:t>
            </w:r>
            <w:r>
              <w:rPr>
                <w:sz w:val="18"/>
                <w:szCs w:val="18"/>
                <w:lang w:val="en-US"/>
              </w:rPr>
              <w:t>Genesis-II cruciate-retaining TKA with a CoCr femoral component and those who received the same design of total knee replacement but with an Oxinium femoral component.”</w:t>
            </w:r>
            <w:r>
              <w:rPr>
                <w:sz w:val="18"/>
                <w:szCs w:val="18"/>
                <w:lang w:val="en-US"/>
              </w:rPr>
              <w:fldChar w:fldCharType="begin" w:fldLock="1"/>
            </w:r>
            <w:r>
              <w:rPr>
                <w:sz w:val="18"/>
                <w:szCs w:val="18"/>
                <w:lang w:val="en-US"/>
              </w:rPr>
              <w:instrText>ADDIN CSL_CITATION {"citationItems":[{"id":"ITEM-1","itemData":{"DOI":"10.2106/JBJS.16.00092","ISSN":"0021-9355","abstract":"Background: Oxidized zirconium (Oxinium) was introduced as an alternative bearing surface to cobalt-chromium (CoCr) in an attempt to reduce polyethylene wear and decrease aseptic mechanical failure of total knee replacements. While noncomparative reports have been described as promising, we were aware of no short or long-term clinical studies showing the superiority of Oxinium on polyethylene as a bearing surface. Using data from a comprehensive national joint replacement registry, we compared the long-term outcomes after cruciate-retaining total knee arthroplasty (TKA) with an Oxinium femoral component and those with the same prosthetic design but with a CoCr femoral component. Methods: The cohorts consisted of 17,577 cemented Genesis-II cruciate-retaining total knee replacements using noncross- linked polyethylene, which included 11,608 with CoCr femoral components and 5,969 with Oxinium femoral components. The cumulative percent revision and hazard ratio (HR) for revision risk were estimated for the cemented Genesis-II Oxinium and CoCr cruciate-retaining TKAs performed in Australia from September 1, 1999, to December 31, 2013. In addition, the revision diagnoses and the effects of age and patellar resurfacing were examined. Results: No difference in the HR for revision risk was found between the Oxinium and CoCr cohorts for any age category for all causes of revision (HR = 0.92 [95% confidence interval (CI), 0.92 to 1.29]; p = 0.329), loosening or lysis, or aseptic causes, except for loosening or lysis in the group of patients who were 75 years old (p = 0.033). In these patients, TKA with Oxinium femoral components had a higher rate of revision. Younger patients preferentially received Oxinium femoral components. The revision risk was not affected by patellar resurfacing or nonresurfacing. At 12 years, the cumulative percent revision was 4.8% (95% CI, 4.2% to 5.4%) for the CoCr Genesis-II prosthesis compared with 7.7% (95% CI, 6.2% to 9.5%) for the Oxinium Genesis-II prosthesis. Conclusions: In this cohort study involving the same prosthetic design, Oxinium femoral components did not reduce revision rates for all causes, loosening or lysis, or when infection as a cause of revision was removed compared with the same CoCr femoral component across all age groups including patients who were &lt;55 years old. The cumulative percent revision was greater for the Oxinium components than for the CoCr components. Level of Evidence: Therapeutic Level III. See Inst…","author":[{"dropping-particle":"","family":"Vertullo","given":"Christopher J.","non-dropping-particle":"","parse-names":false,"suffix":""},{"dropping-particle":"","family":"Lewis","given":"Peter L.","non-dropping-particle":"","parse-names":false,"suffix":""},{"dropping-particle":"","family":"Graves","given":"Stephen","non-dropping-particle":"","parse-names":false,"suffix":""},{"dropping-particle":"","family":"Kelly","given":"Lan","non-dropping-particle":"","parse-names":false,"suffix":""},{"dropping-particle":"","family":"Lorimer","given":"Michelle","non-dropping-particle":"","parse-names":false,"suffix":""},{"dropping-particle":"","family":"Myers","given":"Peter","non-dropping-particle":"","parse-names":false,"suffix":""}],"container-title":"The Journal of Bone and Joint Surgery","id":"ITEM-1","issue":"4","issued":{"date-parts":[["2017","2"]]},"page":"275-283","title":"Twelve-Year Outcomes of an Oxinium Total Knee Replacement Compared with the Same Cobalt-Chromium Design","type":"article-journal","volume":"99"},"uris":["http://www.mendeley.com/documents/?uuid=a718cec0-ca44-48ff-8e9b-8f23173bcc3c"]}],"mendeley":{"formattedCitation":"&lt;sup&gt;15&lt;/sup&gt;","plainTextFormattedCitation":"15","previouslyFormattedCitation":"&lt;sup&gt;15&lt;/sup&gt;"},"properties":{"noteIndex":0},"schema":"https://github.com/citation-style-language/schema/raw/master/csl-citation.json"}</w:instrText>
            </w:r>
            <w:r>
              <w:rPr>
                <w:sz w:val="18"/>
                <w:szCs w:val="18"/>
                <w:lang w:val="en-US"/>
              </w:rPr>
              <w:fldChar w:fldCharType="separate"/>
            </w:r>
            <w:r>
              <w:rPr>
                <w:noProof/>
                <w:sz w:val="18"/>
                <w:szCs w:val="18"/>
                <w:vertAlign w:val="superscript"/>
                <w:lang w:val="en-US"/>
              </w:rPr>
              <w:t>15</w:t>
            </w:r>
            <w:r>
              <w:rPr>
                <w:sz w:val="18"/>
                <w:szCs w:val="18"/>
                <w:lang w:val="en-US"/>
              </w:rPr>
              <w:fldChar w:fldCharType="end"/>
            </w:r>
          </w:p>
        </w:tc>
      </w:tr>
      <w:tr w:rsidR="00F176D3">
        <w:tc>
          <w:tcPr>
            <w:tcW w:w="2269" w:type="dxa"/>
            <w:tcBorders>
              <w:bottom w:val="nil"/>
            </w:tcBorders>
          </w:tcPr>
          <w:p w:rsidR="00F176D3" w:rsidRDefault="00F176D3">
            <w:pPr>
              <w:spacing w:line="240" w:lineRule="auto"/>
              <w:rPr>
                <w:b/>
                <w:bCs/>
                <w:sz w:val="18"/>
                <w:szCs w:val="18"/>
              </w:rPr>
            </w:pPr>
            <w:r>
              <w:rPr>
                <w:sz w:val="18"/>
                <w:szCs w:val="18"/>
              </w:rPr>
              <w:t>Data Source</w:t>
            </w:r>
          </w:p>
        </w:tc>
        <w:tc>
          <w:tcPr>
            <w:tcW w:w="709" w:type="dxa"/>
            <w:gridSpan w:val="2"/>
            <w:tcBorders>
              <w:bottom w:val="nil"/>
            </w:tcBorders>
          </w:tcPr>
          <w:p w:rsidR="00F176D3" w:rsidRDefault="00F176D3">
            <w:pPr>
              <w:spacing w:line="240" w:lineRule="auto"/>
              <w:jc w:val="center"/>
              <w:rPr>
                <w:b/>
                <w:bCs/>
                <w:sz w:val="18"/>
                <w:szCs w:val="18"/>
              </w:rPr>
            </w:pPr>
            <w:r>
              <w:rPr>
                <w:sz w:val="18"/>
                <w:szCs w:val="18"/>
              </w:rPr>
              <w:t>4a</w:t>
            </w:r>
          </w:p>
        </w:tc>
        <w:tc>
          <w:tcPr>
            <w:tcW w:w="10862" w:type="dxa"/>
          </w:tcPr>
          <w:p w:rsidR="00F176D3" w:rsidRDefault="00F176D3">
            <w:pPr>
              <w:spacing w:line="240" w:lineRule="auto"/>
              <w:rPr>
                <w:b/>
                <w:bCs/>
                <w:color w:val="000000"/>
                <w:sz w:val="18"/>
                <w:szCs w:val="18"/>
              </w:rPr>
            </w:pPr>
            <w:r>
              <w:rPr>
                <w:b/>
                <w:bCs/>
                <w:color w:val="000000"/>
                <w:sz w:val="18"/>
                <w:szCs w:val="18"/>
              </w:rPr>
              <w:t xml:space="preserve">Describe the dataset, including who designed and funds it and who curates and manages it, addressing possible conflicts of interest. Describe whether the dataset was purposely designed for research or collected as a routine database. </w:t>
            </w:r>
            <w:r>
              <w:rPr>
                <w:color w:val="000000"/>
                <w:sz w:val="18"/>
                <w:szCs w:val="18"/>
              </w:rPr>
              <w:t>Example:</w:t>
            </w:r>
            <w:r>
              <w:rPr>
                <w:b/>
                <w:bCs/>
                <w:color w:val="000000"/>
                <w:sz w:val="18"/>
                <w:szCs w:val="18"/>
              </w:rPr>
              <w:t xml:space="preserve"> </w:t>
            </w:r>
            <w:r>
              <w:rPr>
                <w:color w:val="000000"/>
                <w:sz w:val="18"/>
                <w:szCs w:val="18"/>
              </w:rPr>
              <w:t>“The UK TAVI data set was collected using the Web-based interface from the National Institute of Cardiovascular Outcomes Research. The data set remained unchanged until the end of December 2012.”</w:t>
            </w:r>
            <w:r>
              <w:rPr>
                <w:color w:val="000000"/>
                <w:sz w:val="18"/>
                <w:szCs w:val="18"/>
              </w:rPr>
              <w:fldChar w:fldCharType="begin" w:fldLock="1"/>
            </w:r>
            <w:r>
              <w:rPr>
                <w:color w:val="000000"/>
                <w:sz w:val="18"/>
                <w:szCs w:val="18"/>
              </w:rPr>
              <w:instrText>ADDIN CSL_CITATION {"citationItems":[{"id":"ITEM-1","itemData":{"DOI":"10.1161/CIRCULATIONAHA.114.013947","ISSN":"0009-7322","PMID":"25637628","abstract":"BACKGROUND We assessed trends in the performance of transcatheter aortic valve implantation in the United Kingdom from the first case in 2007 to the end of 2012. We analyzed changes in case mix, complications, outcomes to 6 years, and predictors of mortality. METHODS AND RESULTS Annual cohorts were examined. Mortality outcomes were analyzed in the 92% of patients from England and Wales for whom independent mortality tracking was available. A total of 3980 transcatheter aortic valve implantation procedures were performed. In successive years, there was an increase in frequency of impaired left ventricular function, but there was no change in Logistic EuroSCORE. Overall 30-day mortality was 6.3%; it was highest in the first cohort (2007-2008), after which there were no further significant changes. One-year survival was 81.7%, falling to 37.3% at 6 years. Discharge by day 5 rose from 16.7% in 2007 and 2008 to 28% in 2012. The only multivariate preprocedural predictor of 30-day mortality was Logistic EuroSCORE ≥40. During long-term follow-up, multivariate predictors of mortality were preprocedural atrial fibrillation, chronic obstructive pulmonary disease, creatinine &gt;200 μmol/L, diabetes mellitus, and coronary artery disease. The strongest independent procedural predictor of long-term mortality was periprocedural stroke (hazard ratio=3.00; P&lt;0.0001). Nonfemoral access and postprocedural aortic regurgitation were also significant predictors of adverse outcome. CONCLUSIONS We analyzed transcatheter aortic valve implantation in an entire country, with follow-up over 6 years. Although clinical profiles of enrolled patients remained unchanged, longer-term outcomes improved, and patients were discharged earlier. Periprocedural stroke, nonfemoral access, and postprocedural aortic regurgitation are predictors of adverse outcome, along with intrinsic patient risk factors.","author":[{"dropping-particle":"","family":"Ludman","given":"Peter F.","non-dropping-particle":"","parse-names":false,"suffix":""},{"dropping-particle":"","family":"Moat","given":"Neil","non-dropping-particle":"","parse-names":false,"suffix":""},{"dropping-particle":"","family":"Belder","given":"Mark A","non-dropping-particle":"de","parse-names":false,"suffix":""},{"dropping-particle":"","family":"Blackman","given":"Daniel J.","non-dropping-particle":"","parse-names":false,"suffix":""},{"dropping-particle":"","family":"Duncan","given":"Alison","non-dropping-particle":"","parse-names":false,"suffix":""},{"dropping-particle":"","family":"Banya","given":"Winston","non-dropping-particle":"","parse-names":false,"suffix":""},{"dropping-particle":"","family":"MacCarthy","given":"Philip A.","non-dropping-particle":"","parse-names":false,"suffix":""},{"dropping-particle":"","family":"Cunningham","given":"David","non-dropping-particle":"","parse-names":false,"suffix":""},{"dropping-particle":"","family":"Wendler","given":"Olaf","non-dropping-particle":"","parse-names":false,"suffix":""},{"dropping-particle":"","family":"Marlee","given":"Damian","non-dropping-particle":"","parse-names":false,"suffix":""},{"dropping-particle":"","family":"Hildick-Smith","given":"David","non-dropping-particle":"","parse-names":false,"suffix":""},{"dropping-particle":"","family":"Young","given":"Christopher P.","non-dropping-particle":"","parse-names":false,"suffix":""},{"dropping-particle":"","family":"Kovac","given":"Jan","non-dropping-particle":"","parse-names":false,"suffix":""},{"dropping-particle":"","family":"Uren","given":"Neal G.","non-dropping-particle":"","parse-names":false,"suffix":""},{"dropping-particle":"","family":"Spyt","given":"Tomasz","non-dropping-particle":"","parse-names":false,"suffix":""},{"dropping-particle":"","family":"Trivedi","given":"Uday","non-dropping-particle":"","parse-names":false,"suffix":""},{"dropping-particle":"","family":"Howell","given":"Jonathan","non-dropping-particle":"","parse-names":false,"suffix":""},{"dropping-particle":"","family":"Gray","given":"Huon","non-dropping-particle":"","parse-names":false,"suffix":""}],"container-title":"Circulation","id":"ITEM-1","issue":"13","issued":{"date-parts":[["2015","3","31"]]},"page":"1181-1190","title":"Transcatheter Aortic Valve Implantation in the United Kingdom","type":"article-journal","volume":"131"},"uris":["http://www.mendeley.com/documents/?uuid=643589dd-e9e9-4b8d-8ad4-36e819333bc6"]}],"mendeley":{"formattedCitation":"&lt;sup&gt;14&lt;/sup&gt;","plainTextFormattedCitation":"14","previouslyFormattedCitation":"&lt;sup&gt;14&lt;/sup&gt;"},"properties":{"noteIndex":0},"schema":"https://github.com/citation-style-language/schema/raw/master/csl-citation.json"}</w:instrText>
            </w:r>
            <w:r>
              <w:rPr>
                <w:color w:val="000000"/>
                <w:sz w:val="18"/>
                <w:szCs w:val="18"/>
              </w:rPr>
              <w:fldChar w:fldCharType="separate"/>
            </w:r>
            <w:r>
              <w:rPr>
                <w:noProof/>
                <w:color w:val="000000"/>
                <w:sz w:val="18"/>
                <w:szCs w:val="18"/>
                <w:vertAlign w:val="superscript"/>
              </w:rPr>
              <w:t>14</w:t>
            </w:r>
            <w:r>
              <w:rPr>
                <w:color w:val="000000"/>
                <w:sz w:val="18"/>
                <w:szCs w:val="18"/>
              </w:rPr>
              <w:fldChar w:fldCharType="end"/>
            </w:r>
          </w:p>
        </w:tc>
      </w:tr>
      <w:tr w:rsidR="00F176D3">
        <w:tc>
          <w:tcPr>
            <w:tcW w:w="2269" w:type="dxa"/>
            <w:tcBorders>
              <w:top w:val="nil"/>
            </w:tcBorders>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4b</w:t>
            </w:r>
          </w:p>
        </w:tc>
        <w:tc>
          <w:tcPr>
            <w:tcW w:w="10862" w:type="dxa"/>
          </w:tcPr>
          <w:p w:rsidR="00F176D3" w:rsidRDefault="00F176D3">
            <w:pPr>
              <w:spacing w:line="240" w:lineRule="auto"/>
              <w:rPr>
                <w:b/>
                <w:bCs/>
                <w:sz w:val="18"/>
                <w:szCs w:val="18"/>
              </w:rPr>
            </w:pPr>
            <w:r>
              <w:rPr>
                <w:b/>
                <w:bCs/>
                <w:sz w:val="18"/>
                <w:szCs w:val="18"/>
              </w:rPr>
              <w:t xml:space="preserve">Structured data fields described or referenced and each item defined, definitions included as an appendix or supplement when necessary. </w:t>
            </w:r>
            <w:r>
              <w:rPr>
                <w:sz w:val="18"/>
                <w:szCs w:val="18"/>
              </w:rPr>
              <w:t>Example:</w:t>
            </w:r>
            <w:r>
              <w:rPr>
                <w:b/>
                <w:bCs/>
                <w:sz w:val="18"/>
                <w:szCs w:val="18"/>
              </w:rPr>
              <w:t xml:space="preserve"> </w:t>
            </w:r>
            <w:r>
              <w:rPr>
                <w:sz w:val="18"/>
                <w:szCs w:val="18"/>
              </w:rPr>
              <w:t>“The National Cardiovascular Data Repository (NCDR) CathPCI Registry was used as the data source.”</w:t>
            </w:r>
            <w:r>
              <w:rPr>
                <w:sz w:val="18"/>
                <w:szCs w:val="18"/>
              </w:rPr>
              <w:fldChar w:fldCharType="begin" w:fldLock="1"/>
            </w:r>
            <w:r>
              <w:rPr>
                <w:sz w:val="18"/>
                <w:szCs w:val="18"/>
              </w:rPr>
              <w:instrText>ADDIN CSL_CITATION {"citationItems":[{"id":"ITEM-1","itemData":{"DOI":"10.1056/NEJMoa1516333","ISBN":"2163684814","ISSN":"0028-4793","abstract":"file:///C:/Users/Marika/Desktop/università di pavia/articoli/strategie per l'infertilità/nihms964087.pdf","author":[{"dropping-particle":"","family":"Resnic","given":"Frederic S.","non-dropping-particle":"","parse-names":false,"suffix":""},{"dropping-particle":"","family":"Majithia","given":"Arjun","non-dropping-particle":"","parse-names":false,"suffix":""},{"dropping-particle":"","family":"Marinac-Dabic","given":"Danica","non-dropping-particle":"","parse-names":false,"suffix":""},{"dropping-particle":"","family":"Robbins","given":"Susan","non-dropping-particle":"","parse-names":false,"suffix":""},{"dropping-particle":"","family":"Ssemaganda","given":"Henry","non-dropping-particle":"","parse-names":false,"suffix":""},{"dropping-particle":"","family":"Hewitt","given":"Kathleen","non-dropping-particle":"","parse-names":false,"suffix":""},{"dropping-particle":"","family":"Ponirakis","given":"Angelo","non-dropping-particle":"","parse-names":false,"suffix":""},{"dropping-particle":"","family":"Loyo-Berrios","given":"Nilsa","non-dropping-particle":"","parse-names":false,"suffix":""},{"dropping-particle":"","family":"Moussa","given":"Issam","non-dropping-particle":"","parse-names":false,"suffix":""},{"dropping-particle":"","family":"Drozda","given":"Joseph","non-dropping-particle":"","parse-names":false,"suffix":""},{"dropping-particle":"","family":"Normand","given":"Sharon-Lise","non-dropping-particle":"","parse-names":false,"suffix":""},{"dropping-particle":"","family":"Matheny","given":"Michael E.","non-dropping-particle":"","parse-names":false,"suffix":""}],"container-title":"New England Journal of Medicine","id":"ITEM-1","issue":"6","issued":{"date-parts":[["2017","2","9"]]},"page":"526-535","title":"Registry-Based Prospective, Active Surveillance of Medical-Device Safety","type":"article-journal","volume":"376"},"uris":["http://www.mendeley.com/documents/?uuid=2d418286-0a3d-462d-8bcc-990601697e03"]}],"mendeley":{"formattedCitation":"&lt;sup&gt;16&lt;/sup&gt;","plainTextFormattedCitation":"16","previouslyFormattedCitation":"&lt;sup&gt;16&lt;/sup&gt;"},"properties":{"noteIndex":0},"schema":"https://github.com/citation-style-language/schema/raw/master/csl-citation.json"}</w:instrText>
            </w:r>
            <w:r>
              <w:rPr>
                <w:sz w:val="18"/>
                <w:szCs w:val="18"/>
              </w:rPr>
              <w:fldChar w:fldCharType="separate"/>
            </w:r>
            <w:r>
              <w:rPr>
                <w:noProof/>
                <w:sz w:val="18"/>
                <w:szCs w:val="18"/>
                <w:vertAlign w:val="superscript"/>
              </w:rPr>
              <w:t>16</w:t>
            </w:r>
            <w:r>
              <w:rPr>
                <w:sz w:val="18"/>
                <w:szCs w:val="18"/>
              </w:rPr>
              <w:fldChar w:fldCharType="end"/>
            </w:r>
          </w:p>
        </w:tc>
      </w:tr>
      <w:tr w:rsidR="00F176D3">
        <w:tc>
          <w:tcPr>
            <w:tcW w:w="2269" w:type="dxa"/>
          </w:tcPr>
          <w:p w:rsidR="00F176D3" w:rsidRDefault="00F176D3">
            <w:pPr>
              <w:spacing w:line="240" w:lineRule="auto"/>
              <w:rPr>
                <w:b/>
                <w:bCs/>
                <w:sz w:val="18"/>
                <w:szCs w:val="18"/>
              </w:rPr>
            </w:pPr>
            <w:r>
              <w:rPr>
                <w:sz w:val="18"/>
                <w:szCs w:val="18"/>
              </w:rPr>
              <w:t>Participants</w:t>
            </w:r>
          </w:p>
        </w:tc>
        <w:tc>
          <w:tcPr>
            <w:tcW w:w="709" w:type="dxa"/>
            <w:gridSpan w:val="2"/>
          </w:tcPr>
          <w:p w:rsidR="00F176D3" w:rsidRDefault="00F176D3">
            <w:pPr>
              <w:spacing w:line="240" w:lineRule="auto"/>
              <w:jc w:val="center"/>
              <w:rPr>
                <w:b/>
                <w:bCs/>
                <w:sz w:val="18"/>
                <w:szCs w:val="18"/>
              </w:rPr>
            </w:pPr>
            <w:r>
              <w:rPr>
                <w:sz w:val="18"/>
                <w:szCs w:val="18"/>
              </w:rPr>
              <w:t>5</w:t>
            </w:r>
          </w:p>
        </w:tc>
        <w:tc>
          <w:tcPr>
            <w:tcW w:w="10862" w:type="dxa"/>
          </w:tcPr>
          <w:p w:rsidR="00F176D3" w:rsidRDefault="00F176D3">
            <w:pPr>
              <w:spacing w:line="240" w:lineRule="auto"/>
              <w:rPr>
                <w:sz w:val="18"/>
                <w:szCs w:val="18"/>
              </w:rPr>
            </w:pPr>
            <w:r>
              <w:rPr>
                <w:b/>
                <w:bCs/>
                <w:sz w:val="18"/>
                <w:szCs w:val="18"/>
              </w:rPr>
              <w:t xml:space="preserve">Detailed account of inclusion and exclusion criteria for subjects. </w:t>
            </w:r>
            <w:r>
              <w:rPr>
                <w:color w:val="000000"/>
                <w:sz w:val="18"/>
                <w:szCs w:val="18"/>
              </w:rPr>
              <w:t>Example: “Only patients with a valve implanted in the aortic position were included. Patient eligibility for a procedure was decided in each center by a multidisciplinary team composed of interventional cardiologists, imaging cardiologists, cardiothoracic surgeons, and anesthetists. Case ascertainment was performed by comparing the center’s reported numbers of total procedures with the number of procedures uploaded to the National Institute of Cardiovascular Outcomes Research servers.”</w:t>
            </w:r>
            <w:r>
              <w:rPr>
                <w:color w:val="000000"/>
                <w:sz w:val="18"/>
                <w:szCs w:val="18"/>
              </w:rPr>
              <w:fldChar w:fldCharType="begin" w:fldLock="1"/>
            </w:r>
            <w:r>
              <w:rPr>
                <w:color w:val="000000"/>
                <w:sz w:val="18"/>
                <w:szCs w:val="18"/>
              </w:rPr>
              <w:instrText>ADDIN CSL_CITATION {"citationItems":[{"id":"ITEM-1","itemData":{"DOI":"10.1161/CIRCULATIONAHA.114.013947","ISSN":"0009-7322","PMID":"25637628","abstract":"BACKGROUND We assessed trends in the performance of transcatheter aortic valve implantation in the United Kingdom from the first case in 2007 to the end of 2012. We analyzed changes in case mix, complications, outcomes to 6 years, and predictors of mortality. METHODS AND RESULTS Annual cohorts were examined. Mortality outcomes were analyzed in the 92% of patients from England and Wales for whom independent mortality tracking was available. A total of 3980 transcatheter aortic valve implantation procedures were performed. In successive years, there was an increase in frequency of impaired left ventricular function, but there was no change in Logistic EuroSCORE. Overall 30-day mortality was 6.3%; it was highest in the first cohort (2007-2008), after which there were no further significant changes. One-year survival was 81.7%, falling to 37.3% at 6 years. Discharge by day 5 rose from 16.7% in 2007 and 2008 to 28% in 2012. The only multivariate preprocedural predictor of 30-day mortality was Logistic EuroSCORE ≥40. During long-term follow-up, multivariate predictors of mortality were preprocedural atrial fibrillation, chronic obstructive pulmonary disease, creatinine &gt;200 μmol/L, diabetes mellitus, and coronary artery disease. The strongest independent procedural predictor of long-term mortality was periprocedural stroke (hazard ratio=3.00; P&lt;0.0001). Nonfemoral access and postprocedural aortic regurgitation were also significant predictors of adverse outcome. CONCLUSIONS We analyzed transcatheter aortic valve implantation in an entire country, with follow-up over 6 years. Although clinical profiles of enrolled patients remained unchanged, longer-term outcomes improved, and patients were discharged earlier. Periprocedural stroke, nonfemoral access, and postprocedural aortic regurgitation are predictors of adverse outcome, along with intrinsic patient risk factors.","author":[{"dropping-particle":"","family":"Ludman","given":"Peter F.","non-dropping-particle":"","parse-names":false,"suffix":""},{"dropping-particle":"","family":"Moat","given":"Neil","non-dropping-particle":"","parse-names":false,"suffix":""},{"dropping-particle":"","family":"Belder","given":"Mark A","non-dropping-particle":"de","parse-names":false,"suffix":""},{"dropping-particle":"","family":"Blackman","given":"Daniel J.","non-dropping-particle":"","parse-names":false,"suffix":""},{"dropping-particle":"","family":"Duncan","given":"Alison","non-dropping-particle":"","parse-names":false,"suffix":""},{"dropping-particle":"","family":"Banya","given":"Winston","non-dropping-particle":"","parse-names":false,"suffix":""},{"dropping-particle":"","family":"MacCarthy","given":"Philip A.","non-dropping-particle":"","parse-names":false,"suffix":""},{"dropping-particle":"","family":"Cunningham","given":"David","non-dropping-particle":"","parse-names":false,"suffix":""},{"dropping-particle":"","family":"Wendler","given":"Olaf","non-dropping-particle":"","parse-names":false,"suffix":""},{"dropping-particle":"","family":"Marlee","given":"Damian","non-dropping-particle":"","parse-names":false,"suffix":""},{"dropping-particle":"","family":"Hildick-Smith","given":"David","non-dropping-particle":"","parse-names":false,"suffix":""},{"dropping-particle":"","family":"Young","given":"Christopher P.","non-dropping-particle":"","parse-names":false,"suffix":""},{"dropping-particle":"","family":"Kovac","given":"Jan","non-dropping-particle":"","parse-names":false,"suffix":""},{"dropping-particle":"","family":"Uren","given":"Neal G.","non-dropping-particle":"","parse-names":false,"suffix":""},{"dropping-particle":"","family":"Spyt","given":"Tomasz","non-dropping-particle":"","parse-names":false,"suffix":""},{"dropping-particle":"","family":"Trivedi","given":"Uday","non-dropping-particle":"","parse-names":false,"suffix":""},{"dropping-particle":"","family":"Howell","given":"Jonathan","non-dropping-particle":"","parse-names":false,"suffix":""},{"dropping-particle":"","family":"Gray","given":"Huon","non-dropping-particle":"","parse-names":false,"suffix":""}],"container-title":"Circulation","id":"ITEM-1","issue":"13","issued":{"date-parts":[["2015","3","31"]]},"page":"1181-1190","title":"Transcatheter Aortic Valve Implantation in the United Kingdom","type":"article-journal","volume":"131"},"uris":["http://www.mendeley.com/documents/?uuid=643589dd-e9e9-4b8d-8ad4-36e819333bc6"]}],"mendeley":{"formattedCitation":"&lt;sup&gt;14&lt;/sup&gt;","plainTextFormattedCitation":"14","previouslyFormattedCitation":"&lt;sup&gt;14&lt;/sup&gt;"},"properties":{"noteIndex":0},"schema":"https://github.com/citation-style-language/schema/raw/master/csl-citation.json"}</w:instrText>
            </w:r>
            <w:r>
              <w:rPr>
                <w:color w:val="000000"/>
                <w:sz w:val="18"/>
                <w:szCs w:val="18"/>
              </w:rPr>
              <w:fldChar w:fldCharType="separate"/>
            </w:r>
            <w:r>
              <w:rPr>
                <w:noProof/>
                <w:color w:val="000000"/>
                <w:sz w:val="18"/>
                <w:szCs w:val="18"/>
                <w:vertAlign w:val="superscript"/>
              </w:rPr>
              <w:t>14</w:t>
            </w:r>
            <w:r>
              <w:rPr>
                <w:color w:val="000000"/>
                <w:sz w:val="18"/>
                <w:szCs w:val="18"/>
              </w:rPr>
              <w:fldChar w:fldCharType="end"/>
            </w:r>
          </w:p>
        </w:tc>
      </w:tr>
      <w:tr w:rsidR="00F176D3">
        <w:tc>
          <w:tcPr>
            <w:tcW w:w="2269" w:type="dxa"/>
          </w:tcPr>
          <w:p w:rsidR="00F176D3" w:rsidRDefault="00F176D3">
            <w:pPr>
              <w:spacing w:line="240" w:lineRule="auto"/>
              <w:rPr>
                <w:b/>
                <w:bCs/>
                <w:sz w:val="18"/>
                <w:szCs w:val="18"/>
              </w:rPr>
            </w:pPr>
            <w:r>
              <w:rPr>
                <w:sz w:val="18"/>
                <w:szCs w:val="18"/>
              </w:rPr>
              <w:t>Intervention</w:t>
            </w:r>
          </w:p>
        </w:tc>
        <w:tc>
          <w:tcPr>
            <w:tcW w:w="709" w:type="dxa"/>
            <w:gridSpan w:val="2"/>
          </w:tcPr>
          <w:p w:rsidR="00F176D3" w:rsidRDefault="00F176D3">
            <w:pPr>
              <w:spacing w:line="240" w:lineRule="auto"/>
              <w:jc w:val="center"/>
              <w:rPr>
                <w:b/>
                <w:bCs/>
                <w:sz w:val="18"/>
                <w:szCs w:val="18"/>
              </w:rPr>
            </w:pPr>
            <w:r>
              <w:rPr>
                <w:sz w:val="18"/>
                <w:szCs w:val="18"/>
              </w:rPr>
              <w:t>6</w:t>
            </w:r>
          </w:p>
        </w:tc>
        <w:tc>
          <w:tcPr>
            <w:tcW w:w="10862" w:type="dxa"/>
          </w:tcPr>
          <w:p w:rsidR="00F176D3" w:rsidRDefault="00F176D3">
            <w:pPr>
              <w:spacing w:line="240" w:lineRule="auto"/>
              <w:rPr>
                <w:sz w:val="18"/>
                <w:szCs w:val="18"/>
              </w:rPr>
            </w:pPr>
            <w:r>
              <w:rPr>
                <w:b/>
                <w:bCs/>
                <w:sz w:val="18"/>
                <w:szCs w:val="18"/>
              </w:rPr>
              <w:t xml:space="preserve">Describe or reference the intervention/device being monitored, and comparator if applicable. </w:t>
            </w:r>
            <w:r>
              <w:rPr>
                <w:sz w:val="18"/>
                <w:szCs w:val="18"/>
              </w:rPr>
              <w:t>Example: “The main valve technologies available were the Edwards Sapien and later the Sapien XT, as well as the Medtronic CoreValve. A transfemoral approach was the default strategy for all patients. For those treated with the Medtronic CoreValve, there was later experience with a subclavian and direct aortic approach. For the Edwards Sapien devices, a transapical approach was used when a transfemoral route was not possible, with more recent experience also using a direct aortic approach. From 2011 onward, a small number of valves from St. Jude Medical (Portico), Direct Flow, and JenaValve implanted.”</w:t>
            </w:r>
            <w:r>
              <w:rPr>
                <w:sz w:val="18"/>
                <w:szCs w:val="18"/>
              </w:rPr>
              <w:fldChar w:fldCharType="begin" w:fldLock="1"/>
            </w:r>
            <w:r>
              <w:rPr>
                <w:sz w:val="18"/>
                <w:szCs w:val="18"/>
              </w:rPr>
              <w:instrText>ADDIN CSL_CITATION {"citationItems":[{"id":"ITEM-1","itemData":{"DOI":"10.1161/CIRCULATIONAHA.114.013947","ISSN":"0009-7322","PMID":"25637628","abstract":"BACKGROUND We assessed trends in the performance of transcatheter aortic valve implantation in the United Kingdom from the first case in 2007 to the end of 2012. We analyzed changes in case mix, complications, outcomes to 6 years, and predictors of mortality. METHODS AND RESULTS Annual cohorts were examined. Mortality outcomes were analyzed in the 92% of patients from England and Wales for whom independent mortality tracking was available. A total of 3980 transcatheter aortic valve implantation procedures were performed. In successive years, there was an increase in frequency of impaired left ventricular function, but there was no change in Logistic EuroSCORE. Overall 30-day mortality was 6.3%; it was highest in the first cohort (2007-2008), after which there were no further significant changes. One-year survival was 81.7%, falling to 37.3% at 6 years. Discharge by day 5 rose from 16.7% in 2007 and 2008 to 28% in 2012. The only multivariate preprocedural predictor of 30-day mortality was Logistic EuroSCORE ≥40. During long-term follow-up, multivariate predictors of mortality were preprocedural atrial fibrillation, chronic obstructive pulmonary disease, creatinine &gt;200 μmol/L, diabetes mellitus, and coronary artery disease. The strongest independent procedural predictor of long-term mortality was periprocedural stroke (hazard ratio=3.00; P&lt;0.0001). Nonfemoral access and postprocedural aortic regurgitation were also significant predictors of adverse outcome. CONCLUSIONS We analyzed transcatheter aortic valve implantation in an entire country, with follow-up over 6 years. Although clinical profiles of enrolled patients remained unchanged, longer-term outcomes improved, and patients were discharged earlier. Periprocedural stroke, nonfemoral access, and postprocedural aortic regurgitation are predictors of adverse outcome, along with intrinsic patient risk factors.","author":[{"dropping-particle":"","family":"Ludman","given":"Peter F.","non-dropping-particle":"","parse-names":false,"suffix":""},{"dropping-particle":"","family":"Moat","given":"Neil","non-dropping-particle":"","parse-names":false,"suffix":""},{"dropping-particle":"","family":"Belder","given":"Mark A","non-dropping-particle":"de","parse-names":false,"suffix":""},{"dropping-particle":"","family":"Blackman","given":"Daniel J.","non-dropping-particle":"","parse-names":false,"suffix":""},{"dropping-particle":"","family":"Duncan","given":"Alison","non-dropping-particle":"","parse-names":false,"suffix":""},{"dropping-particle":"","family":"Banya","given":"Winston","non-dropping-particle":"","parse-names":false,"suffix":""},{"dropping-particle":"","family":"MacCarthy","given":"Philip A.","non-dropping-particle":"","parse-names":false,"suffix":""},{"dropping-particle":"","family":"Cunningham","given":"David","non-dropping-particle":"","parse-names":false,"suffix":""},{"dropping-particle":"","family":"Wendler","given":"Olaf","non-dropping-particle":"","parse-names":false,"suffix":""},{"dropping-particle":"","family":"Marlee","given":"Damian","non-dropping-particle":"","parse-names":false,"suffix":""},{"dropping-particle":"","family":"Hildick-Smith","given":"David","non-dropping-particle":"","parse-names":false,"suffix":""},{"dropping-particle":"","family":"Young","given":"Christopher P.","non-dropping-particle":"","parse-names":false,"suffix":""},{"dropping-particle":"","family":"Kovac","given":"Jan","non-dropping-particle":"","parse-names":false,"suffix":""},{"dropping-particle":"","family":"Uren","given":"Neal G.","non-dropping-particle":"","parse-names":false,"suffix":""},{"dropping-particle":"","family":"Spyt","given":"Tomasz","non-dropping-particle":"","parse-names":false,"suffix":""},{"dropping-particle":"","family":"Trivedi","given":"Uday","non-dropping-particle":"","parse-names":false,"suffix":""},{"dropping-particle":"","family":"Howell","given":"Jonathan","non-dropping-particle":"","parse-names":false,"suffix":""},{"dropping-particle":"","family":"Gray","given":"Huon","non-dropping-particle":"","parse-names":false,"suffix":""}],"container-title":"Circulation","id":"ITEM-1","issue":"13","issued":{"date-parts":[["2015","3","31"]]},"page":"1181-1190","title":"Transcatheter Aortic Valve Implantation in the United Kingdom","type":"article-journal","volume":"131"},"uris":["http://www.mendeley.com/documents/?uuid=643589dd-e9e9-4b8d-8ad4-36e819333bc6"]}],"mendeley":{"formattedCitation":"&lt;sup&gt;14&lt;/sup&gt;","plainTextFormattedCitation":"14","previouslyFormattedCitation":"&lt;sup&gt;14&lt;/sup&gt;"},"properties":{"noteIndex":0},"schema":"https://github.com/citation-style-language/schema/raw/master/csl-citation.json"}</w:instrText>
            </w:r>
            <w:r>
              <w:rPr>
                <w:sz w:val="18"/>
                <w:szCs w:val="18"/>
              </w:rPr>
              <w:fldChar w:fldCharType="separate"/>
            </w:r>
            <w:r>
              <w:rPr>
                <w:noProof/>
                <w:sz w:val="18"/>
                <w:szCs w:val="18"/>
                <w:vertAlign w:val="superscript"/>
              </w:rPr>
              <w:t>14</w:t>
            </w:r>
            <w:r>
              <w:rPr>
                <w:sz w:val="18"/>
                <w:szCs w:val="18"/>
              </w:rPr>
              <w:fldChar w:fldCharType="end"/>
            </w:r>
          </w:p>
        </w:tc>
      </w:tr>
      <w:tr w:rsidR="00F176D3">
        <w:tc>
          <w:tcPr>
            <w:tcW w:w="2269" w:type="dxa"/>
          </w:tcPr>
          <w:p w:rsidR="00F176D3" w:rsidRDefault="00F176D3">
            <w:pPr>
              <w:spacing w:line="240" w:lineRule="auto"/>
              <w:rPr>
                <w:b/>
                <w:bCs/>
                <w:sz w:val="18"/>
                <w:szCs w:val="18"/>
              </w:rPr>
            </w:pPr>
            <w:r>
              <w:rPr>
                <w:sz w:val="18"/>
                <w:szCs w:val="18"/>
              </w:rPr>
              <w:t>Outcomes</w:t>
            </w:r>
          </w:p>
        </w:tc>
        <w:tc>
          <w:tcPr>
            <w:tcW w:w="709" w:type="dxa"/>
            <w:gridSpan w:val="2"/>
          </w:tcPr>
          <w:p w:rsidR="00F176D3" w:rsidRDefault="00F176D3">
            <w:pPr>
              <w:spacing w:line="240" w:lineRule="auto"/>
              <w:jc w:val="center"/>
              <w:rPr>
                <w:b/>
                <w:bCs/>
                <w:sz w:val="18"/>
                <w:szCs w:val="18"/>
              </w:rPr>
            </w:pPr>
            <w:r>
              <w:rPr>
                <w:sz w:val="18"/>
                <w:szCs w:val="18"/>
              </w:rPr>
              <w:t>7</w:t>
            </w:r>
          </w:p>
        </w:tc>
        <w:tc>
          <w:tcPr>
            <w:tcW w:w="10862" w:type="dxa"/>
          </w:tcPr>
          <w:p w:rsidR="00F176D3" w:rsidRDefault="00F176D3">
            <w:pPr>
              <w:spacing w:line="240" w:lineRule="auto"/>
              <w:rPr>
                <w:sz w:val="18"/>
                <w:szCs w:val="18"/>
              </w:rPr>
            </w:pPr>
            <w:r>
              <w:rPr>
                <w:b/>
                <w:bCs/>
                <w:sz w:val="18"/>
                <w:szCs w:val="18"/>
              </w:rPr>
              <w:t xml:space="preserve">Description of pre-specified primary and secondary outcome measures selected and how they will be assessed, including patient reported outcome measures, when appropriate, utilising standardised and validated core outcomes sets, when available and applicable. When these are not available, provide rationale for the outcome measure used. </w:t>
            </w:r>
            <w:r>
              <w:rPr>
                <w:sz w:val="18"/>
                <w:szCs w:val="18"/>
              </w:rPr>
              <w:t xml:space="preserve">Example: “The primary safety outcome was overall vascular complications, a composite endpoint that included access-site bleeding requiring treatment, access-site hematoma requiring treatment, retroperitoneal bleeding, or any vascular complication requiring intervention. Secondary safety endpoints included access-site bleeding requiring treatment alone and post-procedural blood transfusion. All endpoints and covariates were defined according to the CathPCI version 4 data element definitions. All outcomes were assessed through time of hospital discharge, as limited by the CathPCI Registry dataset.” </w:t>
            </w:r>
            <w:r>
              <w:rPr>
                <w:sz w:val="18"/>
                <w:szCs w:val="18"/>
              </w:rPr>
              <w:fldChar w:fldCharType="begin" w:fldLock="1"/>
            </w:r>
            <w:r>
              <w:rPr>
                <w:sz w:val="18"/>
                <w:szCs w:val="18"/>
              </w:rPr>
              <w:instrText>ADDIN CSL_CITATION {"citationItems":[{"id":"ITEM-1","itemData":{"DOI":"10.1056/NEJMoa1516333","ISBN":"2163684814","ISSN":"0028-4793","abstract":"file:///C:/Users/Marika/Desktop/università di pavia/articoli/strategie per l'infertilità/nihms964087.pdf","author":[{"dropping-particle":"","family":"Resnic","given":"Frederic S.","non-dropping-particle":"","parse-names":false,"suffix":""},{"dropping-particle":"","family":"Majithia","given":"Arjun","non-dropping-particle":"","parse-names":false,"suffix":""},{"dropping-particle":"","family":"Marinac-Dabic","given":"Danica","non-dropping-particle":"","parse-names":false,"suffix":""},{"dropping-particle":"","family":"Robbins","given":"Susan","non-dropping-particle":"","parse-names":false,"suffix":""},{"dropping-particle":"","family":"Ssemaganda","given":"Henry","non-dropping-particle":"","parse-names":false,"suffix":""},{"dropping-particle":"","family":"Hewitt","given":"Kathleen","non-dropping-particle":"","parse-names":false,"suffix":""},{"dropping-particle":"","family":"Ponirakis","given":"Angelo","non-dropping-particle":"","parse-names":false,"suffix":""},{"dropping-particle":"","family":"Loyo-Berrios","given":"Nilsa","non-dropping-particle":"","parse-names":false,"suffix":""},{"dropping-particle":"","family":"Moussa","given":"Issam","non-dropping-particle":"","parse-names":false,"suffix":""},{"dropping-particle":"","family":"Drozda","given":"Joseph","non-dropping-particle":"","parse-names":false,"suffix":""},{"dropping-particle":"","family":"Normand","given":"Sharon-Lise","non-dropping-particle":"","parse-names":false,"suffix":""},{"dropping-particle":"","family":"Matheny","given":"Michael E.","non-dropping-particle":"","parse-names":false,"suffix":""}],"container-title":"New England Journal of Medicine","id":"ITEM-1","issue":"6","issued":{"date-parts":[["2017","2","9"]]},"page":"526-535","title":"Registry-Based Prospective, Active Surveillance of Medical-Device Safety","type":"article-journal","volume":"376"},"uris":["http://www.mendeley.com/documents/?uuid=2d418286-0a3d-462d-8bcc-990601697e03"]}],"mendeley":{"formattedCitation":"&lt;sup&gt;16&lt;/sup&gt;","plainTextFormattedCitation":"16","previouslyFormattedCitation":"&lt;sup&gt;16&lt;/sup&gt;"},"properties":{"noteIndex":0},"schema":"https://github.com/citation-style-language/schema/raw/master/csl-citation.json"}</w:instrText>
            </w:r>
            <w:r>
              <w:rPr>
                <w:sz w:val="18"/>
                <w:szCs w:val="18"/>
              </w:rPr>
              <w:fldChar w:fldCharType="separate"/>
            </w:r>
            <w:r>
              <w:rPr>
                <w:noProof/>
                <w:sz w:val="18"/>
                <w:szCs w:val="18"/>
                <w:vertAlign w:val="superscript"/>
              </w:rPr>
              <w:t>16</w:t>
            </w:r>
            <w:r>
              <w:rPr>
                <w:sz w:val="18"/>
                <w:szCs w:val="18"/>
              </w:rPr>
              <w:fldChar w:fldCharType="end"/>
            </w:r>
          </w:p>
        </w:tc>
      </w:tr>
      <w:tr w:rsidR="00F176D3">
        <w:tc>
          <w:tcPr>
            <w:tcW w:w="2269" w:type="dxa"/>
            <w:tcBorders>
              <w:bottom w:val="nil"/>
            </w:tcBorders>
          </w:tcPr>
          <w:p w:rsidR="00F176D3" w:rsidRDefault="00F176D3">
            <w:pPr>
              <w:spacing w:line="240" w:lineRule="auto"/>
              <w:rPr>
                <w:b/>
                <w:bCs/>
                <w:sz w:val="18"/>
                <w:szCs w:val="18"/>
              </w:rPr>
            </w:pPr>
            <w:r>
              <w:rPr>
                <w:sz w:val="18"/>
                <w:szCs w:val="18"/>
              </w:rPr>
              <w:t>Statistical methods</w:t>
            </w:r>
          </w:p>
        </w:tc>
        <w:tc>
          <w:tcPr>
            <w:tcW w:w="709" w:type="dxa"/>
            <w:gridSpan w:val="2"/>
            <w:tcBorders>
              <w:bottom w:val="nil"/>
            </w:tcBorders>
          </w:tcPr>
          <w:p w:rsidR="00F176D3" w:rsidRDefault="00F176D3">
            <w:pPr>
              <w:spacing w:line="240" w:lineRule="auto"/>
              <w:jc w:val="center"/>
              <w:rPr>
                <w:b/>
                <w:bCs/>
                <w:sz w:val="18"/>
                <w:szCs w:val="18"/>
              </w:rPr>
            </w:pPr>
            <w:r>
              <w:rPr>
                <w:sz w:val="18"/>
                <w:szCs w:val="18"/>
              </w:rPr>
              <w:t>8a</w:t>
            </w:r>
          </w:p>
        </w:tc>
        <w:tc>
          <w:tcPr>
            <w:tcW w:w="10862" w:type="dxa"/>
          </w:tcPr>
          <w:p w:rsidR="00F176D3" w:rsidRDefault="00F176D3">
            <w:pPr>
              <w:spacing w:line="240" w:lineRule="auto"/>
              <w:rPr>
                <w:sz w:val="18"/>
                <w:szCs w:val="18"/>
              </w:rPr>
            </w:pPr>
            <w:r>
              <w:rPr>
                <w:b/>
                <w:bCs/>
                <w:sz w:val="18"/>
                <w:szCs w:val="18"/>
              </w:rPr>
              <w:t xml:space="preserve">Statistical methods used to describe and assess patient characteristics and outcomes, including methods of additional analysis (e.g. pre-specified subgroup analysis), and methods to minimize confounding, where appropriate. </w:t>
            </w:r>
            <w:r>
              <w:rPr>
                <w:sz w:val="18"/>
                <w:szCs w:val="18"/>
              </w:rPr>
              <w:t>Example: “Categorical data are presented as percentages, and comparison between groups was performed by the χ2 test or the Fisher exact test. Numerical data are presented as mean (SD) or median and comparisons were performed with the 2-sample t test or the 2-sample Wilcoxon rank-sum (Mann-Whitney) test. To assess whether there was any trend in the occurrence of complications by the year of operation, a χ2 test for trend was performed, and univariate logistic regression was used to assess the risk of complications... Time-to-event data analysis was performed with the Cox proportional hazards model.…”</w:t>
            </w:r>
            <w:r>
              <w:rPr>
                <w:sz w:val="18"/>
                <w:szCs w:val="18"/>
              </w:rPr>
              <w:fldChar w:fldCharType="begin" w:fldLock="1"/>
            </w:r>
            <w:r>
              <w:rPr>
                <w:sz w:val="18"/>
                <w:szCs w:val="18"/>
              </w:rPr>
              <w:instrText>ADDIN CSL_CITATION {"citationItems":[{"id":"ITEM-1","itemData":{"DOI":"10.1161/CIRCULATIONAHA.114.013947","ISSN":"0009-7322","PMID":"25637628","abstract":"BACKGROUND We assessed trends in the performance of transcatheter aortic valve implantation in the United Kingdom from the first case in 2007 to the end of 2012. We analyzed changes in case mix, complications, outcomes to 6 years, and predictors of mortality. METHODS AND RESULTS Annual cohorts were examined. Mortality outcomes were analyzed in the 92% of patients from England and Wales for whom independent mortality tracking was available. A total of 3980 transcatheter aortic valve implantation procedures were performed. In successive years, there was an increase in frequency of impaired left ventricular function, but there was no change in Logistic EuroSCORE. Overall 30-day mortality was 6.3%; it was highest in the first cohort (2007-2008), after which there were no further significant changes. One-year survival was 81.7%, falling to 37.3% at 6 years. Discharge by day 5 rose from 16.7% in 2007 and 2008 to 28% in 2012. The only multivariate preprocedural predictor of 30-day mortality was Logistic EuroSCORE ≥40. During long-term follow-up, multivariate predictors of mortality were preprocedural atrial fibrillation, chronic obstructive pulmonary disease, creatinine &gt;200 μmol/L, diabetes mellitus, and coronary artery disease. The strongest independent procedural predictor of long-term mortality was periprocedural stroke (hazard ratio=3.00; P&lt;0.0001). Nonfemoral access and postprocedural aortic regurgitation were also significant predictors of adverse outcome. CONCLUSIONS We analyzed transcatheter aortic valve implantation in an entire country, with follow-up over 6 years. Although clinical profiles of enrolled patients remained unchanged, longer-term outcomes improved, and patients were discharged earlier. Periprocedural stroke, nonfemoral access, and postprocedural aortic regurgitation are predictors of adverse outcome, along with intrinsic patient risk factors.","author":[{"dropping-particle":"","family":"Ludman","given":"Peter F.","non-dropping-particle":"","parse-names":false,"suffix":""},{"dropping-particle":"","family":"Moat","given":"Neil","non-dropping-particle":"","parse-names":false,"suffix":""},{"dropping-particle":"","family":"Belder","given":"Mark A","non-dropping-particle":"de","parse-names":false,"suffix":""},{"dropping-particle":"","family":"Blackman","given":"Daniel J.","non-dropping-particle":"","parse-names":false,"suffix":""},{"dropping-particle":"","family":"Duncan","given":"Alison","non-dropping-particle":"","parse-names":false,"suffix":""},{"dropping-particle":"","family":"Banya","given":"Winston","non-dropping-particle":"","parse-names":false,"suffix":""},{"dropping-particle":"","family":"MacCarthy","given":"Philip A.","non-dropping-particle":"","parse-names":false,"suffix":""},{"dropping-particle":"","family":"Cunningham","given":"David","non-dropping-particle":"","parse-names":false,"suffix":""},{"dropping-particle":"","family":"Wendler","given":"Olaf","non-dropping-particle":"","parse-names":false,"suffix":""},{"dropping-particle":"","family":"Marlee","given":"Damian","non-dropping-particle":"","parse-names":false,"suffix":""},{"dropping-particle":"","family":"Hildick-Smith","given":"David","non-dropping-particle":"","parse-names":false,"suffix":""},{"dropping-particle":"","family":"Young","given":"Christopher P.","non-dropping-particle":"","parse-names":false,"suffix":""},{"dropping-particle":"","family":"Kovac","given":"Jan","non-dropping-particle":"","parse-names":false,"suffix":""},{"dropping-particle":"","family":"Uren","given":"Neal G.","non-dropping-particle":"","parse-names":false,"suffix":""},{"dropping-particle":"","family":"Spyt","given":"Tomasz","non-dropping-particle":"","parse-names":false,"suffix":""},{"dropping-particle":"","family":"Trivedi","given":"Uday","non-dropping-particle":"","parse-names":false,"suffix":""},{"dropping-particle":"","family":"Howell","given":"Jonathan","non-dropping-particle":"","parse-names":false,"suffix":""},{"dropping-particle":"","family":"Gray","given":"Huon","non-dropping-particle":"","parse-names":false,"suffix":""}],"container-title":"Circulation","id":"ITEM-1","issue":"13","issued":{"date-parts":[["2015","3","31"]]},"page":"1181-1190","title":"Transcatheter Aortic Valve Implantation in the United Kingdom","type":"article-journal","volume":"131"},"uris":["http://www.mendeley.com/documents/?uuid=643589dd-e9e9-4b8d-8ad4-36e819333bc6"]}],"mendeley":{"formattedCitation":"&lt;sup&gt;14&lt;/sup&gt;","plainTextFormattedCitation":"14","previouslyFormattedCitation":"&lt;sup&gt;14&lt;/sup&gt;"},"properties":{"noteIndex":0},"schema":"https://github.com/citation-style-language/schema/raw/master/csl-citation.json"}</w:instrText>
            </w:r>
            <w:r>
              <w:rPr>
                <w:sz w:val="18"/>
                <w:szCs w:val="18"/>
              </w:rPr>
              <w:fldChar w:fldCharType="separate"/>
            </w:r>
            <w:r>
              <w:rPr>
                <w:noProof/>
                <w:sz w:val="18"/>
                <w:szCs w:val="18"/>
                <w:vertAlign w:val="superscript"/>
              </w:rPr>
              <w:t>14</w:t>
            </w:r>
            <w:r>
              <w:rPr>
                <w:sz w:val="18"/>
                <w:szCs w:val="18"/>
              </w:rPr>
              <w:fldChar w:fldCharType="end"/>
            </w:r>
          </w:p>
        </w:tc>
      </w:tr>
      <w:tr w:rsidR="00F176D3">
        <w:tc>
          <w:tcPr>
            <w:tcW w:w="2269" w:type="dxa"/>
            <w:tcBorders>
              <w:top w:val="nil"/>
            </w:tcBorders>
          </w:tcPr>
          <w:p w:rsidR="00F176D3" w:rsidRDefault="00F176D3">
            <w:pPr>
              <w:spacing w:line="240" w:lineRule="auto"/>
              <w:rPr>
                <w:sz w:val="18"/>
                <w:szCs w:val="18"/>
              </w:rPr>
            </w:pPr>
          </w:p>
        </w:tc>
        <w:tc>
          <w:tcPr>
            <w:tcW w:w="709" w:type="dxa"/>
            <w:gridSpan w:val="2"/>
            <w:tcBorders>
              <w:top w:val="nil"/>
            </w:tcBorders>
          </w:tcPr>
          <w:p w:rsidR="00F176D3" w:rsidRDefault="00F176D3">
            <w:pPr>
              <w:spacing w:line="240" w:lineRule="auto"/>
              <w:jc w:val="center"/>
              <w:rPr>
                <w:sz w:val="18"/>
                <w:szCs w:val="18"/>
              </w:rPr>
            </w:pPr>
            <w:r>
              <w:rPr>
                <w:sz w:val="18"/>
                <w:szCs w:val="18"/>
              </w:rPr>
              <w:t>8b</w:t>
            </w:r>
          </w:p>
        </w:tc>
        <w:tc>
          <w:tcPr>
            <w:tcW w:w="10862" w:type="dxa"/>
          </w:tcPr>
          <w:p w:rsidR="00F176D3" w:rsidRDefault="00F176D3">
            <w:pPr>
              <w:spacing w:line="240" w:lineRule="auto"/>
              <w:rPr>
                <w:b/>
                <w:bCs/>
                <w:sz w:val="18"/>
                <w:szCs w:val="18"/>
              </w:rPr>
            </w:pPr>
            <w:r>
              <w:rPr>
                <w:b/>
                <w:bCs/>
                <w:sz w:val="18"/>
                <w:szCs w:val="18"/>
              </w:rPr>
              <w:t xml:space="preserve">Explanation of how missing data will be addressed. </w:t>
            </w:r>
            <w:r>
              <w:rPr>
                <w:sz w:val="18"/>
                <w:szCs w:val="18"/>
              </w:rPr>
              <w:t>Example: “Missing data were imputed using univariate rules, by assuming the absence of a clinical condition for dichotomous variables, and by using the median observed value for continuous variables. Additional sensitivity analyses included alternative approaches to handling missing data, as well as an analysis using center-level matching...”</w:t>
            </w:r>
            <w:r>
              <w:rPr>
                <w:sz w:val="18"/>
                <w:szCs w:val="18"/>
              </w:rPr>
              <w:fldChar w:fldCharType="begin" w:fldLock="1"/>
            </w:r>
            <w:r>
              <w:rPr>
                <w:sz w:val="18"/>
                <w:szCs w:val="18"/>
              </w:rPr>
              <w:instrText>ADDIN CSL_CITATION {"citationItems":[{"id":"ITEM-1","itemData":{"DOI":"10.1056/NEJMoa1516333","ISBN":"2163684814","ISSN":"0028-4793","abstract":"file:///C:/Users/Marika/Desktop/università di pavia/articoli/strategie per l'infertilità/nihms964087.pdf","author":[{"dropping-particle":"","family":"Resnic","given":"Frederic S.","non-dropping-particle":"","parse-names":false,"suffix":""},{"dropping-particle":"","family":"Majithia","given":"Arjun","non-dropping-particle":"","parse-names":false,"suffix":""},{"dropping-particle":"","family":"Marinac-Dabic","given":"Danica","non-dropping-particle":"","parse-names":false,"suffix":""},{"dropping-particle":"","family":"Robbins","given":"Susan","non-dropping-particle":"","parse-names":false,"suffix":""},{"dropping-particle":"","family":"Ssemaganda","given":"Henry","non-dropping-particle":"","parse-names":false,"suffix":""},{"dropping-particle":"","family":"Hewitt","given":"Kathleen","non-dropping-particle":"","parse-names":false,"suffix":""},{"dropping-particle":"","family":"Ponirakis","given":"Angelo","non-dropping-particle":"","parse-names":false,"suffix":""},{"dropping-particle":"","family":"Loyo-Berrios","given":"Nilsa","non-dropping-particle":"","parse-names":false,"suffix":""},{"dropping-particle":"","family":"Moussa","given":"Issam","non-dropping-particle":"","parse-names":false,"suffix":""},{"dropping-particle":"","family":"Drozda","given":"Joseph","non-dropping-particle":"","parse-names":false,"suffix":""},{"dropping-particle":"","family":"Normand","given":"Sharon-Lise","non-dropping-particle":"","parse-names":false,"suffix":""},{"dropping-particle":"","family":"Matheny","given":"Michael E.","non-dropping-particle":"","parse-names":false,"suffix":""}],"container-title":"New England Journal of Medicine","id":"ITEM-1","issue":"6","issued":{"date-parts":[["2017","2","9"]]},"page":"526-535","title":"Registry-Based Prospective, Active Surveillance of Medical-Device Safety","type":"article-journal","volume":"376"},"uris":["http://www.mendeley.com/documents/?uuid=2d418286-0a3d-462d-8bcc-990601697e03"]}],"mendeley":{"formattedCitation":"&lt;sup&gt;16&lt;/sup&gt;","plainTextFormattedCitation":"16","previouslyFormattedCitation":"&lt;sup&gt;16&lt;/sup&gt;"},"properties":{"noteIndex":0},"schema":"https://github.com/citation-style-language/schema/raw/master/csl-citation.json"}</w:instrText>
            </w:r>
            <w:r>
              <w:rPr>
                <w:sz w:val="18"/>
                <w:szCs w:val="18"/>
              </w:rPr>
              <w:fldChar w:fldCharType="separate"/>
            </w:r>
            <w:r>
              <w:rPr>
                <w:noProof/>
                <w:sz w:val="18"/>
                <w:szCs w:val="18"/>
                <w:vertAlign w:val="superscript"/>
              </w:rPr>
              <w:t>16</w:t>
            </w:r>
            <w:r>
              <w:rPr>
                <w:sz w:val="18"/>
                <w:szCs w:val="18"/>
              </w:rPr>
              <w:fldChar w:fldCharType="end"/>
            </w:r>
          </w:p>
        </w:tc>
      </w:tr>
      <w:tr w:rsidR="00F176D3">
        <w:tc>
          <w:tcPr>
            <w:tcW w:w="2269" w:type="dxa"/>
          </w:tcPr>
          <w:p w:rsidR="00F176D3" w:rsidRDefault="00F176D3">
            <w:pPr>
              <w:spacing w:line="240" w:lineRule="auto"/>
              <w:rPr>
                <w:b/>
                <w:bCs/>
                <w:sz w:val="18"/>
                <w:szCs w:val="18"/>
              </w:rPr>
            </w:pPr>
            <w:r>
              <w:rPr>
                <w:b/>
                <w:bCs/>
                <w:sz w:val="18"/>
                <w:szCs w:val="18"/>
              </w:rPr>
              <w:t>Results</w:t>
            </w:r>
          </w:p>
        </w:tc>
        <w:tc>
          <w:tcPr>
            <w:tcW w:w="709" w:type="dxa"/>
            <w:gridSpan w:val="2"/>
          </w:tcPr>
          <w:p w:rsidR="00F176D3" w:rsidRDefault="00F176D3">
            <w:pPr>
              <w:spacing w:line="240" w:lineRule="auto"/>
              <w:jc w:val="center"/>
              <w:rPr>
                <w:sz w:val="18"/>
                <w:szCs w:val="18"/>
              </w:rPr>
            </w:pPr>
          </w:p>
        </w:tc>
        <w:tc>
          <w:tcPr>
            <w:tcW w:w="10862" w:type="dxa"/>
          </w:tcPr>
          <w:p w:rsidR="00F176D3" w:rsidRDefault="00F176D3">
            <w:pPr>
              <w:spacing w:line="240" w:lineRule="auto"/>
              <w:rPr>
                <w:b/>
                <w:bCs/>
                <w:sz w:val="18"/>
                <w:szCs w:val="18"/>
              </w:rPr>
            </w:pPr>
          </w:p>
        </w:tc>
      </w:tr>
      <w:tr w:rsidR="00F176D3">
        <w:tc>
          <w:tcPr>
            <w:tcW w:w="2269" w:type="dxa"/>
            <w:tcBorders>
              <w:bottom w:val="nil"/>
            </w:tcBorders>
          </w:tcPr>
          <w:p w:rsidR="00F176D3" w:rsidRDefault="00F176D3">
            <w:pPr>
              <w:spacing w:line="240" w:lineRule="auto"/>
              <w:rPr>
                <w:b/>
                <w:bCs/>
                <w:sz w:val="18"/>
                <w:szCs w:val="18"/>
              </w:rPr>
            </w:pPr>
            <w:r>
              <w:rPr>
                <w:sz w:val="18"/>
                <w:szCs w:val="18"/>
              </w:rPr>
              <w:t>Baseline data</w:t>
            </w:r>
          </w:p>
        </w:tc>
        <w:tc>
          <w:tcPr>
            <w:tcW w:w="709" w:type="dxa"/>
            <w:gridSpan w:val="2"/>
            <w:tcBorders>
              <w:bottom w:val="nil"/>
            </w:tcBorders>
          </w:tcPr>
          <w:p w:rsidR="00F176D3" w:rsidRDefault="00F176D3">
            <w:pPr>
              <w:spacing w:line="240" w:lineRule="auto"/>
              <w:jc w:val="center"/>
              <w:rPr>
                <w:b/>
                <w:bCs/>
                <w:sz w:val="18"/>
                <w:szCs w:val="18"/>
              </w:rPr>
            </w:pPr>
            <w:r>
              <w:rPr>
                <w:sz w:val="18"/>
                <w:szCs w:val="18"/>
              </w:rPr>
              <w:t>9a</w:t>
            </w:r>
          </w:p>
        </w:tc>
        <w:tc>
          <w:tcPr>
            <w:tcW w:w="10862" w:type="dxa"/>
          </w:tcPr>
          <w:p w:rsidR="00F176D3" w:rsidRDefault="00F176D3">
            <w:pPr>
              <w:spacing w:line="240" w:lineRule="auto"/>
              <w:rPr>
                <w:sz w:val="18"/>
                <w:szCs w:val="18"/>
              </w:rPr>
            </w:pPr>
            <w:r>
              <w:rPr>
                <w:b/>
                <w:bCs/>
                <w:sz w:val="18"/>
                <w:szCs w:val="18"/>
              </w:rPr>
              <w:t xml:space="preserve">Patient demographic and clinical characteristics, and hospital/centre/operator characteristics. </w:t>
            </w:r>
            <w:r>
              <w:rPr>
                <w:sz w:val="18"/>
                <w:szCs w:val="18"/>
              </w:rPr>
              <w:t>Example: “There were no differences in age, sex, renal dysfunction, diabetes mellitus, previous myocardial infarction, previous cardiac surgery, previous percutaneous coronary intervention, pulmonary disease, and atrial fibrillation in each successive year. However, there was an increase in the treatment of patients with impaired left ventricular function; the percentage with left ventricular ejection fraction &lt;30% increased from 5.9% in 2007 and 2008 to 10.2% in 2012. In addition, fewer patients with previous stroke and peripheral vascular disease underwent TAVI in 2012 compared with 2007 and 2008.”</w:t>
            </w:r>
            <w:r>
              <w:rPr>
                <w:sz w:val="18"/>
                <w:szCs w:val="18"/>
              </w:rPr>
              <w:fldChar w:fldCharType="begin" w:fldLock="1"/>
            </w:r>
            <w:r>
              <w:rPr>
                <w:sz w:val="18"/>
                <w:szCs w:val="18"/>
              </w:rPr>
              <w:instrText>ADDIN CSL_CITATION {"citationItems":[{"id":"ITEM-1","itemData":{"DOI":"10.1161/CIRCULATIONAHA.114.013947","ISSN":"0009-7322","PMID":"25637628","abstract":"BACKGROUND We assessed trends in the performance of transcatheter aortic valve implantation in the United Kingdom from the first case in 2007 to the end of 2012. We analyzed changes in case mix, complications, outcomes to 6 years, and predictors of mortality. METHODS AND RESULTS Annual cohorts were examined. Mortality outcomes were analyzed in the 92% of patients from England and Wales for whom independent mortality tracking was available. A total of 3980 transcatheter aortic valve implantation procedures were performed. In successive years, there was an increase in frequency of impaired left ventricular function, but there was no change in Logistic EuroSCORE. Overall 30-day mortality was 6.3%; it was highest in the first cohort (2007-2008), after which there were no further significant changes. One-year survival was 81.7%, falling to 37.3% at 6 years. Discharge by day 5 rose from 16.7% in 2007 and 2008 to 28% in 2012. The only multivariate preprocedural predictor of 30-day mortality was Logistic EuroSCORE ≥40. During long-term follow-up, multivariate predictors of mortality were preprocedural atrial fibrillation, chronic obstructive pulmonary disease, creatinine &gt;200 μmol/L, diabetes mellitus, and coronary artery disease. The strongest independent procedural predictor of long-term mortality was periprocedural stroke (hazard ratio=3.00; P&lt;0.0001). Nonfemoral access and postprocedural aortic regurgitation were also significant predictors of adverse outcome. CONCLUSIONS We analyzed transcatheter aortic valve implantation in an entire country, with follow-up over 6 years. Although clinical profiles of enrolled patients remained unchanged, longer-term outcomes improved, and patients were discharged earlier. Periprocedural stroke, nonfemoral access, and postprocedural aortic regurgitation are predictors of adverse outcome, along with intrinsic patient risk factors.","author":[{"dropping-particle":"","family":"Ludman","given":"Peter F.","non-dropping-particle":"","parse-names":false,"suffix":""},{"dropping-particle":"","family":"Moat","given":"Neil","non-dropping-particle":"","parse-names":false,"suffix":""},{"dropping-particle":"","family":"Belder","given":"Mark A","non-dropping-particle":"de","parse-names":false,"suffix":""},{"dropping-particle":"","family":"Blackman","given":"Daniel J.","non-dropping-particle":"","parse-names":false,"suffix":""},{"dropping-particle":"","family":"Duncan","given":"Alison","non-dropping-particle":"","parse-names":false,"suffix":""},{"dropping-particle":"","family":"Banya","given":"Winston","non-dropping-particle":"","parse-names":false,"suffix":""},{"dropping-particle":"","family":"MacCarthy","given":"Philip A.","non-dropping-particle":"","parse-names":false,"suffix":""},{"dropping-particle":"","family":"Cunningham","given":"David","non-dropping-particle":"","parse-names":false,"suffix":""},{"dropping-particle":"","family":"Wendler","given":"Olaf","non-dropping-particle":"","parse-names":false,"suffix":""},{"dropping-particle":"","family":"Marlee","given":"Damian","non-dropping-particle":"","parse-names":false,"suffix":""},{"dropping-particle":"","family":"Hildick-Smith","given":"David","non-dropping-particle":"","parse-names":false,"suffix":""},{"dropping-particle":"","family":"Young","given":"Christopher P.","non-dropping-particle":"","parse-names":false,"suffix":""},{"dropping-particle":"","family":"Kovac","given":"Jan","non-dropping-particle":"","parse-names":false,"suffix":""},{"dropping-particle":"","family":"Uren","given":"Neal G.","non-dropping-particle":"","parse-names":false,"suffix":""},{"dropping-particle":"","family":"Spyt","given":"Tomasz","non-dropping-particle":"","parse-names":false,"suffix":""},{"dropping-particle":"","family":"Trivedi","given":"Uday","non-dropping-particle":"","parse-names":false,"suffix":""},{"dropping-particle":"","family":"Howell","given":"Jonathan","non-dropping-particle":"","parse-names":false,"suffix":""},{"dropping-particle":"","family":"Gray","given":"Huon","non-dropping-particle":"","parse-names":false,"suffix":""}],"container-title":"Circulation","id":"ITEM-1","issue":"13","issued":{"date-parts":[["2015","3","31"]]},"page":"1181-1190","title":"Transcatheter Aortic Valve Implantation in the United Kingdom","type":"article-journal","volume":"131"},"uris":["http://www.mendeley.com/documents/?uuid=643589dd-e9e9-4b8d-8ad4-36e819333bc6"]}],"mendeley":{"formattedCitation":"&lt;sup&gt;14&lt;/sup&gt;","plainTextFormattedCitation":"14","previouslyFormattedCitation":"&lt;sup&gt;14&lt;/sup&gt;"},"properties":{"noteIndex":0},"schema":"https://github.com/citation-style-language/schema/raw/master/csl-citation.json"}</w:instrText>
            </w:r>
            <w:r>
              <w:rPr>
                <w:sz w:val="18"/>
                <w:szCs w:val="18"/>
              </w:rPr>
              <w:fldChar w:fldCharType="separate"/>
            </w:r>
            <w:r>
              <w:rPr>
                <w:noProof/>
                <w:sz w:val="18"/>
                <w:szCs w:val="18"/>
                <w:vertAlign w:val="superscript"/>
              </w:rPr>
              <w:t>14</w:t>
            </w:r>
            <w:r>
              <w:rPr>
                <w:sz w:val="18"/>
                <w:szCs w:val="18"/>
              </w:rPr>
              <w:fldChar w:fldCharType="end"/>
            </w:r>
          </w:p>
        </w:tc>
      </w:tr>
      <w:tr w:rsidR="00F176D3">
        <w:tc>
          <w:tcPr>
            <w:tcW w:w="2269" w:type="dxa"/>
            <w:tcBorders>
              <w:top w:val="nil"/>
            </w:tcBorders>
          </w:tcPr>
          <w:p w:rsidR="00F176D3" w:rsidRDefault="00F176D3">
            <w:pPr>
              <w:spacing w:line="240" w:lineRule="auto"/>
              <w:rPr>
                <w:b/>
                <w:bCs/>
                <w:sz w:val="18"/>
                <w:szCs w:val="18"/>
              </w:rPr>
            </w:pPr>
          </w:p>
        </w:tc>
        <w:tc>
          <w:tcPr>
            <w:tcW w:w="709" w:type="dxa"/>
            <w:gridSpan w:val="2"/>
            <w:tcBorders>
              <w:top w:val="nil"/>
            </w:tcBorders>
          </w:tcPr>
          <w:p w:rsidR="00F176D3" w:rsidRDefault="00F176D3">
            <w:pPr>
              <w:spacing w:line="240" w:lineRule="auto"/>
              <w:jc w:val="center"/>
              <w:rPr>
                <w:b/>
                <w:bCs/>
                <w:sz w:val="18"/>
                <w:szCs w:val="18"/>
              </w:rPr>
            </w:pPr>
            <w:r>
              <w:rPr>
                <w:sz w:val="18"/>
                <w:szCs w:val="18"/>
              </w:rPr>
              <w:t>9b</w:t>
            </w:r>
          </w:p>
        </w:tc>
        <w:tc>
          <w:tcPr>
            <w:tcW w:w="10862" w:type="dxa"/>
          </w:tcPr>
          <w:p w:rsidR="00F176D3" w:rsidRDefault="00F176D3">
            <w:pPr>
              <w:spacing w:line="240" w:lineRule="auto"/>
              <w:rPr>
                <w:sz w:val="18"/>
                <w:szCs w:val="18"/>
              </w:rPr>
            </w:pPr>
            <w:r>
              <w:rPr>
                <w:b/>
                <w:bCs/>
                <w:sz w:val="18"/>
                <w:szCs w:val="18"/>
              </w:rPr>
              <w:t xml:space="preserve">Indicate extent of missing data for each variable of interest, if appropriate. </w:t>
            </w:r>
            <w:r>
              <w:rPr>
                <w:sz w:val="18"/>
                <w:szCs w:val="18"/>
              </w:rPr>
              <w:t>Example: “Missing data did not differ between the Mynx-treated patients and those receiving alternative vascular closure devices and represented 0.04% of all risk factor data (Appendix Table S3).”</w:t>
            </w:r>
            <w:r>
              <w:rPr>
                <w:sz w:val="18"/>
                <w:szCs w:val="18"/>
              </w:rPr>
              <w:fldChar w:fldCharType="begin" w:fldLock="1"/>
            </w:r>
            <w:r>
              <w:rPr>
                <w:sz w:val="18"/>
                <w:szCs w:val="18"/>
              </w:rPr>
              <w:instrText>ADDIN CSL_CITATION {"citationItems":[{"id":"ITEM-1","itemData":{"DOI":"10.1056/NEJMoa1516333","ISBN":"2163684814","ISSN":"0028-4793","abstract":"file:///C:/Users/Marika/Desktop/università di pavia/articoli/strategie per l'infertilità/nihms964087.pdf","author":[{"dropping-particle":"","family":"Resnic","given":"Frederic S.","non-dropping-particle":"","parse-names":false,"suffix":""},{"dropping-particle":"","family":"Majithia","given":"Arjun","non-dropping-particle":"","parse-names":false,"suffix":""},{"dropping-particle":"","family":"Marinac-Dabic","given":"Danica","non-dropping-particle":"","parse-names":false,"suffix":""},{"dropping-particle":"","family":"Robbins","given":"Susan","non-dropping-particle":"","parse-names":false,"suffix":""},{"dropping-particle":"","family":"Ssemaganda","given":"Henry","non-dropping-particle":"","parse-names":false,"suffix":""},{"dropping-particle":"","family":"Hewitt","given":"Kathleen","non-dropping-particle":"","parse-names":false,"suffix":""},{"dropping-particle":"","family":"Ponirakis","given":"Angelo","non-dropping-particle":"","parse-names":false,"suffix":""},{"dropping-particle":"","family":"Loyo-Berrios","given":"Nilsa","non-dropping-particle":"","parse-names":false,"suffix":""},{"dropping-particle":"","family":"Moussa","given":"Issam","non-dropping-particle":"","parse-names":false,"suffix":""},{"dropping-particle":"","family":"Drozda","given":"Joseph","non-dropping-particle":"","parse-names":false,"suffix":""},{"dropping-particle":"","family":"Normand","given":"Sharon-Lise","non-dropping-particle":"","parse-names":false,"suffix":""},{"dropping-particle":"","family":"Matheny","given":"Michael E.","non-dropping-particle":"","parse-names":false,"suffix":""}],"container-title":"New England Journal of Medicine","id":"ITEM-1","issue":"6","issued":{"date-parts":[["2017","2","9"]]},"page":"526-535","title":"Registry-Based Prospective, Active Surveillance of Medical-Device Safety","type":"article-journal","volume":"376"},"uris":["http://www.mendeley.com/documents/?uuid=2d418286-0a3d-462d-8bcc-990601697e03"]}],"mendeley":{"formattedCitation":"&lt;sup&gt;16&lt;/sup&gt;","plainTextFormattedCitation":"16","previouslyFormattedCitation":"&lt;sup&gt;16&lt;/sup&gt;"},"properties":{"noteIndex":0},"schema":"https://github.com/citation-style-language/schema/raw/master/csl-citation.json"}</w:instrText>
            </w:r>
            <w:r>
              <w:rPr>
                <w:sz w:val="18"/>
                <w:szCs w:val="18"/>
              </w:rPr>
              <w:fldChar w:fldCharType="separate"/>
            </w:r>
            <w:r>
              <w:rPr>
                <w:noProof/>
                <w:sz w:val="18"/>
                <w:szCs w:val="18"/>
                <w:vertAlign w:val="superscript"/>
              </w:rPr>
              <w:t>16</w:t>
            </w:r>
            <w:r>
              <w:rPr>
                <w:sz w:val="18"/>
                <w:szCs w:val="18"/>
              </w:rPr>
              <w:fldChar w:fldCharType="end"/>
            </w:r>
          </w:p>
        </w:tc>
      </w:tr>
      <w:tr w:rsidR="00F176D3">
        <w:tc>
          <w:tcPr>
            <w:tcW w:w="2269" w:type="dxa"/>
          </w:tcPr>
          <w:p w:rsidR="00F176D3" w:rsidRDefault="00F176D3">
            <w:pPr>
              <w:spacing w:line="240" w:lineRule="auto"/>
              <w:rPr>
                <w:b/>
                <w:bCs/>
                <w:sz w:val="18"/>
                <w:szCs w:val="18"/>
              </w:rPr>
            </w:pPr>
            <w:r>
              <w:rPr>
                <w:sz w:val="18"/>
                <w:szCs w:val="18"/>
              </w:rPr>
              <w:t xml:space="preserve">Outcomes </w:t>
            </w:r>
          </w:p>
        </w:tc>
        <w:tc>
          <w:tcPr>
            <w:tcW w:w="709" w:type="dxa"/>
            <w:gridSpan w:val="2"/>
          </w:tcPr>
          <w:p w:rsidR="00F176D3" w:rsidRDefault="00F176D3">
            <w:pPr>
              <w:spacing w:line="240" w:lineRule="auto"/>
              <w:jc w:val="center"/>
              <w:rPr>
                <w:b/>
                <w:bCs/>
                <w:sz w:val="18"/>
                <w:szCs w:val="18"/>
              </w:rPr>
            </w:pPr>
            <w:r>
              <w:rPr>
                <w:sz w:val="18"/>
                <w:szCs w:val="18"/>
              </w:rPr>
              <w:t>10</w:t>
            </w:r>
          </w:p>
        </w:tc>
        <w:tc>
          <w:tcPr>
            <w:tcW w:w="10862" w:type="dxa"/>
          </w:tcPr>
          <w:p w:rsidR="00F176D3" w:rsidRDefault="00F176D3">
            <w:pPr>
              <w:spacing w:line="240" w:lineRule="auto"/>
              <w:rPr>
                <w:sz w:val="18"/>
                <w:szCs w:val="18"/>
              </w:rPr>
            </w:pPr>
            <w:r>
              <w:rPr>
                <w:b/>
                <w:bCs/>
                <w:sz w:val="18"/>
                <w:szCs w:val="18"/>
              </w:rPr>
              <w:t xml:space="preserve">Report of main pre-specified outcome measures, including outcome variations among pre-specified subgroups and adjustments for confounders, when applicable  </w:t>
            </w:r>
            <w:r>
              <w:rPr>
                <w:sz w:val="18"/>
                <w:szCs w:val="18"/>
              </w:rPr>
              <w:t xml:space="preserve">Example: “The absolute risk of a vascular complication was 1.21% with use of the Mynx versus 0.76% with use of an alternate vascular closure device, with a relative risk of 1.59 (95% CI: 1.42-1.78, p&lt;0.001). Each component endpoint of the primary safety outcome was significantly more common in the Mynx-treated patients, including the risk of significant access-site bleeding, vascular complication requiring intervention, significant access-site hematoma, and development of post-procedural retroperitoneal bleeding. Alerts for the secondary endpoints of significant access-site bleeding and post-procedure blood transfusion were triggered after 30 and 15 months, respectively, and were sustained through the remainder of the surveillance period. Protocol-specified propensity-matched analyses were performed for high-risk patient subsets including those age 70 years or greater, females, and diabetics…. </w:t>
            </w:r>
            <w:r>
              <w:rPr>
                <w:sz w:val="18"/>
                <w:szCs w:val="18"/>
              </w:rPr>
              <w:fldChar w:fldCharType="begin" w:fldLock="1"/>
            </w:r>
            <w:r>
              <w:rPr>
                <w:sz w:val="18"/>
                <w:szCs w:val="18"/>
              </w:rPr>
              <w:instrText>ADDIN CSL_CITATION {"citationItems":[{"id":"ITEM-1","itemData":{"DOI":"10.1056/NEJMoa1516333","ISBN":"2163684814","ISSN":"0028-4793","abstract":"file:///C:/Users/Marika/Desktop/università di pavia/articoli/strategie per l'infertilità/nihms964087.pdf","author":[{"dropping-particle":"","family":"Resnic","given":"Frederic S.","non-dropping-particle":"","parse-names":false,"suffix":""},{"dropping-particle":"","family":"Majithia","given":"Arjun","non-dropping-particle":"","parse-names":false,"suffix":""},{"dropping-particle":"","family":"Marinac-Dabic","given":"Danica","non-dropping-particle":"","parse-names":false,"suffix":""},{"dropping-particle":"","family":"Robbins","given":"Susan","non-dropping-particle":"","parse-names":false,"suffix":""},{"dropping-particle":"","family":"Ssemaganda","given":"Henry","non-dropping-particle":"","parse-names":false,"suffix":""},{"dropping-particle":"","family":"Hewitt","given":"Kathleen","non-dropping-particle":"","parse-names":false,"suffix":""},{"dropping-particle":"","family":"Ponirakis","given":"Angelo","non-dropping-particle":"","parse-names":false,"suffix":""},{"dropping-particle":"","family":"Loyo-Berrios","given":"Nilsa","non-dropping-particle":"","parse-names":false,"suffix":""},{"dropping-particle":"","family":"Moussa","given":"Issam","non-dropping-particle":"","parse-names":false,"suffix":""},{"dropping-particle":"","family":"Drozda","given":"Joseph","non-dropping-particle":"","parse-names":false,"suffix":""},{"dropping-particle":"","family":"Normand","given":"Sharon-Lise","non-dropping-particle":"","parse-names":false,"suffix":""},{"dropping-particle":"","family":"Matheny","given":"Michael E.","non-dropping-particle":"","parse-names":false,"suffix":""}],"container-title":"New England Journal of Medicine","id":"ITEM-1","issue":"6","issued":{"date-parts":[["2017","2","9"]]},"page":"526-535","title":"Registry-Based Prospective, Active Surveillance of Medical-Device Safety","type":"article-journal","volume":"376"},"uris":["http://www.mendeley.com/documents/?uuid=2d418286-0a3d-462d-8bcc-990601697e03"]}],"mendeley":{"formattedCitation":"&lt;sup&gt;16&lt;/sup&gt;","plainTextFormattedCitation":"16","previouslyFormattedCitation":"&lt;sup&gt;16&lt;/sup&gt;"},"properties":{"noteIndex":0},"schema":"https://github.com/citation-style-language/schema/raw/master/csl-citation.json"}</w:instrText>
            </w:r>
            <w:r>
              <w:rPr>
                <w:sz w:val="18"/>
                <w:szCs w:val="18"/>
              </w:rPr>
              <w:fldChar w:fldCharType="separate"/>
            </w:r>
            <w:r>
              <w:rPr>
                <w:noProof/>
                <w:sz w:val="18"/>
                <w:szCs w:val="18"/>
                <w:vertAlign w:val="superscript"/>
              </w:rPr>
              <w:t>16</w:t>
            </w:r>
            <w:r>
              <w:rPr>
                <w:sz w:val="18"/>
                <w:szCs w:val="18"/>
              </w:rPr>
              <w:fldChar w:fldCharType="end"/>
            </w:r>
          </w:p>
        </w:tc>
      </w:tr>
      <w:tr w:rsidR="00F176D3">
        <w:tc>
          <w:tcPr>
            <w:tcW w:w="2269" w:type="dxa"/>
            <w:tcBorders>
              <w:right w:val="nil"/>
            </w:tcBorders>
          </w:tcPr>
          <w:p w:rsidR="00F176D3" w:rsidRDefault="00F176D3">
            <w:pPr>
              <w:spacing w:line="240" w:lineRule="auto"/>
              <w:rPr>
                <w:b/>
                <w:bCs/>
                <w:sz w:val="18"/>
                <w:szCs w:val="18"/>
              </w:rPr>
            </w:pPr>
            <w:r>
              <w:rPr>
                <w:b/>
                <w:bCs/>
                <w:sz w:val="18"/>
                <w:szCs w:val="18"/>
              </w:rPr>
              <w:t>Discussion</w:t>
            </w:r>
          </w:p>
        </w:tc>
        <w:tc>
          <w:tcPr>
            <w:tcW w:w="709" w:type="dxa"/>
            <w:gridSpan w:val="2"/>
            <w:tcBorders>
              <w:left w:val="nil"/>
              <w:right w:val="nil"/>
            </w:tcBorders>
          </w:tcPr>
          <w:p w:rsidR="00F176D3" w:rsidRDefault="00F176D3">
            <w:pPr>
              <w:spacing w:line="240" w:lineRule="auto"/>
              <w:jc w:val="center"/>
              <w:rPr>
                <w:b/>
                <w:bCs/>
                <w:sz w:val="18"/>
                <w:szCs w:val="18"/>
              </w:rPr>
            </w:pPr>
          </w:p>
        </w:tc>
        <w:tc>
          <w:tcPr>
            <w:tcW w:w="10862" w:type="dxa"/>
            <w:tcBorders>
              <w:left w:val="nil"/>
            </w:tcBorders>
          </w:tcPr>
          <w:p w:rsidR="00F176D3" w:rsidRDefault="00F176D3">
            <w:pPr>
              <w:spacing w:line="240" w:lineRule="auto"/>
              <w:rPr>
                <w:sz w:val="18"/>
                <w:szCs w:val="18"/>
              </w:rPr>
            </w:pPr>
          </w:p>
        </w:tc>
      </w:tr>
      <w:tr w:rsidR="00F176D3">
        <w:tc>
          <w:tcPr>
            <w:tcW w:w="2269" w:type="dxa"/>
          </w:tcPr>
          <w:p w:rsidR="00F176D3" w:rsidRDefault="00F176D3">
            <w:pPr>
              <w:spacing w:line="240" w:lineRule="auto"/>
              <w:rPr>
                <w:b/>
                <w:bCs/>
                <w:sz w:val="18"/>
                <w:szCs w:val="18"/>
              </w:rPr>
            </w:pPr>
            <w:r>
              <w:rPr>
                <w:sz w:val="18"/>
                <w:szCs w:val="18"/>
              </w:rPr>
              <w:t>Limitations</w:t>
            </w:r>
          </w:p>
        </w:tc>
        <w:tc>
          <w:tcPr>
            <w:tcW w:w="709" w:type="dxa"/>
            <w:gridSpan w:val="2"/>
          </w:tcPr>
          <w:p w:rsidR="00F176D3" w:rsidRDefault="00F176D3">
            <w:pPr>
              <w:spacing w:line="240" w:lineRule="auto"/>
              <w:jc w:val="center"/>
              <w:rPr>
                <w:b/>
                <w:bCs/>
                <w:sz w:val="18"/>
                <w:szCs w:val="18"/>
              </w:rPr>
            </w:pPr>
            <w:r>
              <w:rPr>
                <w:sz w:val="18"/>
                <w:szCs w:val="18"/>
              </w:rPr>
              <w:t>11</w:t>
            </w:r>
          </w:p>
        </w:tc>
        <w:tc>
          <w:tcPr>
            <w:tcW w:w="10862" w:type="dxa"/>
          </w:tcPr>
          <w:p w:rsidR="00F176D3" w:rsidRDefault="00F176D3">
            <w:pPr>
              <w:spacing w:line="240" w:lineRule="auto"/>
              <w:rPr>
                <w:sz w:val="18"/>
                <w:szCs w:val="18"/>
              </w:rPr>
            </w:pPr>
            <w:r>
              <w:rPr>
                <w:b/>
                <w:bCs/>
                <w:sz w:val="18"/>
                <w:szCs w:val="18"/>
              </w:rPr>
              <w:t xml:space="preserve">Discuss limitations, addressing sources of potential bias, known confounders, missing data, and secular trends, including a discussion of the implications of using data that was not originally collected to answer the specific research question, where appropriate. </w:t>
            </w:r>
            <w:r>
              <w:rPr>
                <w:sz w:val="18"/>
                <w:szCs w:val="18"/>
              </w:rPr>
              <w:t>Example: “Nevertheless, the data are self-reported. Although there are internal consistency and range checks and units are contacted to clarify missing and unexpected values, the data are not subject to independent external validation. Mortality tracking is extremely reliable and independently adjudicated but was available only for England and Wales (which represented the sites of 92% of procedures during this study period). This study is a description of trends and associations, and no conclusions on possible cause and effect can be drawn.”</w:t>
            </w:r>
            <w:r>
              <w:rPr>
                <w:sz w:val="18"/>
                <w:szCs w:val="18"/>
              </w:rPr>
              <w:fldChar w:fldCharType="begin" w:fldLock="1"/>
            </w:r>
            <w:r>
              <w:rPr>
                <w:sz w:val="18"/>
                <w:szCs w:val="18"/>
              </w:rPr>
              <w:instrText>ADDIN CSL_CITATION {"citationItems":[{"id":"ITEM-1","itemData":{"DOI":"10.1161/CIRCULATIONAHA.114.013947","ISSN":"0009-7322","PMID":"25637628","abstract":"BACKGROUND We assessed trends in the performance of transcatheter aortic valve implantation in the United Kingdom from the first case in 2007 to the end of 2012. We analyzed changes in case mix, complications, outcomes to 6 years, and predictors of mortality. METHODS AND RESULTS Annual cohorts were examined. Mortality outcomes were analyzed in the 92% of patients from England and Wales for whom independent mortality tracking was available. A total of 3980 transcatheter aortic valve implantation procedures were performed. In successive years, there was an increase in frequency of impaired left ventricular function, but there was no change in Logistic EuroSCORE. Overall 30-day mortality was 6.3%; it was highest in the first cohort (2007-2008), after which there were no further significant changes. One-year survival was 81.7%, falling to 37.3% at 6 years. Discharge by day 5 rose from 16.7% in 2007 and 2008 to 28% in 2012. The only multivariate preprocedural predictor of 30-day mortality was Logistic EuroSCORE ≥40. During long-term follow-up, multivariate predictors of mortality were preprocedural atrial fibrillation, chronic obstructive pulmonary disease, creatinine &gt;200 μmol/L, diabetes mellitus, and coronary artery disease. The strongest independent procedural predictor of long-term mortality was periprocedural stroke (hazard ratio=3.00; P&lt;0.0001). Nonfemoral access and postprocedural aortic regurgitation were also significant predictors of adverse outcome. CONCLUSIONS We analyzed transcatheter aortic valve implantation in an entire country, with follow-up over 6 years. Although clinical profiles of enrolled patients remained unchanged, longer-term outcomes improved, and patients were discharged earlier. Periprocedural stroke, nonfemoral access, and postprocedural aortic regurgitation are predictors of adverse outcome, along with intrinsic patient risk factors.","author":[{"dropping-particle":"","family":"Ludman","given":"Peter F.","non-dropping-particle":"","parse-names":false,"suffix":""},{"dropping-particle":"","family":"Moat","given":"Neil","non-dropping-particle":"","parse-names":false,"suffix":""},{"dropping-particle":"","family":"Belder","given":"Mark A","non-dropping-particle":"de","parse-names":false,"suffix":""},{"dropping-particle":"","family":"Blackman","given":"Daniel J.","non-dropping-particle":"","parse-names":false,"suffix":""},{"dropping-particle":"","family":"Duncan","given":"Alison","non-dropping-particle":"","parse-names":false,"suffix":""},{"dropping-particle":"","family":"Banya","given":"Winston","non-dropping-particle":"","parse-names":false,"suffix":""},{"dropping-particle":"","family":"MacCarthy","given":"Philip A.","non-dropping-particle":"","parse-names":false,"suffix":""},{"dropping-particle":"","family":"Cunningham","given":"David","non-dropping-particle":"","parse-names":false,"suffix":""},{"dropping-particle":"","family":"Wendler","given":"Olaf","non-dropping-particle":"","parse-names":false,"suffix":""},{"dropping-particle":"","family":"Marlee","given":"Damian","non-dropping-particle":"","parse-names":false,"suffix":""},{"dropping-particle":"","family":"Hildick-Smith","given":"David","non-dropping-particle":"","parse-names":false,"suffix":""},{"dropping-particle":"","family":"Young","given":"Christopher P.","non-dropping-particle":"","parse-names":false,"suffix":""},{"dropping-particle":"","family":"Kovac","given":"Jan","non-dropping-particle":"","parse-names":false,"suffix":""},{"dropping-particle":"","family":"Uren","given":"Neal G.","non-dropping-particle":"","parse-names":false,"suffix":""},{"dropping-particle":"","family":"Spyt","given":"Tomasz","non-dropping-particle":"","parse-names":false,"suffix":""},{"dropping-particle":"","family":"Trivedi","given":"Uday","non-dropping-particle":"","parse-names":false,"suffix":""},{"dropping-particle":"","family":"Howell","given":"Jonathan","non-dropping-particle":"","parse-names":false,"suffix":""},{"dropping-particle":"","family":"Gray","given":"Huon","non-dropping-particle":"","parse-names":false,"suffix":""}],"container-title":"Circulation","id":"ITEM-1","issue":"13","issued":{"date-parts":[["2015","3","31"]]},"page":"1181-1190","title":"Transcatheter Aortic Valve Implantation in the United Kingdom","type":"article-journal","volume":"131"},"uris":["http://www.mendeley.com/documents/?uuid=643589dd-e9e9-4b8d-8ad4-36e819333bc6"]}],"mendeley":{"formattedCitation":"&lt;sup&gt;14&lt;/sup&gt;","plainTextFormattedCitation":"14","previouslyFormattedCitation":"&lt;sup&gt;14&lt;/sup&gt;"},"properties":{"noteIndex":0},"schema":"https://github.com/citation-style-language/schema/raw/master/csl-citation.json"}</w:instrText>
            </w:r>
            <w:r>
              <w:rPr>
                <w:sz w:val="18"/>
                <w:szCs w:val="18"/>
              </w:rPr>
              <w:fldChar w:fldCharType="separate"/>
            </w:r>
            <w:r>
              <w:rPr>
                <w:noProof/>
                <w:sz w:val="18"/>
                <w:szCs w:val="18"/>
                <w:vertAlign w:val="superscript"/>
              </w:rPr>
              <w:t>14</w:t>
            </w:r>
            <w:r>
              <w:rPr>
                <w:sz w:val="18"/>
                <w:szCs w:val="18"/>
              </w:rPr>
              <w:fldChar w:fldCharType="end"/>
            </w:r>
          </w:p>
        </w:tc>
      </w:tr>
      <w:tr w:rsidR="00F176D3">
        <w:tc>
          <w:tcPr>
            <w:tcW w:w="2269" w:type="dxa"/>
          </w:tcPr>
          <w:p w:rsidR="00F176D3" w:rsidRDefault="00F176D3">
            <w:pPr>
              <w:spacing w:line="240" w:lineRule="auto"/>
              <w:rPr>
                <w:b/>
                <w:bCs/>
                <w:sz w:val="18"/>
                <w:szCs w:val="18"/>
              </w:rPr>
            </w:pPr>
            <w:r>
              <w:rPr>
                <w:sz w:val="18"/>
                <w:szCs w:val="18"/>
              </w:rPr>
              <w:t>Conclusion</w:t>
            </w:r>
          </w:p>
        </w:tc>
        <w:tc>
          <w:tcPr>
            <w:tcW w:w="709" w:type="dxa"/>
            <w:gridSpan w:val="2"/>
          </w:tcPr>
          <w:p w:rsidR="00F176D3" w:rsidRDefault="00F176D3">
            <w:pPr>
              <w:spacing w:line="240" w:lineRule="auto"/>
              <w:jc w:val="center"/>
              <w:rPr>
                <w:b/>
                <w:bCs/>
                <w:sz w:val="18"/>
                <w:szCs w:val="18"/>
              </w:rPr>
            </w:pPr>
            <w:r>
              <w:rPr>
                <w:sz w:val="18"/>
                <w:szCs w:val="18"/>
              </w:rPr>
              <w:t>12</w:t>
            </w:r>
          </w:p>
        </w:tc>
        <w:tc>
          <w:tcPr>
            <w:tcW w:w="10862" w:type="dxa"/>
          </w:tcPr>
          <w:p w:rsidR="00F176D3" w:rsidRDefault="00F176D3">
            <w:pPr>
              <w:spacing w:line="240" w:lineRule="auto"/>
              <w:rPr>
                <w:sz w:val="18"/>
                <w:szCs w:val="18"/>
              </w:rPr>
            </w:pPr>
            <w:r>
              <w:rPr>
                <w:b/>
                <w:bCs/>
                <w:sz w:val="18"/>
                <w:szCs w:val="18"/>
              </w:rPr>
              <w:t xml:space="preserve">Conclusions and relevance, including a discussion of the overall interpretation of results, the external validity, and any implications for policy and practice. </w:t>
            </w:r>
            <w:r>
              <w:rPr>
                <w:color w:val="000000"/>
                <w:sz w:val="18"/>
                <w:szCs w:val="18"/>
              </w:rPr>
              <w:t>Example: “We present the early evolution of TAVI in the United Kingdom using a national registry that includes every patient treated by TAVI and followed up for &gt;6 years. Over this period of time, the overall Logistic EuroSCORE has remained unchanged, although more patients with lower left ventricular ejection fraction were treated. After an initial improvement in survival after 2007 and 2008, short- and long-term outcomes have remained stable, improving further in the most recent (2012) cohort. In addition, a higher percentage of patients were discharged early after the procedure. Short-term (30 day) outcome is difficult to predict on the basis of preprocedural factors, but in the medium and longer term, poor outcome is associated with intrinsic patient characteristics.”</w:t>
            </w:r>
            <w:r>
              <w:rPr>
                <w:color w:val="000000"/>
                <w:sz w:val="18"/>
                <w:szCs w:val="18"/>
              </w:rPr>
              <w:fldChar w:fldCharType="begin" w:fldLock="1"/>
            </w:r>
            <w:r>
              <w:rPr>
                <w:color w:val="000000"/>
                <w:sz w:val="18"/>
                <w:szCs w:val="18"/>
              </w:rPr>
              <w:instrText>ADDIN CSL_CITATION {"citationItems":[{"id":"ITEM-1","itemData":{"DOI":"10.1161/CIRCULATIONAHA.114.013947","ISSN":"0009-7322","PMID":"25637628","abstract":"BACKGROUND We assessed trends in the performance of transcatheter aortic valve implantation in the United Kingdom from the first case in 2007 to the end of 2012. We analyzed changes in case mix, complications, outcomes to 6 years, and predictors of mortality. METHODS AND RESULTS Annual cohorts were examined. Mortality outcomes were analyzed in the 92% of patients from England and Wales for whom independent mortality tracking was available. A total of 3980 transcatheter aortic valve implantation procedures were performed. In successive years, there was an increase in frequency of impaired left ventricular function, but there was no change in Logistic EuroSCORE. Overall 30-day mortality was 6.3%; it was highest in the first cohort (2007-2008), after which there were no further significant changes. One-year survival was 81.7%, falling to 37.3% at 6 years. Discharge by day 5 rose from 16.7% in 2007 and 2008 to 28% in 2012. The only multivariate preprocedural predictor of 30-day mortality was Logistic EuroSCORE ≥40. During long-term follow-up, multivariate predictors of mortality were preprocedural atrial fibrillation, chronic obstructive pulmonary disease, creatinine &gt;200 μmol/L, diabetes mellitus, and coronary artery disease. The strongest independent procedural predictor of long-term mortality was periprocedural stroke (hazard ratio=3.00; P&lt;0.0001). Nonfemoral access and postprocedural aortic regurgitation were also significant predictors of adverse outcome. CONCLUSIONS We analyzed transcatheter aortic valve implantation in an entire country, with follow-up over 6 years. Although clinical profiles of enrolled patients remained unchanged, longer-term outcomes improved, and patients were discharged earlier. Periprocedural stroke, nonfemoral access, and postprocedural aortic regurgitation are predictors of adverse outcome, along with intrinsic patient risk factors.","author":[{"dropping-particle":"","family":"Ludman","given":"Peter F.","non-dropping-particle":"","parse-names":false,"suffix":""},{"dropping-particle":"","family":"Moat","given":"Neil","non-dropping-particle":"","parse-names":false,"suffix":""},{"dropping-particle":"","family":"Belder","given":"Mark A","non-dropping-particle":"de","parse-names":false,"suffix":""},{"dropping-particle":"","family":"Blackman","given":"Daniel J.","non-dropping-particle":"","parse-names":false,"suffix":""},{"dropping-particle":"","family":"Duncan","given":"Alison","non-dropping-particle":"","parse-names":false,"suffix":""},{"dropping-particle":"","family":"Banya","given":"Winston","non-dropping-particle":"","parse-names":false,"suffix":""},{"dropping-particle":"","family":"MacCarthy","given":"Philip A.","non-dropping-particle":"","parse-names":false,"suffix":""},{"dropping-particle":"","family":"Cunningham","given":"David","non-dropping-particle":"","parse-names":false,"suffix":""},{"dropping-particle":"","family":"Wendler","given":"Olaf","non-dropping-particle":"","parse-names":false,"suffix":""},{"dropping-particle":"","family":"Marlee","given":"Damian","non-dropping-particle":"","parse-names":false,"suffix":""},{"dropping-particle":"","family":"Hildick-Smith","given":"David","non-dropping-particle":"","parse-names":false,"suffix":""},{"dropping-particle":"","family":"Young","given":"Christopher P.","non-dropping-particle":"","parse-names":false,"suffix":""},{"dropping-particle":"","family":"Kovac","given":"Jan","non-dropping-particle":"","parse-names":false,"suffix":""},{"dropping-particle":"","family":"Uren","given":"Neal G.","non-dropping-particle":"","parse-names":false,"suffix":""},{"dropping-particle":"","family":"Spyt","given":"Tomasz","non-dropping-particle":"","parse-names":false,"suffix":""},{"dropping-particle":"","family":"Trivedi","given":"Uday","non-dropping-particle":"","parse-names":false,"suffix":""},{"dropping-particle":"","family":"Howell","given":"Jonathan","non-dropping-particle":"","parse-names":false,"suffix":""},{"dropping-particle":"","family":"Gray","given":"Huon","non-dropping-particle":"","parse-names":false,"suffix":""}],"container-title":"Circulation","id":"ITEM-1","issue":"13","issued":{"date-parts":[["2015","3","31"]]},"page":"1181-1190","title":"Transcatheter Aortic Valve Implantation in the United Kingdom","type":"article-journal","volume":"131"},"uris":["http://www.mendeley.com/documents/?uuid=643589dd-e9e9-4b8d-8ad4-36e819333bc6"]}],"mendeley":{"formattedCitation":"&lt;sup&gt;14&lt;/sup&gt;","plainTextFormattedCitation":"14","previouslyFormattedCitation":"&lt;sup&gt;14&lt;/sup&gt;"},"properties":{"noteIndex":0},"schema":"https://github.com/citation-style-language/schema/raw/master/csl-citation.json"}</w:instrText>
            </w:r>
            <w:r>
              <w:rPr>
                <w:color w:val="000000"/>
                <w:sz w:val="18"/>
                <w:szCs w:val="18"/>
              </w:rPr>
              <w:fldChar w:fldCharType="separate"/>
            </w:r>
            <w:r>
              <w:rPr>
                <w:noProof/>
                <w:color w:val="000000"/>
                <w:sz w:val="18"/>
                <w:szCs w:val="18"/>
                <w:vertAlign w:val="superscript"/>
              </w:rPr>
              <w:t>14</w:t>
            </w:r>
            <w:r>
              <w:rPr>
                <w:color w:val="000000"/>
                <w:sz w:val="18"/>
                <w:szCs w:val="18"/>
              </w:rPr>
              <w:fldChar w:fldCharType="end"/>
            </w:r>
            <w:r>
              <w:rPr>
                <w:color w:val="000000"/>
                <w:sz w:val="18"/>
                <w:szCs w:val="18"/>
              </w:rPr>
              <w:t>)</w:t>
            </w:r>
          </w:p>
        </w:tc>
      </w:tr>
      <w:tr w:rsidR="00F176D3">
        <w:tc>
          <w:tcPr>
            <w:tcW w:w="2269" w:type="dxa"/>
            <w:tcBorders>
              <w:right w:val="nil"/>
            </w:tcBorders>
          </w:tcPr>
          <w:p w:rsidR="00F176D3" w:rsidRDefault="00F176D3">
            <w:pPr>
              <w:spacing w:line="240" w:lineRule="auto"/>
              <w:rPr>
                <w:b/>
                <w:bCs/>
                <w:sz w:val="18"/>
                <w:szCs w:val="18"/>
              </w:rPr>
            </w:pPr>
            <w:r>
              <w:rPr>
                <w:b/>
                <w:bCs/>
                <w:sz w:val="18"/>
                <w:szCs w:val="18"/>
              </w:rPr>
              <w:t>Other information</w:t>
            </w:r>
          </w:p>
        </w:tc>
        <w:tc>
          <w:tcPr>
            <w:tcW w:w="709" w:type="dxa"/>
            <w:gridSpan w:val="2"/>
            <w:tcBorders>
              <w:left w:val="nil"/>
              <w:right w:val="nil"/>
            </w:tcBorders>
          </w:tcPr>
          <w:p w:rsidR="00F176D3" w:rsidRDefault="00F176D3">
            <w:pPr>
              <w:spacing w:line="240" w:lineRule="auto"/>
              <w:jc w:val="center"/>
              <w:rPr>
                <w:b/>
                <w:bCs/>
                <w:sz w:val="18"/>
                <w:szCs w:val="18"/>
              </w:rPr>
            </w:pPr>
          </w:p>
        </w:tc>
        <w:tc>
          <w:tcPr>
            <w:tcW w:w="10862" w:type="dxa"/>
            <w:tcBorders>
              <w:left w:val="nil"/>
            </w:tcBorders>
          </w:tcPr>
          <w:p w:rsidR="00F176D3" w:rsidRDefault="00F176D3">
            <w:pPr>
              <w:spacing w:line="240" w:lineRule="auto"/>
              <w:rPr>
                <w:sz w:val="18"/>
                <w:szCs w:val="18"/>
              </w:rPr>
            </w:pPr>
          </w:p>
        </w:tc>
      </w:tr>
      <w:tr w:rsidR="00F176D3">
        <w:tc>
          <w:tcPr>
            <w:tcW w:w="2269" w:type="dxa"/>
            <w:tcBorders>
              <w:bottom w:val="nil"/>
            </w:tcBorders>
          </w:tcPr>
          <w:p w:rsidR="00F176D3" w:rsidRDefault="00F176D3">
            <w:pPr>
              <w:spacing w:line="240" w:lineRule="auto"/>
              <w:rPr>
                <w:b/>
                <w:bCs/>
                <w:sz w:val="18"/>
                <w:szCs w:val="18"/>
              </w:rPr>
            </w:pPr>
            <w:r>
              <w:rPr>
                <w:color w:val="000000"/>
                <w:sz w:val="18"/>
                <w:szCs w:val="18"/>
              </w:rPr>
              <w:t>Protocol</w:t>
            </w:r>
          </w:p>
        </w:tc>
        <w:tc>
          <w:tcPr>
            <w:tcW w:w="709" w:type="dxa"/>
            <w:gridSpan w:val="2"/>
            <w:tcBorders>
              <w:bottom w:val="nil"/>
            </w:tcBorders>
          </w:tcPr>
          <w:p w:rsidR="00F176D3" w:rsidRDefault="00F176D3">
            <w:pPr>
              <w:spacing w:line="240" w:lineRule="auto"/>
              <w:jc w:val="center"/>
              <w:rPr>
                <w:b/>
                <w:bCs/>
                <w:sz w:val="18"/>
                <w:szCs w:val="18"/>
              </w:rPr>
            </w:pPr>
            <w:r>
              <w:rPr>
                <w:color w:val="000000"/>
                <w:sz w:val="18"/>
                <w:szCs w:val="18"/>
              </w:rPr>
              <w:t>13</w:t>
            </w:r>
          </w:p>
        </w:tc>
        <w:tc>
          <w:tcPr>
            <w:tcW w:w="10862" w:type="dxa"/>
          </w:tcPr>
          <w:p w:rsidR="00F176D3" w:rsidRDefault="00F176D3">
            <w:pPr>
              <w:spacing w:line="240" w:lineRule="auto"/>
              <w:rPr>
                <w:b/>
                <w:bCs/>
                <w:sz w:val="18"/>
                <w:szCs w:val="18"/>
              </w:rPr>
            </w:pPr>
            <w:r>
              <w:rPr>
                <w:b/>
                <w:bCs/>
                <w:color w:val="000000"/>
                <w:sz w:val="18"/>
                <w:szCs w:val="18"/>
              </w:rPr>
              <w:t>Please quote reference or DOI if a protocol was written in advance and made available. If a protocol was not made available, consider including as a supplement if the journal allows.</w:t>
            </w:r>
          </w:p>
        </w:tc>
      </w:tr>
      <w:tr w:rsidR="00F176D3">
        <w:tc>
          <w:tcPr>
            <w:tcW w:w="2269" w:type="dxa"/>
            <w:tcBorders>
              <w:top w:val="nil"/>
              <w:bottom w:val="nil"/>
            </w:tcBorders>
          </w:tcPr>
          <w:p w:rsidR="00F176D3" w:rsidRDefault="00F176D3">
            <w:pPr>
              <w:spacing w:line="240" w:lineRule="auto"/>
              <w:rPr>
                <w:b/>
                <w:bCs/>
                <w:sz w:val="18"/>
                <w:szCs w:val="18"/>
              </w:rPr>
            </w:pPr>
            <w:r>
              <w:rPr>
                <w:sz w:val="18"/>
                <w:szCs w:val="18"/>
              </w:rPr>
              <w:t>Ethics</w:t>
            </w:r>
          </w:p>
        </w:tc>
        <w:tc>
          <w:tcPr>
            <w:tcW w:w="709" w:type="dxa"/>
            <w:gridSpan w:val="2"/>
            <w:tcBorders>
              <w:top w:val="nil"/>
              <w:bottom w:val="nil"/>
            </w:tcBorders>
          </w:tcPr>
          <w:p w:rsidR="00F176D3" w:rsidRDefault="00F176D3">
            <w:pPr>
              <w:spacing w:line="240" w:lineRule="auto"/>
              <w:jc w:val="center"/>
              <w:rPr>
                <w:b/>
                <w:bCs/>
                <w:sz w:val="18"/>
                <w:szCs w:val="18"/>
              </w:rPr>
            </w:pPr>
            <w:r>
              <w:rPr>
                <w:sz w:val="18"/>
                <w:szCs w:val="18"/>
              </w:rPr>
              <w:t>14</w:t>
            </w:r>
          </w:p>
        </w:tc>
        <w:tc>
          <w:tcPr>
            <w:tcW w:w="10862" w:type="dxa"/>
          </w:tcPr>
          <w:p w:rsidR="00F176D3" w:rsidRDefault="00F176D3">
            <w:pPr>
              <w:spacing w:line="240" w:lineRule="auto"/>
              <w:rPr>
                <w:b/>
                <w:bCs/>
                <w:sz w:val="18"/>
                <w:szCs w:val="18"/>
              </w:rPr>
            </w:pPr>
            <w:r>
              <w:rPr>
                <w:b/>
                <w:bCs/>
                <w:sz w:val="18"/>
                <w:szCs w:val="18"/>
              </w:rPr>
              <w:t>Appropriate ethical approvals obtained and informed consent process described. If consent for future use of data was not obtained, please explain.</w:t>
            </w:r>
          </w:p>
        </w:tc>
      </w:tr>
      <w:tr w:rsidR="00F176D3">
        <w:tc>
          <w:tcPr>
            <w:tcW w:w="2269" w:type="dxa"/>
            <w:tcBorders>
              <w:top w:val="nil"/>
              <w:bottom w:val="nil"/>
            </w:tcBorders>
          </w:tcPr>
          <w:p w:rsidR="00F176D3" w:rsidRDefault="00F176D3">
            <w:pPr>
              <w:spacing w:line="240" w:lineRule="auto"/>
              <w:rPr>
                <w:b/>
                <w:bCs/>
                <w:sz w:val="18"/>
                <w:szCs w:val="18"/>
              </w:rPr>
            </w:pPr>
            <w:r>
              <w:rPr>
                <w:sz w:val="18"/>
                <w:szCs w:val="18"/>
              </w:rPr>
              <w:t>Funding</w:t>
            </w:r>
          </w:p>
        </w:tc>
        <w:tc>
          <w:tcPr>
            <w:tcW w:w="709" w:type="dxa"/>
            <w:gridSpan w:val="2"/>
            <w:tcBorders>
              <w:top w:val="nil"/>
              <w:bottom w:val="nil"/>
            </w:tcBorders>
          </w:tcPr>
          <w:p w:rsidR="00F176D3" w:rsidRDefault="00F176D3">
            <w:pPr>
              <w:spacing w:line="240" w:lineRule="auto"/>
              <w:jc w:val="center"/>
              <w:rPr>
                <w:b/>
                <w:bCs/>
                <w:sz w:val="18"/>
                <w:szCs w:val="18"/>
              </w:rPr>
            </w:pPr>
            <w:r>
              <w:rPr>
                <w:sz w:val="18"/>
                <w:szCs w:val="18"/>
              </w:rPr>
              <w:t>15</w:t>
            </w:r>
          </w:p>
        </w:tc>
        <w:tc>
          <w:tcPr>
            <w:tcW w:w="10862" w:type="dxa"/>
          </w:tcPr>
          <w:p w:rsidR="00F176D3" w:rsidRDefault="00F176D3">
            <w:pPr>
              <w:spacing w:line="240" w:lineRule="auto"/>
              <w:rPr>
                <w:b/>
                <w:bCs/>
                <w:sz w:val="18"/>
                <w:szCs w:val="18"/>
              </w:rPr>
            </w:pPr>
            <w:r>
              <w:rPr>
                <w:b/>
                <w:bCs/>
                <w:sz w:val="18"/>
                <w:szCs w:val="18"/>
              </w:rPr>
              <w:t xml:space="preserve">Sources of funding </w:t>
            </w:r>
            <w:r>
              <w:rPr>
                <w:b/>
                <w:bCs/>
                <w:sz w:val="18"/>
                <w:szCs w:val="18"/>
                <w:lang w:val="en-CA"/>
              </w:rPr>
              <w:t>and support, role of fu</w:t>
            </w:r>
            <w:r>
              <w:rPr>
                <w:b/>
                <w:bCs/>
                <w:color w:val="000000"/>
                <w:sz w:val="18"/>
                <w:szCs w:val="18"/>
                <w:lang w:val="en-CA"/>
              </w:rPr>
              <w:t>nders, and other conflicts of interest.</w:t>
            </w:r>
          </w:p>
        </w:tc>
      </w:tr>
      <w:tr w:rsidR="00F176D3">
        <w:tc>
          <w:tcPr>
            <w:tcW w:w="2269" w:type="dxa"/>
            <w:tcBorders>
              <w:top w:val="nil"/>
            </w:tcBorders>
          </w:tcPr>
          <w:p w:rsidR="00F176D3" w:rsidRDefault="00F176D3">
            <w:pPr>
              <w:spacing w:line="240" w:lineRule="auto"/>
              <w:rPr>
                <w:b/>
                <w:bCs/>
                <w:sz w:val="18"/>
                <w:szCs w:val="18"/>
              </w:rPr>
            </w:pPr>
            <w:r>
              <w:rPr>
                <w:sz w:val="18"/>
                <w:szCs w:val="18"/>
              </w:rPr>
              <w:t>Regulatory Approvals</w:t>
            </w:r>
          </w:p>
        </w:tc>
        <w:tc>
          <w:tcPr>
            <w:tcW w:w="709" w:type="dxa"/>
            <w:gridSpan w:val="2"/>
            <w:tcBorders>
              <w:top w:val="nil"/>
            </w:tcBorders>
          </w:tcPr>
          <w:p w:rsidR="00F176D3" w:rsidRDefault="00F176D3">
            <w:pPr>
              <w:spacing w:line="240" w:lineRule="auto"/>
              <w:jc w:val="center"/>
              <w:rPr>
                <w:b/>
                <w:bCs/>
                <w:sz w:val="18"/>
                <w:szCs w:val="18"/>
              </w:rPr>
            </w:pPr>
            <w:r>
              <w:rPr>
                <w:sz w:val="18"/>
                <w:szCs w:val="18"/>
              </w:rPr>
              <w:t>16</w:t>
            </w:r>
          </w:p>
        </w:tc>
        <w:tc>
          <w:tcPr>
            <w:tcW w:w="10862" w:type="dxa"/>
          </w:tcPr>
          <w:p w:rsidR="00F176D3" w:rsidRDefault="00F176D3">
            <w:pPr>
              <w:spacing w:line="240" w:lineRule="auto"/>
              <w:rPr>
                <w:b/>
                <w:bCs/>
                <w:sz w:val="18"/>
                <w:szCs w:val="18"/>
              </w:rPr>
            </w:pPr>
            <w:r>
              <w:rPr>
                <w:b/>
                <w:bCs/>
                <w:sz w:val="18"/>
                <w:szCs w:val="18"/>
              </w:rPr>
              <w:t>Regulatory approvals being sought or obtained (e.g. CE Marking, FDA approval, etc) including the date of approval, if applicable.</w:t>
            </w:r>
          </w:p>
        </w:tc>
      </w:tr>
    </w:tbl>
    <w:p w:rsidR="00F176D3" w:rsidRDefault="00F176D3">
      <w:pPr>
        <w:tabs>
          <w:tab w:val="left" w:pos="1355"/>
        </w:tabs>
        <w:rPr>
          <w:b/>
          <w:bCs/>
          <w:sz w:val="18"/>
          <w:szCs w:val="18"/>
        </w:rPr>
      </w:pP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b/>
          <w:bCs/>
          <w:sz w:val="18"/>
          <w:szCs w:val="18"/>
        </w:rPr>
        <w:fldChar w:fldCharType="begin" w:fldLock="1"/>
      </w:r>
      <w:r>
        <w:rPr>
          <w:b/>
          <w:bCs/>
          <w:sz w:val="18"/>
          <w:szCs w:val="18"/>
        </w:rPr>
        <w:instrText xml:space="preserve">ADDIN Mendeley Bibliography CSL_BIBLIOGRAPHY </w:instrText>
      </w:r>
      <w:r>
        <w:rPr>
          <w:b/>
          <w:bCs/>
          <w:sz w:val="18"/>
          <w:szCs w:val="18"/>
        </w:rPr>
        <w:fldChar w:fldCharType="separate"/>
      </w:r>
      <w:r>
        <w:rPr>
          <w:rFonts w:ascii="Times New Roman" w:hAnsi="Times New Roman" w:cs="Times New Roman"/>
          <w:noProof/>
          <w:sz w:val="18"/>
          <w:szCs w:val="18"/>
        </w:rPr>
        <w:t xml:space="preserve">1. </w:t>
      </w:r>
      <w:r>
        <w:rPr>
          <w:rFonts w:ascii="Times New Roman" w:hAnsi="Times New Roman" w:cs="Times New Roman"/>
          <w:noProof/>
          <w:sz w:val="18"/>
          <w:szCs w:val="18"/>
        </w:rPr>
        <w:tab/>
        <w:t xml:space="preserve">Menon M, Abaza R, Sood A, Ahlawat R, et al. Robotic kidney transplantation with regional hypothermia: Evolution of a novel procedure utilizing the IDEAL guidelines (IDEAL phase 0 and 1). Eur Urol [Internet]. 2014;65(5):1001–1009.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2. </w:t>
      </w:r>
      <w:r>
        <w:rPr>
          <w:rFonts w:ascii="Times New Roman" w:hAnsi="Times New Roman" w:cs="Times New Roman"/>
          <w:noProof/>
          <w:sz w:val="18"/>
          <w:szCs w:val="18"/>
        </w:rPr>
        <w:tab/>
        <w:t xml:space="preserve">Merwe A Van Der, Graewe F, Zühlke A, Barsdorf NW, et al. Penile allotransplantation for penis amputation following ritual circumcision : a case report with 24 months of follow-up. Lancet. 2017;390:1038-1047.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3. </w:t>
      </w:r>
      <w:r>
        <w:rPr>
          <w:rFonts w:ascii="Times New Roman" w:hAnsi="Times New Roman" w:cs="Times New Roman"/>
          <w:noProof/>
          <w:sz w:val="18"/>
          <w:szCs w:val="18"/>
        </w:rPr>
        <w:tab/>
        <w:t xml:space="preserve">Lima E, Rodrigues PL, Mota P, et al. Ureteroscopy-assisted Percutaneous Kidney Access Made Easy: First Clinical Experience with a Novel Navigation System Using Electromagnetic Guidance (IDEAL Stage 1). Eur Urol. 2017 Oct;72(4):610–616.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4. </w:t>
      </w:r>
      <w:r>
        <w:rPr>
          <w:rFonts w:ascii="Times New Roman" w:hAnsi="Times New Roman" w:cs="Times New Roman"/>
          <w:noProof/>
          <w:sz w:val="18"/>
          <w:szCs w:val="18"/>
        </w:rPr>
        <w:tab/>
        <w:t xml:space="preserve">Versteeg AL, van der Velden JM, Hes J, et al. Stereotactic Radiotherapy Followed by Surgical Stabilization Within 24 h for Unstable Spinal Metastases; A Stage I/IIa Study According to the IDEAL Framework. Front Oncol [Internet]. 2018 Dec 20;8(December):1–7.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5. </w:t>
      </w:r>
      <w:r>
        <w:rPr>
          <w:rFonts w:ascii="Times New Roman" w:hAnsi="Times New Roman" w:cs="Times New Roman"/>
          <w:noProof/>
          <w:sz w:val="18"/>
          <w:szCs w:val="18"/>
        </w:rPr>
        <w:tab/>
        <w:t xml:space="preserve">Elsanousi OM, Mohamed MA, Salim FH, et al. Selective devascularization treatment for large hepatocellular carcinoma: Stage 2A IDEAL prospective case series. Int J Surg [Internet]. 2019 Aug;68(April):134–141.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6. </w:t>
      </w:r>
      <w:r>
        <w:rPr>
          <w:rFonts w:ascii="Times New Roman" w:hAnsi="Times New Roman" w:cs="Times New Roman"/>
          <w:noProof/>
          <w:sz w:val="18"/>
          <w:szCs w:val="18"/>
        </w:rPr>
        <w:tab/>
        <w:t xml:space="preserve">Chan JYK, Tsang RK, Holsinger FC, et al. Prospective clinical trial to evaluate safety and feasibility of using a single port flexible robotic system for transoral head and neck surgery. Oral Oncol [Internet]. 2019 Jul;94:101–105.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7. </w:t>
      </w:r>
      <w:r>
        <w:rPr>
          <w:rFonts w:ascii="Times New Roman" w:hAnsi="Times New Roman" w:cs="Times New Roman"/>
          <w:noProof/>
          <w:sz w:val="18"/>
          <w:szCs w:val="18"/>
        </w:rPr>
        <w:tab/>
        <w:t xml:space="preserve">Brännström M, Johannesson L, Dahm-Kähler P, et al. First clinical uterus transplantation trial: a six-month report. Fertil Steril [Internet]. 2014 May;101(5):1228–1236.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8. </w:t>
      </w:r>
      <w:r>
        <w:rPr>
          <w:rFonts w:ascii="Times New Roman" w:hAnsi="Times New Roman" w:cs="Times New Roman"/>
          <w:noProof/>
          <w:sz w:val="18"/>
          <w:szCs w:val="18"/>
        </w:rPr>
        <w:tab/>
        <w:t xml:space="preserve">Diez del Val I, Loureiro C, McCulloch P. The IDEAL prospective development study format for reporting surgical innovations. An illustrative case study of robotic oesophagectomy. Int J Surg [Internet]. 2015 Jul;19:104–111.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9. </w:t>
      </w:r>
      <w:r>
        <w:rPr>
          <w:rFonts w:ascii="Times New Roman" w:hAnsi="Times New Roman" w:cs="Times New Roman"/>
          <w:noProof/>
          <w:sz w:val="18"/>
          <w:szCs w:val="18"/>
        </w:rPr>
        <w:tab/>
        <w:t xml:space="preserve">Blazeby JM, Blencowe NS, Titcomb DR, et al. Demonstration of the IDEAL recommendations for evaluating and reporting surgical innovation in minimally invasive oesophagectomy. Br J Surg [Internet]. 2011 Apr;98(4):544–551.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10. </w:t>
      </w:r>
      <w:r>
        <w:rPr>
          <w:rFonts w:ascii="Times New Roman" w:hAnsi="Times New Roman" w:cs="Times New Roman"/>
          <w:noProof/>
          <w:sz w:val="18"/>
          <w:szCs w:val="18"/>
        </w:rPr>
        <w:tab/>
        <w:t>Harvey KL, Mills N, White P, et al. The Pre-BRA (pre-pectoral Breast Reconstruction EvAluation) feasibility study: protocol for a mixed-methods IDEAL 2a/2b prospective cohort study to determine the safety and effectiveness of prepectoral implant-based breast reconstruction. BMJ Open [Internet]. 2020 Jan 26;10(1):e033641.</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11. </w:t>
      </w:r>
      <w:r>
        <w:rPr>
          <w:rFonts w:ascii="Times New Roman" w:hAnsi="Times New Roman" w:cs="Times New Roman"/>
          <w:noProof/>
          <w:sz w:val="18"/>
          <w:szCs w:val="18"/>
        </w:rPr>
        <w:tab/>
        <w:t xml:space="preserve">Chen J, Li Y, Wang Z, et al. Evaluation of high-intensity focused ultrasound ablation for uterine fibroids: an IDEAL prospective exploration study. BJOG An Int J Obstet Gynaecol [Internet]. 2018 Feb;125(3):354–364.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12. </w:t>
      </w:r>
      <w:r>
        <w:rPr>
          <w:rFonts w:ascii="Times New Roman" w:hAnsi="Times New Roman" w:cs="Times New Roman"/>
          <w:noProof/>
          <w:sz w:val="18"/>
          <w:szCs w:val="18"/>
        </w:rPr>
        <w:tab/>
        <w:t xml:space="preserve">Buijs M, van Lienden KP, Wagstaff PG, et al. Irreversible Electroporation for the Ablation of Renal Cell Carcinoma: A Prospective, Human, In Vivo Study Protocol (IDEAL Phase 2b). JMIR Res Protoc [Internet]. 2017 Feb 16;6(2):e21.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noProof/>
          <w:sz w:val="18"/>
          <w:szCs w:val="18"/>
        </w:rPr>
        <w:t xml:space="preserve">13. </w:t>
      </w:r>
      <w:r>
        <w:rPr>
          <w:noProof/>
          <w:sz w:val="18"/>
          <w:szCs w:val="18"/>
        </w:rPr>
        <w:tab/>
        <w:t>Saglam R, Muslumanoglu AY, Tokatlı Z,</w:t>
      </w:r>
      <w:r>
        <w:rPr>
          <w:rFonts w:ascii="Times New Roman" w:hAnsi="Times New Roman" w:cs="Times New Roman"/>
          <w:noProof/>
          <w:sz w:val="18"/>
          <w:szCs w:val="18"/>
        </w:rPr>
        <w:t xml:space="preserve"> et al. A New Robot for Flexible Ureteroscopy: Development and Early Clinical Results (IDEAL Stage 1–2b). Eur Urol [Internet]. 2014 Dec;66(6):1092–1100.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14. </w:t>
      </w:r>
      <w:r>
        <w:rPr>
          <w:rFonts w:ascii="Times New Roman" w:hAnsi="Times New Roman" w:cs="Times New Roman"/>
          <w:noProof/>
          <w:sz w:val="18"/>
          <w:szCs w:val="18"/>
        </w:rPr>
        <w:tab/>
        <w:t xml:space="preserve">Ludman PF, Moat N, de Belder MA, et al. Transcatheter Aortic Valve Implantation in the United Kingdom. Circulation [Internet]. 2015 Mar 31;131(13):1181–1190.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15. </w:t>
      </w:r>
      <w:r>
        <w:rPr>
          <w:rFonts w:ascii="Times New Roman" w:hAnsi="Times New Roman" w:cs="Times New Roman"/>
          <w:noProof/>
          <w:sz w:val="18"/>
          <w:szCs w:val="18"/>
        </w:rPr>
        <w:tab/>
        <w:t xml:space="preserve">Vertullo CJ, Lewis PL, Graves S, et al. Twelve-Year Outcomes of an Oxinium Total Knee Replacement Compared with the Same Cobalt-Chromium Design. J Bone Jt Surg [Internet]. 2017 Feb;99(4):275–283. </w:t>
      </w:r>
    </w:p>
    <w:p w:rsidR="00F176D3" w:rsidRDefault="00F176D3">
      <w:pPr>
        <w:widowControl w:val="0"/>
        <w:autoSpaceDE w:val="0"/>
        <w:autoSpaceDN w:val="0"/>
        <w:adjustRightInd w:val="0"/>
        <w:spacing w:line="240" w:lineRule="auto"/>
        <w:ind w:left="640" w:hanging="640"/>
        <w:rPr>
          <w:rFonts w:ascii="Times New Roman" w:hAnsi="Times New Roman" w:cs="Times New Roman"/>
          <w:noProof/>
          <w:sz w:val="18"/>
          <w:szCs w:val="18"/>
        </w:rPr>
      </w:pPr>
      <w:r>
        <w:rPr>
          <w:rFonts w:ascii="Times New Roman" w:hAnsi="Times New Roman" w:cs="Times New Roman"/>
          <w:noProof/>
          <w:sz w:val="18"/>
          <w:szCs w:val="18"/>
        </w:rPr>
        <w:t xml:space="preserve">16. </w:t>
      </w:r>
      <w:r>
        <w:rPr>
          <w:rFonts w:ascii="Times New Roman" w:hAnsi="Times New Roman" w:cs="Times New Roman"/>
          <w:noProof/>
          <w:sz w:val="18"/>
          <w:szCs w:val="18"/>
        </w:rPr>
        <w:tab/>
        <w:t xml:space="preserve">Resnic FS, Majithia A, Marinac-Dabic D, et al. Registry-Based Prospective, Active Surveillance of Medical-Device Safety. N Engl J Med [Internet]. 2017 Feb 9;376(6):526–535. </w:t>
      </w:r>
    </w:p>
    <w:p w:rsidR="00F176D3" w:rsidRDefault="00F176D3">
      <w:pPr>
        <w:widowControl w:val="0"/>
        <w:autoSpaceDE w:val="0"/>
        <w:autoSpaceDN w:val="0"/>
        <w:adjustRightInd w:val="0"/>
        <w:spacing w:line="240" w:lineRule="auto"/>
        <w:ind w:left="640" w:hanging="640"/>
        <w:rPr>
          <w:b/>
          <w:bCs/>
          <w:sz w:val="18"/>
          <w:szCs w:val="18"/>
        </w:rPr>
      </w:pPr>
      <w:r>
        <w:rPr>
          <w:b/>
          <w:bCs/>
          <w:sz w:val="18"/>
          <w:szCs w:val="18"/>
        </w:rPr>
        <w:fldChar w:fldCharType="end"/>
      </w:r>
    </w:p>
    <w:sectPr w:rsidR="00F176D3" w:rsidSect="00F176D3">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D3" w:rsidRDefault="00F176D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176D3" w:rsidRDefault="00F176D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Body)">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D3" w:rsidRDefault="00F176D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176D3" w:rsidRDefault="00F176D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D3" w:rsidRDefault="00F176D3">
    <w:pPr>
      <w:pStyle w:val="Header"/>
      <w:rPr>
        <w:rFonts w:ascii="Times New Roman" w:hAnsi="Times New Roman" w:cs="Times New Roman"/>
        <w:b/>
        <w:bCs/>
        <w:sz w:val="24"/>
        <w:szCs w:val="24"/>
      </w:rPr>
    </w:pPr>
    <w:r>
      <w:rPr>
        <w:rFonts w:ascii="Times New Roman" w:hAnsi="Times New Roman" w:cs="Times New Roman"/>
        <w:b/>
        <w:bCs/>
        <w:sz w:val="24"/>
        <w:szCs w:val="24"/>
      </w:rPr>
      <w:t xml:space="preserve">Table 2: </w:t>
    </w:r>
  </w:p>
  <w:p w:rsidR="00F176D3" w:rsidRDefault="00F176D3">
    <w:pPr>
      <w:pStyle w:val="Header"/>
      <w:rPr>
        <w:rFonts w:ascii="Times New Roman" w:hAnsi="Times New Roman" w:cs="Times New Roman"/>
        <w:b/>
        <w:bCs/>
        <w:sz w:val="24"/>
        <w:szCs w:val="24"/>
      </w:rPr>
    </w:pPr>
    <w:r>
      <w:rPr>
        <w:rFonts w:ascii="Times New Roman" w:hAnsi="Times New Roman" w:cs="Times New Roman"/>
        <w:b/>
        <w:bCs/>
        <w:sz w:val="24"/>
        <w:szCs w:val="24"/>
      </w:rPr>
      <w:t>IDEAL checklists for IDEAL Stages 1, 2a, 2b and 4 – examples included to demonstrate good reporting for key/unique items in each IDEAL stage.</w:t>
    </w:r>
  </w:p>
  <w:p w:rsidR="00F176D3" w:rsidRDefault="00F176D3">
    <w:pPr>
      <w:pStyle w:val="Header"/>
      <w:rPr>
        <w:rFonts w:ascii="Times New Roman" w:hAnsi="Times New Roman" w:cs="Times New Roman"/>
      </w:rPr>
    </w:pPr>
  </w:p>
  <w:p w:rsidR="00F176D3" w:rsidRDefault="00F176D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6D3"/>
    <w:rsid w:val="00F176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323BF6D-AE65-4117-90C5-18B18FD5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lang w:val="en-GB" w:eastAsia="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Header"/>
    <w:basedOn w:val="Normal"/>
    <w:uiPriority w:val="99"/>
    <w:pPr>
      <w:spacing w:before="120" w:after="200" w:line="276" w:lineRule="auto"/>
    </w:pPr>
    <w:rPr>
      <w:b/>
      <w:bCs/>
      <w:sz w:val="20"/>
      <w:szCs w:val="20"/>
      <w:lang w:val="en-US" w:eastAsia="en-US"/>
    </w:rPr>
  </w:style>
  <w:style w:type="paragraph" w:customStyle="1" w:styleId="TableSubHead">
    <w:name w:val="TableSubHead"/>
    <w:basedOn w:val="TableHeader"/>
    <w:uiPriority w:val="99"/>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lang w:val="en-GB" w:eastAsia="en-GB"/>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0" w:line="240" w:lineRule="auto"/>
    </w:pPr>
    <w:rPr>
      <w:sz w:val="20"/>
      <w:szCs w:val="20"/>
      <w:lang w:val="en-US" w:eastAsia="en-US"/>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CommentSubject">
    <w:name w:val="annotation subject"/>
    <w:basedOn w:val="CommentText"/>
    <w:next w:val="CommentText"/>
    <w:link w:val="CommentSubjectChar"/>
    <w:uiPriority w:val="99"/>
    <w:pPr>
      <w:spacing w:after="160"/>
    </w:pPr>
    <w:rPr>
      <w:b/>
      <w:bCs/>
      <w:lang w:val="en-GB" w:eastAsia="en-GB"/>
    </w:rPr>
  </w:style>
  <w:style w:type="character" w:customStyle="1" w:styleId="CommentSubjectChar">
    <w:name w:val="Comment Subject Char"/>
    <w:basedOn w:val="CommentTextChar"/>
    <w:link w:val="CommentSubject"/>
    <w:uiPriority w:val="99"/>
    <w:rPr>
      <w:rFonts w:eastAsia="Times New Roman"/>
      <w:b/>
      <w:bCs/>
      <w:sz w:val="20"/>
      <w:szCs w:val="20"/>
      <w:lang w:val="en-GB" w:eastAsia="en-GB"/>
    </w:rPr>
  </w:style>
  <w:style w:type="paragraph" w:styleId="NormalWeb">
    <w:name w:val="Normal (Web)"/>
    <w:basedOn w:val="Normal"/>
    <w:uiPriority w:val="99"/>
    <w:pPr>
      <w:spacing w:before="100" w:beforeAutospacing="1" w:after="100" w:afterAutospacing="1" w:line="240" w:lineRule="auto"/>
    </w:pPr>
    <w:rPr>
      <w:rFonts w:cs="Times New Roman"/>
      <w:sz w:val="24"/>
      <w:szCs w:val="24"/>
      <w:lang w:val="en-US" w:eastAsia="en-US"/>
    </w:rPr>
  </w:style>
  <w:style w:type="character" w:styleId="Hyperlink">
    <w:name w:val="Hyperlink"/>
    <w:basedOn w:val="DefaultParagraphFont"/>
    <w:uiPriority w:val="99"/>
    <w:rPr>
      <w:color w:val="auto"/>
      <w:u w:val="single"/>
    </w:rPr>
  </w:style>
  <w:style w:type="character" w:customStyle="1" w:styleId="UnresolvedMention">
    <w:name w:val="Unresolved Mention"/>
    <w:uiPriority w:val="99"/>
    <w:rPr>
      <w:color w:val="auto"/>
      <w:shd w:val="clear" w:color="auto" w:fill="auto"/>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imes New Roman"/>
      <w:sz w:val="22"/>
      <w:szCs w:val="22"/>
      <w:lang w:val="en-GB" w:eastAsia="en-GB"/>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bi.nlm.nih.gov/pmc/articles/PMC5334515/figure/figur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5334515/figure/figure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37068</Words>
  <Characters>211291</Characters>
  <Application>Microsoft Office Word</Application>
  <DocSecurity>0</DocSecurity>
  <Lines>1760</Lines>
  <Paragraphs>495</Paragraphs>
  <ScaleCrop>false</ScaleCrop>
  <Company>University of Oxford</Company>
  <LinksUpToDate>false</LinksUpToDate>
  <CharactersWithSpaces>247864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TEESLWW</cp:lastModifiedBy>
  <cp:revision>2</cp:revision>
  <dcterms:created xsi:type="dcterms:W3CDTF">2020-12-04T09:49:00Z</dcterms:created>
  <dcterms:modified xsi:type="dcterms:W3CDTF">2020-12-04T09:49:00Z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http://www.zotero.org/styles/university-of-york-vancouver</vt:lpwstr>
  </property>
  <property fmtid="{D5CDD505-2E9C-101B-9397-08002B2CF9AE}" pid="17" name="Mendeley Recent Style Name 7_1">
    <vt:lpwstr>University of York - Vancouver</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47338961-b8dc-3431-8a8d-a950d8296b16</vt:lpwstr>
  </property>
  <property fmtid="{D5CDD505-2E9C-101B-9397-08002B2CF9AE}" pid="24" name="Mendeley Citation Style_1">
    <vt:lpwstr>http://www.zotero.org/styles/vancouver-superscript</vt:lpwstr>
  </property>
</Properties>
</file>