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6C" w:rsidRPr="0009063A" w:rsidRDefault="00464B6C" w:rsidP="00464B6C">
      <w:pPr>
        <w:pStyle w:val="Heading1"/>
        <w:rPr>
          <w:rFonts w:ascii="Arial" w:hAnsi="Arial" w:cs="Arial"/>
          <w:b/>
          <w:color w:val="000000" w:themeColor="text1"/>
          <w:sz w:val="24"/>
          <w:szCs w:val="24"/>
        </w:rPr>
      </w:pPr>
      <w:r>
        <w:rPr>
          <w:rFonts w:ascii="Arial" w:hAnsi="Arial" w:cs="Arial"/>
          <w:b/>
          <w:color w:val="000000" w:themeColor="text1"/>
          <w:sz w:val="24"/>
          <w:szCs w:val="24"/>
        </w:rPr>
        <w:t>SUPPLEMENTAL TABLE 6: Additional references</w:t>
      </w:r>
    </w:p>
    <w:p w:rsidR="00464B6C" w:rsidRDefault="00464B6C" w:rsidP="00464B6C">
      <w:pPr>
        <w:spacing w:line="480" w:lineRule="auto"/>
        <w:rPr>
          <w:rFonts w:ascii="Arial" w:hAnsi="Arial" w:cs="Arial"/>
        </w:rPr>
      </w:pPr>
    </w:p>
    <w:p w:rsidR="00464B6C" w:rsidRPr="00031F79" w:rsidRDefault="00464B6C" w:rsidP="00464B6C">
      <w:pPr>
        <w:pStyle w:val="EndNoteBibliography"/>
        <w:spacing w:line="480" w:lineRule="auto"/>
        <w:rPr>
          <w:rFonts w:ascii="Arial" w:hAnsi="Arial" w:cs="Arial"/>
          <w:noProof/>
          <w:sz w:val="22"/>
          <w:szCs w:val="22"/>
          <w:lang w:val="fr-CA"/>
        </w:rPr>
      </w:pPr>
      <w:r w:rsidRPr="009C46B2">
        <w:rPr>
          <w:rFonts w:ascii="Arial" w:hAnsi="Arial" w:cs="Arial"/>
          <w:sz w:val="22"/>
          <w:szCs w:val="22"/>
        </w:rPr>
        <w:t xml:space="preserve">79. </w:t>
      </w:r>
      <w:r w:rsidRPr="009C46B2">
        <w:rPr>
          <w:rFonts w:ascii="Arial" w:hAnsi="Arial" w:cs="Arial"/>
          <w:noProof/>
          <w:sz w:val="22"/>
          <w:szCs w:val="22"/>
        </w:rPr>
        <w:t xml:space="preserve">Budak AB, McCusker K, Gunaydin S. A structured blood conservation program in pediatric cardiac surgery. </w:t>
      </w:r>
      <w:r w:rsidRPr="00031F79">
        <w:rPr>
          <w:rFonts w:ascii="Arial" w:hAnsi="Arial" w:cs="Arial"/>
          <w:noProof/>
          <w:sz w:val="22"/>
          <w:szCs w:val="22"/>
          <w:lang w:val="fr-CA"/>
        </w:rPr>
        <w:t>Eur Rev Med Pharmacol Sci. 2017;21(5):1074-9.</w:t>
      </w:r>
    </w:p>
    <w:p w:rsidR="00464B6C" w:rsidRDefault="00464B6C" w:rsidP="00464B6C">
      <w:pPr>
        <w:pStyle w:val="EndNoteBibliography"/>
        <w:spacing w:line="480" w:lineRule="auto"/>
        <w:rPr>
          <w:rFonts w:ascii="Arial" w:hAnsi="Arial" w:cs="Arial"/>
          <w:sz w:val="22"/>
          <w:szCs w:val="22"/>
          <w:lang w:val="fr-CA"/>
        </w:rPr>
      </w:pPr>
    </w:p>
    <w:p w:rsidR="00464B6C" w:rsidRPr="009C46B2" w:rsidRDefault="00464B6C" w:rsidP="00464B6C">
      <w:pPr>
        <w:pStyle w:val="EndNoteBibliography"/>
        <w:spacing w:line="480" w:lineRule="auto"/>
        <w:rPr>
          <w:rFonts w:ascii="Arial" w:hAnsi="Arial" w:cs="Arial"/>
          <w:noProof/>
          <w:sz w:val="22"/>
          <w:szCs w:val="22"/>
        </w:rPr>
      </w:pPr>
      <w:r w:rsidRPr="00031F79">
        <w:rPr>
          <w:rFonts w:ascii="Arial" w:hAnsi="Arial" w:cs="Arial"/>
          <w:sz w:val="22"/>
          <w:szCs w:val="22"/>
          <w:lang w:val="fr-CA"/>
        </w:rPr>
        <w:t xml:space="preserve">80. </w:t>
      </w:r>
      <w:r w:rsidRPr="00031F79">
        <w:rPr>
          <w:rFonts w:ascii="Arial" w:hAnsi="Arial" w:cs="Arial"/>
          <w:noProof/>
          <w:sz w:val="22"/>
          <w:szCs w:val="22"/>
          <w:lang w:val="fr-CA"/>
        </w:rPr>
        <w:t xml:space="preserve">Harwin SF, Issa K, Naziri Q, Johnson AJ, Mont MA. </w:t>
      </w:r>
      <w:r w:rsidRPr="009C46B2">
        <w:rPr>
          <w:rFonts w:ascii="Arial" w:hAnsi="Arial" w:cs="Arial"/>
          <w:noProof/>
          <w:sz w:val="22"/>
          <w:szCs w:val="22"/>
        </w:rPr>
        <w:t>Results of primary total knee arthroplasty in Jehovah's Witness patients. J Arthroplasty. 2013;28(1):49-55.</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81. Bracey AW, Radovancevic R, Riggs SA, Houston S, Cozart H, Vaughn WK, et al. Lowering the hemoglobin threshold for transfusion in coronary artery bypass procedures: effect on patient outcome. Transfusion. 1999;39(10):1070-7.</w:t>
      </w:r>
    </w:p>
    <w:p w:rsidR="00464B6C" w:rsidRPr="009C46B2" w:rsidRDefault="00464B6C" w:rsidP="00464B6C">
      <w:pPr>
        <w:spacing w:line="480" w:lineRule="auto"/>
        <w:rPr>
          <w:rFonts w:ascii="Arial" w:hAnsi="Arial" w:cs="Arial"/>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82. Kansagara D, Dyer E, Englander H, Fu R, Freeman M, Kagen D. Treatment of anemia in patients with heart disease: a systematic review. Ann Intern Med. 2013;159(11):746-57.</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83. Vincent JL, Sakr Y, Sprung C, Harboe S, Damas P, Sepsis Occurrence in Acutely Ill Patients I. Are blood transfusions associated with greater mortality rates? Results of the Sepsis Occurrence in Acutely Ill Patients study. Anesthesiology. 2008;108(1):31-9.</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84. Ganz ML, Wu N, Rawn J, Pashos CL, Strandberg-Larsen M. Clinical and economic outcomes associated with blood transfusions among elderly Americans following coronary artery bypass graft surgery requiring cardiopulmonary bypass. Blood Transfus. 2014;12 Suppl 1:s90-9.</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85. Carson JL, Duff A, Berlin JA, Lawrence VA, Poses RM, Huber EC, et al. Perioperative blood transfusion and postoperative mortality. JAMA. 1998;279(3):199-205.</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86. Karkouti K, Stukel TA, Beattie WS, Elsaadany S, Li P, Berger R, et al. Relationship of erythrocyte transfusion with short- and long-term mortality in a population-based surgical cohort. Anesthesiology. 2012;117(6):1175-83.</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lastRenderedPageBreak/>
        <w:t>87. van Klei WA, Bryson GL, Yang H, Forster AJ. Effect of beta-blocker prescription on the incidence of postoperative myocardial infarction after hip and knee arthroplasty. Anesthesiology. 2009;111(4):717-24.</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88. Wu WC, Smith TS, Henderson WG, Eaton CB, Poses RM, Uttley G, et al. Operative blood loss, blood transfusion, and 30-day mortality in older patients after major noncardiac surgery. Ann Surg. 2010;252(1):11-7.</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89. Wu WC, Schifftner TL, Henderson WG, Eaton CB, Poses RM, Uttley G, et al. Preoperative hematocrit levels and postoperative outcomes in older patients undergoing noncardiac surgery. JAMA. 2007;297(22):2481-8.</w:t>
      </w:r>
    </w:p>
    <w:p w:rsidR="00464B6C" w:rsidRPr="009C46B2" w:rsidRDefault="00464B6C" w:rsidP="00464B6C">
      <w:pPr>
        <w:pStyle w:val="EndNoteBibliography"/>
        <w:spacing w:line="480" w:lineRule="auto"/>
        <w:rPr>
          <w:rFonts w:ascii="Arial" w:hAnsi="Arial" w:cs="Arial"/>
          <w:noProof/>
          <w:sz w:val="22"/>
          <w:szCs w:val="22"/>
        </w:rPr>
      </w:pPr>
    </w:p>
    <w:p w:rsidR="00464B6C" w:rsidRPr="00031F79" w:rsidRDefault="00464B6C" w:rsidP="00464B6C">
      <w:pPr>
        <w:pStyle w:val="EndNoteBibliography"/>
        <w:spacing w:line="480" w:lineRule="auto"/>
        <w:rPr>
          <w:rFonts w:ascii="Arial" w:hAnsi="Arial" w:cs="Arial"/>
          <w:noProof/>
          <w:sz w:val="22"/>
          <w:szCs w:val="22"/>
          <w:lang w:val="fr-CA"/>
        </w:rPr>
      </w:pPr>
      <w:r w:rsidRPr="009C46B2">
        <w:rPr>
          <w:rFonts w:ascii="Arial" w:hAnsi="Arial" w:cs="Arial"/>
          <w:noProof/>
          <w:sz w:val="22"/>
          <w:szCs w:val="22"/>
        </w:rPr>
        <w:t xml:space="preserve">90. Beattie WS, Wijeysundera DN, Karkouti K, McCluskey S, Tait G, Mitsakakis N, et al. Acute surgical anemia influences the cardioprotective effects of beta-blockade: a single-center, propensity-matched cohort study. </w:t>
      </w:r>
      <w:r w:rsidRPr="00031F79">
        <w:rPr>
          <w:rFonts w:ascii="Arial" w:hAnsi="Arial" w:cs="Arial"/>
          <w:noProof/>
          <w:sz w:val="22"/>
          <w:szCs w:val="22"/>
          <w:lang w:val="fr-CA"/>
        </w:rPr>
        <w:t>Anesthesiology. 2010;112(1):25-33.</w:t>
      </w:r>
    </w:p>
    <w:p w:rsidR="00464B6C" w:rsidRPr="00031F79" w:rsidRDefault="00464B6C" w:rsidP="00464B6C">
      <w:pPr>
        <w:pStyle w:val="EndNoteBibliography"/>
        <w:spacing w:line="480" w:lineRule="auto"/>
        <w:rPr>
          <w:rFonts w:ascii="Arial" w:hAnsi="Arial" w:cs="Arial"/>
          <w:noProof/>
          <w:sz w:val="22"/>
          <w:szCs w:val="22"/>
          <w:lang w:val="fr-CA"/>
        </w:rPr>
      </w:pPr>
    </w:p>
    <w:p w:rsidR="00464B6C" w:rsidRPr="009C46B2" w:rsidRDefault="00464B6C" w:rsidP="00464B6C">
      <w:pPr>
        <w:pStyle w:val="EndNoteBibliography"/>
        <w:spacing w:line="480" w:lineRule="auto"/>
        <w:rPr>
          <w:rFonts w:ascii="Arial" w:hAnsi="Arial" w:cs="Arial"/>
          <w:noProof/>
          <w:sz w:val="22"/>
          <w:szCs w:val="22"/>
        </w:rPr>
      </w:pPr>
      <w:r w:rsidRPr="00031F79">
        <w:rPr>
          <w:rFonts w:ascii="Arial" w:hAnsi="Arial" w:cs="Arial"/>
          <w:noProof/>
          <w:sz w:val="22"/>
          <w:szCs w:val="22"/>
          <w:lang w:val="fr-CA"/>
        </w:rPr>
        <w:t xml:space="preserve">91. Le Manach Y, Collins GS, Ibanez C, Goarin JP, Coriat P, Gaudric J, et al. </w:t>
      </w:r>
      <w:r w:rsidRPr="009C46B2">
        <w:rPr>
          <w:rFonts w:ascii="Arial" w:hAnsi="Arial" w:cs="Arial"/>
          <w:noProof/>
          <w:sz w:val="22"/>
          <w:szCs w:val="22"/>
        </w:rPr>
        <w:t>Impact of perioperative bleeding on the protective effect of beta-blockers during infrarenal aortic reconstruction. Anesthesiology. 2012;117(6):1203-11.</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92. Spiess BD, Ley C, Body SC, Siegel LC, Stover EP, Maddi R, et al. Hematocrit value on intensive care unit entry influences the frequency of Q-wave myocardial infarction after coronary artery bypass grafting. The Institutions of the Multicenter Study of Perioperative Ischemia (McSPI) Research Group. J Thorac Cardiovasc Surg. 1998;116(3):460-7.</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93. Fang WC, Helm RE, Krieger KH, Rosengart TK, DuBois WJ, Sason C, et al. Impact of minimum hematocrit during cardiopulmonary bypass on mortality in patients undergoing coronary artery surgery. Circulation. 1997;96(9 Suppl):II-194-9.</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lastRenderedPageBreak/>
        <w:t>94. DeFoe GR, Ross CS, Olmstead EM, Surgenor SD, Fillinger MP, Groom RC, et al. Lowest hematocrit on bypass and adverse outcomes associated with coronary artery bypass grafting. Northern New England Cardiovascular Disease Study Group. Ann Thorac Surg. 2001;71(3):769-76.</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95. Karkouti K, Djaiani G, Borger MA, Beattie WS, Fedorko L, Wijeysundera D, et al. Low hematocrit during cardiopulmonary bypass is associated with increased risk of perioperative stroke in cardiac surgery. Ann Thorac Surg. 2005;80(4):1381-7.</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96. Habib RH, Zacharias A, Schwann TA, Riordan CJ, Durham SJ, Shah A. Adverse effects of low hematocrit during cardiopulmonary bypass in the adult: should current practice be changed? J Thorac Cardiovasc Surg. 2003;125(6):1438-50.</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97. Banbury MK, Brizzio ME, Rajeswaran J, Lytle BW, Blackstone EH. Transfusion increases the risk of postoperative infection after cardiovascular surgery. J Am Coll Surg. 2006;202(1):131-8.</w:t>
      </w:r>
    </w:p>
    <w:p w:rsidR="00464B6C" w:rsidRPr="009C46B2" w:rsidRDefault="00464B6C" w:rsidP="00464B6C">
      <w:pPr>
        <w:pStyle w:val="EndNoteBibliography"/>
        <w:spacing w:line="480" w:lineRule="auto"/>
        <w:rPr>
          <w:rFonts w:ascii="Arial" w:hAnsi="Arial" w:cs="Arial"/>
          <w:noProof/>
          <w:sz w:val="22"/>
          <w:szCs w:val="22"/>
        </w:rPr>
      </w:pPr>
    </w:p>
    <w:p w:rsidR="00464B6C" w:rsidRPr="00031F79" w:rsidRDefault="00464B6C" w:rsidP="00464B6C">
      <w:pPr>
        <w:pStyle w:val="EndNoteBibliography"/>
        <w:spacing w:line="480" w:lineRule="auto"/>
        <w:rPr>
          <w:rFonts w:ascii="Arial" w:hAnsi="Arial" w:cs="Arial"/>
          <w:noProof/>
          <w:sz w:val="22"/>
          <w:szCs w:val="22"/>
          <w:lang w:val="fr-CA"/>
        </w:rPr>
      </w:pPr>
      <w:r w:rsidRPr="009C46B2">
        <w:rPr>
          <w:rFonts w:ascii="Arial" w:hAnsi="Arial" w:cs="Arial"/>
          <w:noProof/>
          <w:sz w:val="22"/>
          <w:szCs w:val="22"/>
        </w:rPr>
        <w:t xml:space="preserve">98. Surgenor SD, DeFoe GR, Fillinger MP, Likosky DS, Groom RC, Clark C, et al. Intraoperative red blood cell transfusion during coronary artery bypass graft surgery increases the risk of postoperative low-output heart failure. </w:t>
      </w:r>
      <w:r w:rsidRPr="00031F79">
        <w:rPr>
          <w:rFonts w:ascii="Arial" w:hAnsi="Arial" w:cs="Arial"/>
          <w:noProof/>
          <w:sz w:val="22"/>
          <w:szCs w:val="22"/>
          <w:lang w:val="fr-CA"/>
        </w:rPr>
        <w:t>Circulation. 2006;114(1 Suppl):I43-8.</w:t>
      </w:r>
    </w:p>
    <w:p w:rsidR="00464B6C" w:rsidRPr="00031F79" w:rsidRDefault="00464B6C" w:rsidP="00464B6C">
      <w:pPr>
        <w:pStyle w:val="EndNoteBibliography"/>
        <w:spacing w:line="480" w:lineRule="auto"/>
        <w:rPr>
          <w:rFonts w:ascii="Arial" w:hAnsi="Arial" w:cs="Arial"/>
          <w:noProof/>
          <w:sz w:val="22"/>
          <w:szCs w:val="22"/>
          <w:lang w:val="fr-CA"/>
        </w:rPr>
      </w:pPr>
    </w:p>
    <w:p w:rsidR="00464B6C" w:rsidRPr="009C46B2" w:rsidRDefault="00464B6C" w:rsidP="00464B6C">
      <w:pPr>
        <w:pStyle w:val="EndNoteBibliography"/>
        <w:spacing w:line="480" w:lineRule="auto"/>
        <w:rPr>
          <w:rFonts w:ascii="Arial" w:hAnsi="Arial" w:cs="Arial"/>
          <w:noProof/>
          <w:sz w:val="22"/>
          <w:szCs w:val="22"/>
        </w:rPr>
      </w:pPr>
      <w:r w:rsidRPr="00464B6C">
        <w:rPr>
          <w:rFonts w:ascii="Arial" w:hAnsi="Arial" w:cs="Arial"/>
          <w:noProof/>
          <w:sz w:val="22"/>
          <w:szCs w:val="22"/>
          <w:lang w:val="en-CA"/>
        </w:rPr>
        <w:t xml:space="preserve">99. Engoren MC, Habib RH, Zacharias A, Schwann TA, Riordan CJ, Durham SJ. </w:t>
      </w:r>
      <w:r w:rsidRPr="009C46B2">
        <w:rPr>
          <w:rFonts w:ascii="Arial" w:hAnsi="Arial" w:cs="Arial"/>
          <w:noProof/>
          <w:sz w:val="22"/>
          <w:szCs w:val="22"/>
        </w:rPr>
        <w:t>Effect of blood transfusion on long-term survival after cardiac operation. Ann Thorac Surg. 2002;74(4):1180-6.</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100. Lilleaasen P, Stokke O. Moderate and extreme hemodilution in open-heart surgery: fluid balance and acid-base studies. Ann Thorac Surg. 1978;25(2):127-33.</w:t>
      </w:r>
    </w:p>
    <w:p w:rsidR="00464B6C" w:rsidRPr="009C46B2" w:rsidRDefault="00464B6C" w:rsidP="00464B6C">
      <w:pPr>
        <w:pStyle w:val="EndNoteBibliography"/>
        <w:spacing w:line="480" w:lineRule="auto"/>
        <w:rPr>
          <w:rFonts w:ascii="Arial" w:hAnsi="Arial" w:cs="Arial"/>
          <w:noProof/>
          <w:sz w:val="22"/>
          <w:szCs w:val="22"/>
        </w:rPr>
      </w:pPr>
    </w:p>
    <w:p w:rsidR="00464B6C" w:rsidRPr="009C46B2"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101. Alexiu O, Mircea N, Balaban M, Furtunescu B. Gastro-intestinal haemorrhage from peptic ulcer. An evaluation of bloodless transfusion and early surgery. Anaesthesia. 1975;30(5):609-15.</w:t>
      </w:r>
    </w:p>
    <w:p w:rsidR="00464B6C" w:rsidRPr="009C46B2" w:rsidRDefault="00464B6C" w:rsidP="00464B6C">
      <w:pPr>
        <w:pStyle w:val="EndNoteBibliography"/>
        <w:spacing w:line="480" w:lineRule="auto"/>
        <w:rPr>
          <w:rFonts w:ascii="Arial" w:hAnsi="Arial" w:cs="Arial"/>
          <w:noProof/>
          <w:sz w:val="22"/>
          <w:szCs w:val="22"/>
        </w:rPr>
      </w:pPr>
    </w:p>
    <w:p w:rsidR="00F92EB4" w:rsidRPr="00464B6C" w:rsidRDefault="00464B6C" w:rsidP="00464B6C">
      <w:pPr>
        <w:pStyle w:val="EndNoteBibliography"/>
        <w:spacing w:line="480" w:lineRule="auto"/>
        <w:rPr>
          <w:rFonts w:ascii="Arial" w:hAnsi="Arial" w:cs="Arial"/>
          <w:noProof/>
          <w:sz w:val="22"/>
          <w:szCs w:val="22"/>
        </w:rPr>
      </w:pPr>
      <w:r w:rsidRPr="009C46B2">
        <w:rPr>
          <w:rFonts w:ascii="Arial" w:hAnsi="Arial" w:cs="Arial"/>
          <w:noProof/>
          <w:sz w:val="22"/>
          <w:szCs w:val="22"/>
        </w:rPr>
        <w:t>102. Kawaguchi A, Bergsland J, Subramanian S. Total bloodless open heart surgery in the pediatric age group. Circulation. 1984;70(3 Pt 2):I30-7</w:t>
      </w:r>
      <w:bookmarkStart w:id="0" w:name="_GoBack"/>
      <w:bookmarkEnd w:id="0"/>
    </w:p>
    <w:sectPr w:rsidR="00F92EB4" w:rsidRPr="00464B6C" w:rsidSect="00CC6596">
      <w:pgSz w:w="11906" w:h="16838" w:code="9"/>
      <w:pgMar w:top="720" w:right="720" w:bottom="720" w:left="720" w:header="45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07D3"/>
    <w:multiLevelType w:val="hybridMultilevel"/>
    <w:tmpl w:val="4A74C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6C"/>
    <w:rsid w:val="00464B6C"/>
    <w:rsid w:val="00F92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6C"/>
    <w:pPr>
      <w:spacing w:after="0" w:line="240" w:lineRule="auto"/>
    </w:pPr>
    <w:rPr>
      <w:sz w:val="24"/>
      <w:szCs w:val="24"/>
    </w:rPr>
  </w:style>
  <w:style w:type="paragraph" w:styleId="Heading1">
    <w:name w:val="heading 1"/>
    <w:basedOn w:val="Normal"/>
    <w:next w:val="Normal"/>
    <w:link w:val="Heading1Char"/>
    <w:uiPriority w:val="9"/>
    <w:qFormat/>
    <w:rsid w:val="00464B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B6C"/>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464B6C"/>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rsid w:val="00464B6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6C"/>
    <w:pPr>
      <w:spacing w:after="0" w:line="240" w:lineRule="auto"/>
    </w:pPr>
    <w:rPr>
      <w:sz w:val="24"/>
      <w:szCs w:val="24"/>
    </w:rPr>
  </w:style>
  <w:style w:type="paragraph" w:styleId="Heading1">
    <w:name w:val="heading 1"/>
    <w:basedOn w:val="Normal"/>
    <w:next w:val="Normal"/>
    <w:link w:val="Heading1Char"/>
    <w:uiPriority w:val="9"/>
    <w:qFormat/>
    <w:rsid w:val="00464B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B6C"/>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464B6C"/>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rsid w:val="00464B6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Martel</dc:creator>
  <cp:lastModifiedBy>Guillaume Martel</cp:lastModifiedBy>
  <cp:revision>1</cp:revision>
  <dcterms:created xsi:type="dcterms:W3CDTF">2020-11-20T16:44:00Z</dcterms:created>
  <dcterms:modified xsi:type="dcterms:W3CDTF">2020-11-20T16:45:00Z</dcterms:modified>
</cp:coreProperties>
</file>