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9DD03" w14:textId="6864D125" w:rsidR="00725612" w:rsidRDefault="00725612" w:rsidP="00E56BB1">
      <w:pPr>
        <w:pStyle w:val="Heading1"/>
        <w:spacing w:before="0" w:after="240"/>
      </w:pPr>
      <w:r w:rsidRPr="00725612">
        <w:t>Supplementary material</w:t>
      </w:r>
    </w:p>
    <w:p w14:paraId="24786239" w14:textId="7E0E644B" w:rsidR="00B078E0" w:rsidRDefault="00B078E0" w:rsidP="00E56BB1">
      <w:pPr>
        <w:pStyle w:val="Heading2"/>
        <w:numPr>
          <w:ilvl w:val="0"/>
          <w:numId w:val="5"/>
        </w:numPr>
        <w:spacing w:before="0" w:after="240" w:line="276" w:lineRule="auto"/>
        <w:ind w:left="360"/>
      </w:pPr>
      <w:bookmarkStart w:id="0" w:name="_Hlk110002879"/>
      <w:bookmarkStart w:id="1" w:name="_Hlk95485479"/>
      <w:r>
        <w:t>Hospital concentration of esophagectomy, pancreatectomy, and cystectomy in Maryland</w:t>
      </w:r>
      <w:r w:rsidR="00621641">
        <w:t xml:space="preserve"> and control states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21641" w14:paraId="58A25C70" w14:textId="77777777" w:rsidTr="00193AB6">
        <w:tc>
          <w:tcPr>
            <w:tcW w:w="4675" w:type="dxa"/>
          </w:tcPr>
          <w:bookmarkEnd w:id="0"/>
          <w:p w14:paraId="4E93838D" w14:textId="77777777" w:rsidR="00621641" w:rsidRDefault="00621641" w:rsidP="00193AB6">
            <w:pPr>
              <w:jc w:val="center"/>
            </w:pPr>
            <w:r>
              <w:t xml:space="preserve">       Maryland</w:t>
            </w:r>
          </w:p>
        </w:tc>
        <w:tc>
          <w:tcPr>
            <w:tcW w:w="4675" w:type="dxa"/>
          </w:tcPr>
          <w:p w14:paraId="0C2A94FD" w14:textId="77777777" w:rsidR="00621641" w:rsidRDefault="00621641" w:rsidP="00193AB6">
            <w:pPr>
              <w:jc w:val="center"/>
            </w:pPr>
            <w:r>
              <w:t xml:space="preserve">              Control States</w:t>
            </w:r>
          </w:p>
        </w:tc>
      </w:tr>
      <w:tr w:rsidR="00621641" w14:paraId="7C5ACD26" w14:textId="77777777" w:rsidTr="00193AB6">
        <w:tc>
          <w:tcPr>
            <w:tcW w:w="4675" w:type="dxa"/>
          </w:tcPr>
          <w:p w14:paraId="67C12D2C" w14:textId="77777777" w:rsidR="00621641" w:rsidRDefault="00621641" w:rsidP="00193AB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C90641" wp14:editId="7F01B2DE">
                  <wp:extent cx="2816352" cy="2112264"/>
                  <wp:effectExtent l="0" t="0" r="3175" b="2540"/>
                  <wp:docPr id="8" name="Picture 8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72522Esophagectomy_MDhosp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6352" cy="2112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78EECDD1" w14:textId="77777777" w:rsidR="00621641" w:rsidRDefault="00621641" w:rsidP="00193AB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37E4E2" wp14:editId="1E54A438">
                  <wp:extent cx="2816352" cy="2112264"/>
                  <wp:effectExtent l="0" t="0" r="3175" b="2540"/>
                  <wp:docPr id="9" name="Picture 9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72522Esophagectomy_CtrlHosp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6352" cy="2112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641" w14:paraId="6074245F" w14:textId="77777777" w:rsidTr="00193AB6">
        <w:tc>
          <w:tcPr>
            <w:tcW w:w="4675" w:type="dxa"/>
          </w:tcPr>
          <w:p w14:paraId="427D1F52" w14:textId="77777777" w:rsidR="00621641" w:rsidRDefault="00621641" w:rsidP="00193AB6">
            <w:r>
              <w:rPr>
                <w:noProof/>
              </w:rPr>
              <w:drawing>
                <wp:inline distT="0" distB="0" distL="0" distR="0" wp14:anchorId="302CC466" wp14:editId="40773E8B">
                  <wp:extent cx="2816352" cy="2112264"/>
                  <wp:effectExtent l="0" t="0" r="3175" b="2540"/>
                  <wp:docPr id="6" name="Picture 6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72522Pancreatectomy_MDhosp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6352" cy="2112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552751A6" w14:textId="77777777" w:rsidR="00621641" w:rsidRDefault="00621641" w:rsidP="00193AB6">
            <w:r>
              <w:rPr>
                <w:noProof/>
              </w:rPr>
              <w:drawing>
                <wp:inline distT="0" distB="0" distL="0" distR="0" wp14:anchorId="39A72AE5" wp14:editId="5D256935">
                  <wp:extent cx="2816352" cy="2112264"/>
                  <wp:effectExtent l="0" t="0" r="3175" b="2540"/>
                  <wp:docPr id="7" name="Picture 7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72522Pancreatectomy_CtrlHosp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6352" cy="2112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641" w14:paraId="7C7E4FD1" w14:textId="77777777" w:rsidTr="00193AB6">
        <w:tc>
          <w:tcPr>
            <w:tcW w:w="4675" w:type="dxa"/>
          </w:tcPr>
          <w:p w14:paraId="62A42CE6" w14:textId="77777777" w:rsidR="00621641" w:rsidRDefault="00621641" w:rsidP="00193AB6">
            <w:r>
              <w:rPr>
                <w:noProof/>
              </w:rPr>
              <w:drawing>
                <wp:inline distT="0" distB="0" distL="0" distR="0" wp14:anchorId="7F42042C" wp14:editId="22A6F7BC">
                  <wp:extent cx="2816352" cy="2112264"/>
                  <wp:effectExtent l="0" t="0" r="3175" b="2540"/>
                  <wp:docPr id="10" name="Picture 10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072522Cystectomy_MDhosp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6352" cy="2112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4F5B4BF8" w14:textId="77777777" w:rsidR="00621641" w:rsidRDefault="00621641" w:rsidP="00193AB6">
            <w:r>
              <w:rPr>
                <w:noProof/>
              </w:rPr>
              <w:drawing>
                <wp:inline distT="0" distB="0" distL="0" distR="0" wp14:anchorId="7A7AA290" wp14:editId="4DBB6227">
                  <wp:extent cx="2816352" cy="2112264"/>
                  <wp:effectExtent l="0" t="0" r="3175" b="2540"/>
                  <wp:docPr id="11" name="Picture 11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072522Cystectomy_CtrlHosp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6352" cy="2112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BE521C" w14:textId="50760969" w:rsidR="00B078E0" w:rsidRDefault="00B078E0" w:rsidP="00B078E0">
      <w:r>
        <w:t xml:space="preserve">Figure S1. </w:t>
      </w:r>
      <w:r w:rsidRPr="00B078E0">
        <w:t xml:space="preserve">Hospital concentration </w:t>
      </w:r>
      <w:r w:rsidR="005A7EFB">
        <w:t xml:space="preserve">trends </w:t>
      </w:r>
      <w:r w:rsidRPr="00B078E0">
        <w:t>of esophagectomy, pancreatectomy, and cystectomy in Maryland</w:t>
      </w:r>
      <w:r w:rsidR="00621641">
        <w:t xml:space="preserve"> (left panel) and control states (right panel)</w:t>
      </w:r>
      <w:r>
        <w:t xml:space="preserve">. </w:t>
      </w:r>
      <w:bookmarkStart w:id="2" w:name="_Hlk110001872"/>
      <w:r>
        <w:t xml:space="preserve">Each line represents a hospital. Concentration each year was calculated </w:t>
      </w:r>
      <w:r w:rsidRPr="00B078E0">
        <w:t>as the hospital volume divided by the total volume in the state</w:t>
      </w:r>
      <w:r>
        <w:t>.</w:t>
      </w:r>
      <w:bookmarkEnd w:id="2"/>
    </w:p>
    <w:p w14:paraId="59D0024A" w14:textId="233BAC14" w:rsidR="00621641" w:rsidRDefault="00621641" w:rsidP="00621641">
      <w:pPr>
        <w:spacing w:after="0"/>
      </w:pPr>
      <w:r>
        <w:lastRenderedPageBreak/>
        <w:t>Table S1. Hospital concentration cutoff for being an HCH, by surgery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2"/>
        <w:gridCol w:w="3178"/>
      </w:tblGrid>
      <w:tr w:rsidR="00621641" w14:paraId="57B106A7" w14:textId="77777777" w:rsidTr="00193AB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BF4C0FA" w14:textId="77777777" w:rsidR="00621641" w:rsidRDefault="00621641" w:rsidP="00193AB6">
            <w:r>
              <w:t>Surgery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79C0679" w14:textId="77777777" w:rsidR="00621641" w:rsidRDefault="00621641" w:rsidP="00193AB6">
            <w:pPr>
              <w:jc w:val="right"/>
            </w:pPr>
            <w:r>
              <w:t>Hospital concentration cutoff (%)</w:t>
            </w:r>
          </w:p>
        </w:tc>
      </w:tr>
      <w:tr w:rsidR="00621641" w14:paraId="6D9F7D7C" w14:textId="77777777" w:rsidTr="00193AB6">
        <w:tc>
          <w:tcPr>
            <w:tcW w:w="0" w:type="auto"/>
            <w:tcBorders>
              <w:top w:val="single" w:sz="4" w:space="0" w:color="auto"/>
            </w:tcBorders>
          </w:tcPr>
          <w:p w14:paraId="3D59256F" w14:textId="77777777" w:rsidR="00621641" w:rsidRDefault="00621641" w:rsidP="00193AB6">
            <w:r w:rsidRPr="00D12BFB">
              <w:t>Gastrectomy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FFDFB54" w14:textId="77777777" w:rsidR="00621641" w:rsidRDefault="00621641" w:rsidP="00193AB6">
            <w:pPr>
              <w:jc w:val="right"/>
            </w:pPr>
            <w:r w:rsidRPr="003D7668">
              <w:t>7.7</w:t>
            </w:r>
          </w:p>
        </w:tc>
      </w:tr>
      <w:tr w:rsidR="00621641" w14:paraId="78139477" w14:textId="77777777" w:rsidTr="00193AB6">
        <w:tc>
          <w:tcPr>
            <w:tcW w:w="0" w:type="auto"/>
          </w:tcPr>
          <w:p w14:paraId="1A9DF230" w14:textId="77777777" w:rsidR="00621641" w:rsidRDefault="00621641" w:rsidP="00193AB6">
            <w:r w:rsidRPr="00D12BFB">
              <w:t>Pneumonectomy/Lobectomy</w:t>
            </w:r>
          </w:p>
        </w:tc>
        <w:tc>
          <w:tcPr>
            <w:tcW w:w="0" w:type="auto"/>
          </w:tcPr>
          <w:p w14:paraId="3860E3E5" w14:textId="77777777" w:rsidR="00621641" w:rsidRDefault="00621641" w:rsidP="00193AB6">
            <w:pPr>
              <w:jc w:val="right"/>
            </w:pPr>
            <w:r w:rsidRPr="003D7668">
              <w:t>8.5</w:t>
            </w:r>
          </w:p>
        </w:tc>
      </w:tr>
      <w:tr w:rsidR="00621641" w14:paraId="1CCBD0EE" w14:textId="77777777" w:rsidTr="00193AB6">
        <w:tc>
          <w:tcPr>
            <w:tcW w:w="0" w:type="auto"/>
          </w:tcPr>
          <w:p w14:paraId="223395FD" w14:textId="77777777" w:rsidR="00621641" w:rsidRDefault="00621641" w:rsidP="00193AB6">
            <w:r w:rsidRPr="00D12BFB">
              <w:t>Proctectomy</w:t>
            </w:r>
          </w:p>
        </w:tc>
        <w:tc>
          <w:tcPr>
            <w:tcW w:w="0" w:type="auto"/>
          </w:tcPr>
          <w:p w14:paraId="300DCF05" w14:textId="77777777" w:rsidR="00621641" w:rsidRDefault="00621641" w:rsidP="00193AB6">
            <w:pPr>
              <w:jc w:val="right"/>
            </w:pPr>
            <w:r w:rsidRPr="003D7668">
              <w:t>6.7</w:t>
            </w:r>
          </w:p>
        </w:tc>
      </w:tr>
      <w:tr w:rsidR="00621641" w14:paraId="68815670" w14:textId="77777777" w:rsidTr="00193AB6">
        <w:tc>
          <w:tcPr>
            <w:tcW w:w="0" w:type="auto"/>
          </w:tcPr>
          <w:p w14:paraId="521AF355" w14:textId="77777777" w:rsidR="00621641" w:rsidRDefault="00621641" w:rsidP="00193AB6">
            <w:r w:rsidRPr="00D12BFB">
              <w:t>Hip/Knee Revision</w:t>
            </w:r>
          </w:p>
        </w:tc>
        <w:tc>
          <w:tcPr>
            <w:tcW w:w="0" w:type="auto"/>
          </w:tcPr>
          <w:p w14:paraId="6EF5D88C" w14:textId="77777777" w:rsidR="00621641" w:rsidRDefault="00621641" w:rsidP="00193AB6">
            <w:pPr>
              <w:jc w:val="right"/>
            </w:pPr>
            <w:r w:rsidRPr="003D7668">
              <w:t>7.1</w:t>
            </w:r>
          </w:p>
        </w:tc>
      </w:tr>
      <w:tr w:rsidR="00621641" w14:paraId="1B2FB759" w14:textId="77777777" w:rsidTr="00193AB6">
        <w:tc>
          <w:tcPr>
            <w:tcW w:w="0" w:type="auto"/>
          </w:tcPr>
          <w:p w14:paraId="44DDEFF6" w14:textId="77777777" w:rsidR="00621641" w:rsidRDefault="00621641" w:rsidP="00193AB6">
            <w:r w:rsidRPr="00D12BFB">
              <w:t>Esophagectomy</w:t>
            </w:r>
          </w:p>
        </w:tc>
        <w:tc>
          <w:tcPr>
            <w:tcW w:w="0" w:type="auto"/>
          </w:tcPr>
          <w:p w14:paraId="114B9214" w14:textId="77777777" w:rsidR="00621641" w:rsidRDefault="00621641" w:rsidP="00193AB6">
            <w:pPr>
              <w:jc w:val="right"/>
            </w:pPr>
            <w:r w:rsidRPr="003D7668">
              <w:t>29.9</w:t>
            </w:r>
          </w:p>
        </w:tc>
      </w:tr>
      <w:tr w:rsidR="00621641" w14:paraId="34B3CCB7" w14:textId="77777777" w:rsidTr="00193AB6">
        <w:tc>
          <w:tcPr>
            <w:tcW w:w="0" w:type="auto"/>
          </w:tcPr>
          <w:p w14:paraId="1099A003" w14:textId="77777777" w:rsidR="00621641" w:rsidRDefault="00621641" w:rsidP="00193AB6">
            <w:r w:rsidRPr="00D12BFB">
              <w:t>Pancreatectomy</w:t>
            </w:r>
          </w:p>
        </w:tc>
        <w:tc>
          <w:tcPr>
            <w:tcW w:w="0" w:type="auto"/>
          </w:tcPr>
          <w:p w14:paraId="709C3BEC" w14:textId="77777777" w:rsidR="00621641" w:rsidRDefault="00621641" w:rsidP="00193AB6">
            <w:pPr>
              <w:jc w:val="right"/>
            </w:pPr>
            <w:r w:rsidRPr="003D7668">
              <w:t>24.1</w:t>
            </w:r>
          </w:p>
        </w:tc>
      </w:tr>
      <w:tr w:rsidR="00621641" w14:paraId="75B6CBD4" w14:textId="77777777" w:rsidTr="00193AB6">
        <w:tc>
          <w:tcPr>
            <w:tcW w:w="0" w:type="auto"/>
            <w:tcBorders>
              <w:bottom w:val="single" w:sz="4" w:space="0" w:color="auto"/>
            </w:tcBorders>
          </w:tcPr>
          <w:p w14:paraId="70C1453F" w14:textId="77777777" w:rsidR="00621641" w:rsidRDefault="00621641" w:rsidP="00193AB6">
            <w:r w:rsidRPr="00D12BFB">
              <w:t>Cystectomy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8A67A4" w14:textId="77777777" w:rsidR="00621641" w:rsidRDefault="00621641" w:rsidP="00193AB6">
            <w:pPr>
              <w:jc w:val="right"/>
            </w:pPr>
            <w:r w:rsidRPr="003D7668">
              <w:t>27.9</w:t>
            </w:r>
          </w:p>
        </w:tc>
      </w:tr>
    </w:tbl>
    <w:p w14:paraId="25481811" w14:textId="0C1B62A6" w:rsidR="00621641" w:rsidRDefault="00621641" w:rsidP="00B078E0"/>
    <w:p w14:paraId="11A43D25" w14:textId="4F1010DE" w:rsidR="00621641" w:rsidRDefault="00621641" w:rsidP="00621641">
      <w:r w:rsidRPr="00621641">
        <w:t xml:space="preserve">Figure </w:t>
      </w:r>
      <w:r>
        <w:t>S</w:t>
      </w:r>
      <w:r w:rsidRPr="00621641">
        <w:t>1 shows</w:t>
      </w:r>
      <w:r>
        <w:t xml:space="preserve"> esophagectomy, pancreatectomy and cystectomy</w:t>
      </w:r>
      <w:r w:rsidRPr="00621641">
        <w:t xml:space="preserve"> have been highly concentrated in one Maryland hospital since 2010 and the concentrations are much higher than any hospital in control states in all years.</w:t>
      </w:r>
      <w:r>
        <w:t xml:space="preserve"> Not surprisingly, for these 3 surgeries, the concentration cutoff for a hospital to be defined as an HCH is very high (Table S1). Because of these high cutoffs, in some years, there are no HCHs in control states.</w:t>
      </w:r>
      <w:r w:rsidR="00C97AB3">
        <w:t xml:space="preserve"> </w:t>
      </w:r>
      <w:r>
        <w:t>Therefore, in those years, the proportion of patients receiving surgery in a</w:t>
      </w:r>
      <w:r w:rsidR="00C97AB3">
        <w:t>n</w:t>
      </w:r>
      <w:r>
        <w:t xml:space="preserve"> HCH is zero. </w:t>
      </w:r>
      <w:r w:rsidR="00C97AB3">
        <w:t xml:space="preserve">Due to this reason, we did not </w:t>
      </w:r>
      <w:r>
        <w:t>study these 3 surgeries in this paper.</w:t>
      </w:r>
    </w:p>
    <w:bookmarkEnd w:id="1"/>
    <w:p w14:paraId="1C822997" w14:textId="43EED99D" w:rsidR="00725612" w:rsidRDefault="00725612" w:rsidP="00E56BB1">
      <w:pPr>
        <w:pStyle w:val="Heading2"/>
        <w:numPr>
          <w:ilvl w:val="0"/>
          <w:numId w:val="5"/>
        </w:numPr>
        <w:spacing w:before="0" w:after="240" w:line="276" w:lineRule="auto"/>
        <w:ind w:left="360"/>
      </w:pPr>
      <w:r w:rsidRPr="00725612">
        <w:t>Model specification for estimating difference-in-differences</w:t>
      </w:r>
      <w:r w:rsidR="005F31BE">
        <w:t xml:space="preserve"> </w:t>
      </w:r>
      <w:r w:rsidR="0032395D">
        <w:t>for</w:t>
      </w:r>
      <w:r w:rsidR="00C02476">
        <w:t xml:space="preserve"> centralization</w:t>
      </w:r>
    </w:p>
    <w:p w14:paraId="168BA12B" w14:textId="749DC427" w:rsidR="00725612" w:rsidRDefault="00FA1477" w:rsidP="00FA1477">
      <w:pPr>
        <w:spacing w:after="240" w:line="276" w:lineRule="auto"/>
        <w:ind w:firstLine="360"/>
      </w:pPr>
      <w:r>
        <w:t xml:space="preserve">The </w:t>
      </w:r>
      <w:r w:rsidRPr="009B17A7">
        <w:t>difference-in-differences</w:t>
      </w:r>
      <w:r>
        <w:t xml:space="preserve"> (D-</w:t>
      </w:r>
      <w:proofErr w:type="spellStart"/>
      <w:r>
        <w:t>i</w:t>
      </w:r>
      <w:proofErr w:type="spellEnd"/>
      <w:r>
        <w:t>-D) f</w:t>
      </w:r>
      <w:r w:rsidR="00725612">
        <w:t xml:space="preserve">or </w:t>
      </w:r>
      <w:r w:rsidR="0032395D">
        <w:t xml:space="preserve">centralization, </w:t>
      </w:r>
      <w:r w:rsidR="0008543C">
        <w:t xml:space="preserve">i.e., the proportion of patients receiving the complex surgery in a high-concentration hospital, </w:t>
      </w:r>
      <w:r>
        <w:t xml:space="preserve">was estimated using </w:t>
      </w:r>
      <w:r w:rsidR="00E56BB1">
        <w:t>a</w:t>
      </w:r>
      <w:r w:rsidR="00725612" w:rsidRPr="009B17A7">
        <w:t xml:space="preserve"> </w:t>
      </w:r>
      <w:r w:rsidR="00725612">
        <w:t xml:space="preserve">linear </w:t>
      </w:r>
      <w:r w:rsidR="00E82F35">
        <w:t>probability</w:t>
      </w:r>
      <w:r w:rsidR="00725612" w:rsidRPr="009B17A7">
        <w:t xml:space="preserve"> model </w:t>
      </w:r>
      <w:r>
        <w:t>which</w:t>
      </w:r>
      <w:r w:rsidR="00725612">
        <w:t xml:space="preserve"> has the form:</w:t>
      </w:r>
    </w:p>
    <w:p w14:paraId="012432A5" w14:textId="421405A2" w:rsidR="0008543C" w:rsidRPr="00725612" w:rsidRDefault="0008543C" w:rsidP="00E56BB1">
      <w:pPr>
        <w:pStyle w:val="ListParagraph"/>
        <w:spacing w:after="240" w:line="276" w:lineRule="auto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Y=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MD+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Post+δMD•Post 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Patient_factors</m:t>
          </m:r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Hospital_factors+e</m:t>
          </m:r>
        </m:oMath>
      </m:oMathPara>
    </w:p>
    <w:p w14:paraId="10202234" w14:textId="33A76B7F" w:rsidR="00725612" w:rsidRDefault="00725612" w:rsidP="00E56BB1">
      <w:pPr>
        <w:spacing w:after="240" w:line="276" w:lineRule="auto"/>
      </w:pPr>
      <w:r>
        <w:t xml:space="preserve">where </w:t>
      </w:r>
      <w:r w:rsidR="00E82F35" w:rsidRPr="00E82F35">
        <w:rPr>
          <w:i/>
          <w:iCs/>
        </w:rPr>
        <w:t>Y</w:t>
      </w:r>
      <w:r>
        <w:t xml:space="preserve"> is the </w:t>
      </w:r>
      <w:r w:rsidR="00E82F35">
        <w:t>proportion of patients receiving the complex surgery in a high-concentration hospital</w:t>
      </w:r>
      <w:r w:rsidR="004A65D1">
        <w:t>;</w:t>
      </w:r>
      <w:r>
        <w:t xml:space="preserve"> </w:t>
      </w:r>
      <w:r w:rsidR="00B347B3">
        <w:rPr>
          <w:i/>
        </w:rPr>
        <w:t>MD</w:t>
      </w:r>
      <w:r>
        <w:t xml:space="preserve"> </w:t>
      </w:r>
      <w:r w:rsidR="00B347B3">
        <w:t xml:space="preserve">is </w:t>
      </w:r>
      <w:r w:rsidR="00B347B3" w:rsidRPr="00B347B3">
        <w:t>a dummy variable that is equal to 1 if the patient is in Maryland</w:t>
      </w:r>
      <w:r w:rsidR="00B347B3">
        <w:t xml:space="preserve">; </w:t>
      </w:r>
      <w:r w:rsidR="00B347B3" w:rsidRPr="00B347B3">
        <w:rPr>
          <w:i/>
          <w:iCs/>
        </w:rPr>
        <w:t>Post</w:t>
      </w:r>
      <w:r w:rsidR="00B347B3">
        <w:t xml:space="preserve"> </w:t>
      </w:r>
      <w:r w:rsidR="00B347B3" w:rsidRPr="00E56BB1">
        <w:rPr>
          <w:rFonts w:eastAsiaTheme="minorEastAsia"/>
        </w:rPr>
        <w:t>is a dummy variable that is equal to 1 if the year is after 2014</w:t>
      </w:r>
      <w:r w:rsidR="00B347B3">
        <w:t xml:space="preserve">; </w:t>
      </w:r>
      <w:proofErr w:type="spellStart"/>
      <w:r w:rsidR="00B347B3" w:rsidRPr="00B347B3">
        <w:rPr>
          <w:i/>
          <w:iCs/>
        </w:rPr>
        <w:t>MD</w:t>
      </w:r>
      <w:r w:rsidR="00B347B3" w:rsidRPr="00B347B3">
        <w:rPr>
          <w:rFonts w:cstheme="minorHAnsi"/>
          <w:i/>
          <w:iCs/>
        </w:rPr>
        <w:t>•</w:t>
      </w:r>
      <w:r w:rsidR="00B347B3" w:rsidRPr="00B347B3">
        <w:rPr>
          <w:i/>
          <w:iCs/>
        </w:rPr>
        <w:t>Post</w:t>
      </w:r>
      <w:proofErr w:type="spellEnd"/>
      <w:r w:rsidR="00B347B3">
        <w:t xml:space="preserve"> is the interaction between the two aforementioned terms and t</w:t>
      </w:r>
      <w:r w:rsidR="00B347B3" w:rsidRPr="00B347B3">
        <w:t xml:space="preserve">he parameter </w:t>
      </w:r>
      <w:r w:rsidR="00B347B3">
        <w:rPr>
          <w:rFonts w:cstheme="minorHAnsi"/>
        </w:rPr>
        <w:t xml:space="preserve">δ </w:t>
      </w:r>
      <w:r w:rsidR="00B347B3" w:rsidRPr="00B347B3">
        <w:t xml:space="preserve"> estimates the D-</w:t>
      </w:r>
      <w:proofErr w:type="spellStart"/>
      <w:r w:rsidR="00B347B3" w:rsidRPr="00B347B3">
        <w:t>i</w:t>
      </w:r>
      <w:proofErr w:type="spellEnd"/>
      <w:r w:rsidR="00B347B3" w:rsidRPr="00B347B3">
        <w:t xml:space="preserve">-D of the </w:t>
      </w:r>
      <w:r w:rsidR="00B347B3">
        <w:t xml:space="preserve">centralization; </w:t>
      </w:r>
      <w:proofErr w:type="spellStart"/>
      <w:r w:rsidRPr="00E56BB1">
        <w:rPr>
          <w:i/>
        </w:rPr>
        <w:t>Patient_factors</w:t>
      </w:r>
      <w:proofErr w:type="spellEnd"/>
      <w:r>
        <w:t xml:space="preserve"> is a vector of patient characteristics</w:t>
      </w:r>
      <w:r w:rsidR="004A65D1">
        <w:t xml:space="preserve"> (</w:t>
      </w:r>
      <w:r w:rsidR="004A65D1" w:rsidRPr="004A65D1">
        <w:t>age, sex, race</w:t>
      </w:r>
      <w:r w:rsidR="004A65D1">
        <w:t>/ethnicity</w:t>
      </w:r>
      <w:r w:rsidR="004A65D1" w:rsidRPr="004A65D1">
        <w:t xml:space="preserve">, insurance type, </w:t>
      </w:r>
      <w:r w:rsidR="004A65D1">
        <w:t xml:space="preserve">and </w:t>
      </w:r>
      <w:r w:rsidR="004A65D1" w:rsidRPr="004A65D1">
        <w:t>comorbidity</w:t>
      </w:r>
      <w:r w:rsidR="004A65D1">
        <w:t xml:space="preserve">); </w:t>
      </w:r>
      <w:proofErr w:type="spellStart"/>
      <w:r w:rsidR="004A65D1" w:rsidRPr="004A65D1">
        <w:rPr>
          <w:i/>
        </w:rPr>
        <w:t>Hospital_factors</w:t>
      </w:r>
      <w:proofErr w:type="spellEnd"/>
      <w:r w:rsidR="004A65D1">
        <w:t xml:space="preserve"> is a vector of hospital characteristics (</w:t>
      </w:r>
      <w:r w:rsidR="004A65D1" w:rsidRPr="004A65D1">
        <w:t>teaching status, system membership, bed size, and</w:t>
      </w:r>
      <w:r w:rsidR="004A65D1">
        <w:t xml:space="preserve"> </w:t>
      </w:r>
      <w:r w:rsidR="004A65D1" w:rsidRPr="004A65D1">
        <w:t>location</w:t>
      </w:r>
      <w:r w:rsidR="004A65D1">
        <w:t>).</w:t>
      </w:r>
    </w:p>
    <w:p w14:paraId="3BCCE46E" w14:textId="678E2256" w:rsidR="00725612" w:rsidRDefault="00725612" w:rsidP="00E56BB1">
      <w:pPr>
        <w:pStyle w:val="Heading2"/>
        <w:numPr>
          <w:ilvl w:val="0"/>
          <w:numId w:val="5"/>
        </w:numPr>
        <w:spacing w:before="0" w:after="240" w:line="276" w:lineRule="auto"/>
        <w:ind w:left="360"/>
      </w:pPr>
      <w:r w:rsidRPr="00F75AFF">
        <w:t>Counterfactual assumption</w:t>
      </w:r>
    </w:p>
    <w:p w14:paraId="2CD8DCED" w14:textId="18D6EC63" w:rsidR="00B347B3" w:rsidRDefault="00725612" w:rsidP="00E56BB1">
      <w:pPr>
        <w:spacing w:after="240" w:line="276" w:lineRule="auto"/>
        <w:ind w:firstLine="360"/>
      </w:pPr>
      <w:r>
        <w:t>Before estimating</w:t>
      </w:r>
      <w:r w:rsidRPr="00AF6CB1">
        <w:t xml:space="preserve"> </w:t>
      </w:r>
      <w:r>
        <w:t xml:space="preserve">the </w:t>
      </w:r>
      <w:r w:rsidRPr="00AF6CB1">
        <w:t>D-</w:t>
      </w:r>
      <w:proofErr w:type="spellStart"/>
      <w:r w:rsidRPr="00AF6CB1">
        <w:t>i</w:t>
      </w:r>
      <w:proofErr w:type="spellEnd"/>
      <w:r w:rsidRPr="00AF6CB1">
        <w:t>-D</w:t>
      </w:r>
      <w:r>
        <w:t>,</w:t>
      </w:r>
      <w:r w:rsidRPr="00E56BB1">
        <w:rPr>
          <w:rFonts w:eastAsiaTheme="minorEastAsia"/>
        </w:rPr>
        <w:t xml:space="preserve"> we </w:t>
      </w:r>
      <w:r>
        <w:t>examine</w:t>
      </w:r>
      <w:r w:rsidR="002D7438">
        <w:t>d</w:t>
      </w:r>
      <w:r w:rsidR="00E56BB1">
        <w:t xml:space="preserve"> whether</w:t>
      </w:r>
      <w:r>
        <w:t xml:space="preserve"> </w:t>
      </w:r>
      <w:r w:rsidR="00E56BB1">
        <w:t xml:space="preserve">patients in </w:t>
      </w:r>
      <w:r>
        <w:t xml:space="preserve">Maryland </w:t>
      </w:r>
      <w:r w:rsidR="00FA1477">
        <w:t>s</w:t>
      </w:r>
      <w:r w:rsidR="00E56BB1">
        <w:t xml:space="preserve">hared </w:t>
      </w:r>
      <w:r w:rsidR="00FA1477">
        <w:t xml:space="preserve">a </w:t>
      </w:r>
      <w:r w:rsidR="00E56BB1">
        <w:t xml:space="preserve">similar trend </w:t>
      </w:r>
      <w:r w:rsidR="00FA1477">
        <w:t>before 2014 as</w:t>
      </w:r>
      <w:r w:rsidR="00E56BB1">
        <w:t xml:space="preserve"> those in control states</w:t>
      </w:r>
      <w:r w:rsidR="00184654">
        <w:t>, using the data between 2010 and 2013</w:t>
      </w:r>
      <w:r>
        <w:t xml:space="preserve">. </w:t>
      </w:r>
    </w:p>
    <w:p w14:paraId="3E642B00" w14:textId="1ABDE1A8" w:rsidR="00725612" w:rsidRPr="004E02CA" w:rsidRDefault="00184654" w:rsidP="00E56BB1">
      <w:pPr>
        <w:spacing w:after="240" w:line="276" w:lineRule="auto"/>
        <w:ind w:firstLine="360"/>
      </w:pPr>
      <w:r>
        <w:t xml:space="preserve">In the following equation, </w:t>
      </w:r>
      <w:proofErr w:type="spellStart"/>
      <w:r w:rsidRPr="00184654">
        <w:rPr>
          <w:i/>
          <w:iCs/>
        </w:rPr>
        <w:t>MD•Year</w:t>
      </w:r>
      <w:proofErr w:type="spellEnd"/>
      <w:r w:rsidRPr="00184654">
        <w:t xml:space="preserve"> is the interaction between </w:t>
      </w:r>
      <w:r>
        <w:t xml:space="preserve">the Maryland indicator and year. A significant interaction indicates </w:t>
      </w:r>
      <w:r w:rsidR="00725612">
        <w:t>differen</w:t>
      </w:r>
      <w:r>
        <w:t>t</w:t>
      </w:r>
      <w:r w:rsidR="00725612">
        <w:t xml:space="preserve"> </w:t>
      </w:r>
      <w:r>
        <w:t xml:space="preserve">year trends </w:t>
      </w:r>
      <w:r w:rsidR="00725612">
        <w:t xml:space="preserve">between Maryland and control </w:t>
      </w:r>
      <w:r w:rsidR="00FA1477">
        <w:t>states between 2010 and 201</w:t>
      </w:r>
      <w:r>
        <w:t>3</w:t>
      </w:r>
      <w:r w:rsidR="00725612">
        <w:t>.</w:t>
      </w:r>
      <w:r>
        <w:t xml:space="preserve"> For each complex surgery, we modeled year in two ways: (1) as a continuous variable and (2) as dummies. Both models gave the same conclusion. </w:t>
      </w:r>
    </w:p>
    <w:p w14:paraId="55D67C9F" w14:textId="604E13A4" w:rsidR="00B347B3" w:rsidRPr="00725612" w:rsidRDefault="00B347B3" w:rsidP="00B347B3">
      <w:pPr>
        <w:pStyle w:val="ListParagraph"/>
        <w:spacing w:after="240" w:line="276" w:lineRule="auto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Y=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MD+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Year+αMD•Year 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Patient_factors</m:t>
          </m:r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Hospital_factors+e</m:t>
          </m:r>
        </m:oMath>
      </m:oMathPara>
    </w:p>
    <w:p w14:paraId="57E3C470" w14:textId="2B7AFB3D" w:rsidR="00184654" w:rsidRDefault="00184654" w:rsidP="00184654">
      <w:pPr>
        <w:pStyle w:val="Heading2"/>
        <w:numPr>
          <w:ilvl w:val="0"/>
          <w:numId w:val="5"/>
        </w:numPr>
        <w:spacing w:before="0" w:after="240" w:line="276" w:lineRule="auto"/>
        <w:ind w:left="360"/>
      </w:pPr>
      <w:r>
        <w:lastRenderedPageBreak/>
        <w:t>E</w:t>
      </w:r>
      <w:r w:rsidRPr="00725612">
        <w:t>stimating difference-in-differences</w:t>
      </w:r>
      <w:r>
        <w:t xml:space="preserve"> assuming persistent </w:t>
      </w:r>
      <w:r w:rsidR="00BA12AD" w:rsidRPr="00BA12AD">
        <w:t xml:space="preserve">differential </w:t>
      </w:r>
      <w:r>
        <w:t>trends</w:t>
      </w:r>
    </w:p>
    <w:p w14:paraId="6E8978AB" w14:textId="7753610E" w:rsidR="00BA12AD" w:rsidRDefault="00BA12AD" w:rsidP="00184654">
      <w:pPr>
        <w:spacing w:after="240" w:line="276" w:lineRule="auto"/>
        <w:ind w:firstLine="360"/>
      </w:pPr>
      <w:r>
        <w:t xml:space="preserve">When the parallel trends assumption is violated, we cannot draw conclusion from the </w:t>
      </w:r>
      <w:r w:rsidRPr="00BA12AD">
        <w:t>D-</w:t>
      </w:r>
      <w:proofErr w:type="spellStart"/>
      <w:r w:rsidRPr="00BA12AD">
        <w:t>i</w:t>
      </w:r>
      <w:proofErr w:type="spellEnd"/>
      <w:r w:rsidRPr="00BA12AD">
        <w:t>-D</w:t>
      </w:r>
      <w:r>
        <w:t xml:space="preserve"> estimate in section </w:t>
      </w:r>
      <w:r w:rsidR="00B078E0">
        <w:t>C</w:t>
      </w:r>
      <w:r>
        <w:t xml:space="preserve">. However, we can use the following equation to account for the </w:t>
      </w:r>
      <w:r w:rsidR="009C4714">
        <w:t>differential trends between patients in Maryland and control states</w:t>
      </w:r>
      <w:r w:rsidR="005D27B7" w:rsidRPr="00600BF6">
        <w:rPr>
          <w:vertAlign w:val="superscript"/>
        </w:rPr>
        <w:t>1</w:t>
      </w:r>
      <w:r w:rsidR="009C4714">
        <w:t xml:space="preserve">. </w:t>
      </w:r>
      <w:r w:rsidR="009C4714" w:rsidRPr="009C4714">
        <w:rPr>
          <w:i/>
          <w:iCs/>
        </w:rPr>
        <w:t>Year</w:t>
      </w:r>
      <w:r w:rsidR="009C4714">
        <w:t xml:space="preserve"> is the calendar year in continuous form; </w:t>
      </w:r>
      <w:proofErr w:type="spellStart"/>
      <w:r w:rsidR="009C4714" w:rsidRPr="009C4714">
        <w:rPr>
          <w:i/>
          <w:iCs/>
        </w:rPr>
        <w:t>MD</w:t>
      </w:r>
      <w:r w:rsidR="009C4714" w:rsidRPr="009C4714">
        <w:rPr>
          <w:rFonts w:cstheme="minorHAnsi"/>
          <w:i/>
          <w:iCs/>
        </w:rPr>
        <w:t>•</w:t>
      </w:r>
      <w:r w:rsidR="009C4714" w:rsidRPr="009C4714">
        <w:rPr>
          <w:i/>
          <w:iCs/>
        </w:rPr>
        <w:t>Year</w:t>
      </w:r>
      <w:proofErr w:type="spellEnd"/>
      <w:r w:rsidR="009C4714">
        <w:t xml:space="preserve"> is the interaction between the Maryland indicator and year. For this D-</w:t>
      </w:r>
      <w:proofErr w:type="spellStart"/>
      <w:r w:rsidR="009C4714">
        <w:t>i</w:t>
      </w:r>
      <w:proofErr w:type="spellEnd"/>
      <w:r w:rsidR="009C4714">
        <w:t>-D estimator, the counterfactual is that patients in Maryland and control states would have follow</w:t>
      </w:r>
      <w:r w:rsidR="00C34B69">
        <w:t>ed</w:t>
      </w:r>
      <w:r w:rsidR="009C4714">
        <w:t xml:space="preserve"> their different pre-GBR trends in the post period.</w:t>
      </w:r>
    </w:p>
    <w:p w14:paraId="2E0F10FB" w14:textId="130B417B" w:rsidR="00C97AB3" w:rsidRDefault="00184654" w:rsidP="00C97AB3">
      <w:pPr>
        <w:pStyle w:val="ListParagraph"/>
        <w:spacing w:after="240" w:line="276" w:lineRule="auto"/>
      </w:pPr>
      <m:oMathPara>
        <m:oMath>
          <m:r>
            <w:rPr>
              <w:rFonts w:ascii="Cambria Math" w:hAnsi="Cambria Math"/>
            </w:rPr>
            <m:t>Y=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MD+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Post+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Year+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MD•Year+δMD•Post 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Patient_factors</m:t>
          </m:r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>Hospital_factors+e</m:t>
          </m:r>
        </m:oMath>
      </m:oMathPara>
    </w:p>
    <w:p w14:paraId="54E7AC6D" w14:textId="0C18CA21" w:rsidR="00621641" w:rsidRDefault="00621641" w:rsidP="00621641">
      <w:pPr>
        <w:pStyle w:val="Heading2"/>
        <w:numPr>
          <w:ilvl w:val="0"/>
          <w:numId w:val="5"/>
        </w:numPr>
        <w:spacing w:before="0" w:after="240" w:line="276" w:lineRule="auto"/>
        <w:ind w:left="360"/>
      </w:pPr>
      <w:bookmarkStart w:id="3" w:name="_Hlk110002732"/>
      <w:r>
        <w:t>Sensitivity analyses: Including discharges from TPR hospitals</w:t>
      </w:r>
    </w:p>
    <w:bookmarkEnd w:id="3"/>
    <w:p w14:paraId="7437D5F7" w14:textId="0EC008D6" w:rsidR="00621641" w:rsidRDefault="00C97AB3" w:rsidP="00C97AB3">
      <w:pPr>
        <w:spacing w:after="0"/>
      </w:pPr>
      <w:r w:rsidRPr="00C97AB3">
        <w:t xml:space="preserve">Table </w:t>
      </w:r>
      <w:r>
        <w:t>S</w:t>
      </w:r>
      <w:r w:rsidR="009703C5">
        <w:t>2</w:t>
      </w:r>
      <w:r w:rsidRPr="00C97AB3">
        <w:t>. Impact of Maryland Global Budget Revenue program on centralization of complex surgeries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46"/>
        <w:gridCol w:w="995"/>
        <w:gridCol w:w="871"/>
        <w:gridCol w:w="995"/>
        <w:gridCol w:w="883"/>
        <w:gridCol w:w="990"/>
        <w:gridCol w:w="1042"/>
        <w:gridCol w:w="919"/>
        <w:gridCol w:w="919"/>
      </w:tblGrid>
      <w:tr w:rsidR="00C97AB3" w:rsidRPr="00696C17" w14:paraId="2E94DD8E" w14:textId="77777777" w:rsidTr="00C97AB3">
        <w:trPr>
          <w:trHeight w:val="288"/>
        </w:trPr>
        <w:tc>
          <w:tcPr>
            <w:tcW w:w="174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2D4C5AD5" w14:textId="77777777" w:rsidR="00C97AB3" w:rsidRPr="00696C17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6C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54567C8" w14:textId="77777777" w:rsidR="00C97AB3" w:rsidRPr="00696C17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6C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 Patients in HCHs, Pre GBR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2AB4BA8" w14:textId="77777777" w:rsidR="00C97AB3" w:rsidRPr="00696C17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6C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 Patients in HCHs, Post GBR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24A5D" w14:textId="77777777" w:rsidR="00C97AB3" w:rsidRPr="00696C17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6C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 value for pre-trends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6BC5EC" w14:textId="77777777" w:rsidR="00C97AB3" w:rsidRPr="00696C17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6C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Estimates</w:t>
            </w:r>
            <w:r w:rsidRPr="00696C17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#</w:t>
            </w:r>
          </w:p>
        </w:tc>
      </w:tr>
      <w:tr w:rsidR="00C97AB3" w:rsidRPr="00696C17" w14:paraId="3E7E7200" w14:textId="77777777" w:rsidTr="00C97AB3">
        <w:trPr>
          <w:trHeight w:val="288"/>
        </w:trPr>
        <w:tc>
          <w:tcPr>
            <w:tcW w:w="174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045CDD" w14:textId="77777777" w:rsidR="00C97AB3" w:rsidRPr="00696C17" w:rsidRDefault="00C97AB3" w:rsidP="00193AB6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6B60AD" w14:textId="77777777" w:rsidR="00C97AB3" w:rsidRPr="00696C17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6C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Maryland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8B73F" w14:textId="77777777" w:rsidR="00C97AB3" w:rsidRPr="00696C17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6C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Control states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84AC307" w14:textId="77777777" w:rsidR="00C97AB3" w:rsidRPr="00696C17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6C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Maryland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8C6E7" w14:textId="77777777" w:rsidR="00C97AB3" w:rsidRPr="00696C17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6C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Control states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39DA" w14:textId="77777777" w:rsidR="00C97AB3" w:rsidRPr="00696C17" w:rsidRDefault="00C97AB3" w:rsidP="00193AB6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3AF20F0" w14:textId="77777777" w:rsidR="00C97AB3" w:rsidRPr="00696C17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6C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8F4843" w14:textId="77777777" w:rsidR="00C97AB3" w:rsidRPr="00696C17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6C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3D43191" w14:textId="77777777" w:rsidR="00C97AB3" w:rsidRPr="00696C17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6C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 value</w:t>
            </w:r>
          </w:p>
        </w:tc>
      </w:tr>
      <w:tr w:rsidR="00C97AB3" w:rsidRPr="00696C17" w14:paraId="678A1354" w14:textId="77777777" w:rsidTr="00C97AB3">
        <w:trPr>
          <w:trHeight w:val="288"/>
        </w:trPr>
        <w:tc>
          <w:tcPr>
            <w:tcW w:w="1746" w:type="dxa"/>
            <w:noWrap/>
            <w:vAlign w:val="center"/>
            <w:hideMark/>
          </w:tcPr>
          <w:p w14:paraId="13E83A2D" w14:textId="77777777" w:rsidR="00C97AB3" w:rsidRPr="00696C17" w:rsidRDefault="00C97AB3" w:rsidP="0019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6C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Gastrectomy</w:t>
            </w:r>
          </w:p>
        </w:tc>
        <w:tc>
          <w:tcPr>
            <w:tcW w:w="995" w:type="dxa"/>
            <w:vAlign w:val="center"/>
          </w:tcPr>
          <w:p w14:paraId="4F0C9176" w14:textId="77777777" w:rsidR="00C97AB3" w:rsidRPr="00696C17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6C17">
              <w:rPr>
                <w:rFonts w:ascii="Calibri" w:hAnsi="Calibri" w:cs="Calibri"/>
                <w:color w:val="000000"/>
                <w:sz w:val="20"/>
                <w:szCs w:val="20"/>
              </w:rPr>
              <w:t>42.77</w:t>
            </w:r>
          </w:p>
        </w:tc>
        <w:tc>
          <w:tcPr>
            <w:tcW w:w="871" w:type="dxa"/>
            <w:vAlign w:val="center"/>
          </w:tcPr>
          <w:p w14:paraId="30352FCA" w14:textId="77777777" w:rsidR="00C97AB3" w:rsidRPr="00696C17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6C17">
              <w:rPr>
                <w:rFonts w:ascii="Calibri" w:hAnsi="Calibri" w:cs="Calibri"/>
                <w:color w:val="000000"/>
                <w:sz w:val="20"/>
                <w:szCs w:val="20"/>
              </w:rPr>
              <w:t>28.39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771CA6" w14:textId="77777777" w:rsidR="00C97AB3" w:rsidRPr="00696C17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6C17">
              <w:rPr>
                <w:rFonts w:ascii="Calibri" w:hAnsi="Calibri" w:cs="Calibri"/>
                <w:color w:val="000000"/>
                <w:sz w:val="20"/>
                <w:szCs w:val="20"/>
              </w:rPr>
              <w:t>57.03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92ABA1" w14:textId="77777777" w:rsidR="00C97AB3" w:rsidRPr="00696C17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6C17">
              <w:rPr>
                <w:rFonts w:ascii="Calibri" w:hAnsi="Calibri" w:cs="Calibri"/>
                <w:color w:val="000000"/>
                <w:sz w:val="20"/>
                <w:szCs w:val="20"/>
              </w:rPr>
              <w:t>30.19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CEF01F" w14:textId="77777777" w:rsidR="00C97AB3" w:rsidRPr="00696C17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696C17">
              <w:rPr>
                <w:rFonts w:ascii="Calibri" w:hAnsi="Calibri" w:cs="Calibri"/>
                <w:color w:val="000000"/>
                <w:sz w:val="20"/>
                <w:szCs w:val="20"/>
              </w:rPr>
              <w:t>0.1177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DE8451" w14:textId="77777777" w:rsidR="00C97AB3" w:rsidRPr="00696C17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6C17">
              <w:rPr>
                <w:rFonts w:ascii="Calibri" w:hAnsi="Calibri" w:cs="Calibri"/>
                <w:color w:val="000000"/>
                <w:sz w:val="20"/>
                <w:szCs w:val="20"/>
              </w:rPr>
              <w:t>6.5 p.p.</w:t>
            </w:r>
          </w:p>
        </w:tc>
        <w:tc>
          <w:tcPr>
            <w:tcW w:w="919" w:type="dxa"/>
            <w:noWrap/>
            <w:vAlign w:val="center"/>
          </w:tcPr>
          <w:p w14:paraId="3086F3F7" w14:textId="77777777" w:rsidR="00C97AB3" w:rsidRPr="00696C17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6C17">
              <w:rPr>
                <w:rFonts w:ascii="Calibri" w:hAnsi="Calibri" w:cs="Calibri"/>
                <w:color w:val="000000"/>
                <w:sz w:val="20"/>
                <w:szCs w:val="20"/>
              </w:rPr>
              <w:t>3.2, 9.7</w:t>
            </w:r>
          </w:p>
        </w:tc>
        <w:tc>
          <w:tcPr>
            <w:tcW w:w="0" w:type="auto"/>
            <w:noWrap/>
            <w:vAlign w:val="center"/>
          </w:tcPr>
          <w:p w14:paraId="444A0AB8" w14:textId="77777777" w:rsidR="00C97AB3" w:rsidRPr="00696C17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6C17">
              <w:rPr>
                <w:rFonts w:ascii="Calibri" w:hAnsi="Calibri" w:cs="Calibri"/>
                <w:color w:val="000000"/>
                <w:sz w:val="20"/>
                <w:szCs w:val="20"/>
              </w:rPr>
              <w:t>&lt; 0.0001</w:t>
            </w:r>
          </w:p>
        </w:tc>
      </w:tr>
      <w:tr w:rsidR="00C97AB3" w:rsidRPr="00696C17" w14:paraId="2F8DDBDE" w14:textId="77777777" w:rsidTr="00C97AB3">
        <w:trPr>
          <w:trHeight w:val="288"/>
        </w:trPr>
        <w:tc>
          <w:tcPr>
            <w:tcW w:w="1746" w:type="dxa"/>
            <w:vAlign w:val="center"/>
            <w:hideMark/>
          </w:tcPr>
          <w:p w14:paraId="3714593B" w14:textId="77777777" w:rsidR="00C97AB3" w:rsidRPr="00696C17" w:rsidRDefault="00C97AB3" w:rsidP="0019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6C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Pneumonectomy / Lobectomy</w:t>
            </w:r>
          </w:p>
        </w:tc>
        <w:tc>
          <w:tcPr>
            <w:tcW w:w="995" w:type="dxa"/>
            <w:vAlign w:val="center"/>
          </w:tcPr>
          <w:p w14:paraId="22AFEC80" w14:textId="77777777" w:rsidR="00C97AB3" w:rsidRPr="00696C17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6C17">
              <w:rPr>
                <w:rFonts w:ascii="Calibri" w:hAnsi="Calibri" w:cs="Calibri"/>
                <w:color w:val="000000"/>
                <w:sz w:val="20"/>
                <w:szCs w:val="20"/>
              </w:rPr>
              <w:t>26.83</w:t>
            </w:r>
          </w:p>
        </w:tc>
        <w:tc>
          <w:tcPr>
            <w:tcW w:w="871" w:type="dxa"/>
            <w:vAlign w:val="center"/>
          </w:tcPr>
          <w:p w14:paraId="5210A997" w14:textId="77777777" w:rsidR="00C97AB3" w:rsidRPr="00696C17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6C17">
              <w:rPr>
                <w:rFonts w:ascii="Calibri" w:hAnsi="Calibri" w:cs="Calibri"/>
                <w:color w:val="000000"/>
                <w:sz w:val="20"/>
                <w:szCs w:val="20"/>
              </w:rPr>
              <w:t>27.40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46DD72" w14:textId="77777777" w:rsidR="00C97AB3" w:rsidRPr="00696C17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6C17">
              <w:rPr>
                <w:rFonts w:ascii="Calibri" w:hAnsi="Calibri" w:cs="Calibri"/>
                <w:color w:val="000000"/>
                <w:sz w:val="20"/>
                <w:szCs w:val="20"/>
              </w:rPr>
              <w:t>38.84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AA4538" w14:textId="77777777" w:rsidR="00C97AB3" w:rsidRPr="00696C17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6C17">
              <w:rPr>
                <w:rFonts w:ascii="Calibri" w:hAnsi="Calibri" w:cs="Calibri"/>
                <w:color w:val="000000"/>
                <w:sz w:val="20"/>
                <w:szCs w:val="20"/>
              </w:rPr>
              <w:t>27.88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2E30E9" w14:textId="77777777" w:rsidR="00C97AB3" w:rsidRPr="00696C17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696C17">
              <w:rPr>
                <w:rFonts w:ascii="Calibri" w:hAnsi="Calibri" w:cs="Calibri"/>
                <w:color w:val="000000"/>
                <w:sz w:val="20"/>
                <w:szCs w:val="20"/>
              </w:rPr>
              <w:t>0.3608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1743FD" w14:textId="77777777" w:rsidR="00C97AB3" w:rsidRPr="00696C17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6C17">
              <w:rPr>
                <w:rFonts w:ascii="Calibri" w:hAnsi="Calibri" w:cs="Calibri"/>
                <w:color w:val="000000"/>
                <w:sz w:val="20"/>
                <w:szCs w:val="20"/>
              </w:rPr>
              <w:t>11.4 p.p.</w:t>
            </w:r>
          </w:p>
        </w:tc>
        <w:tc>
          <w:tcPr>
            <w:tcW w:w="919" w:type="dxa"/>
            <w:noWrap/>
            <w:vAlign w:val="center"/>
          </w:tcPr>
          <w:p w14:paraId="3A984FF3" w14:textId="77777777" w:rsidR="00C97AB3" w:rsidRPr="00696C17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6C17">
              <w:rPr>
                <w:rFonts w:ascii="Calibri" w:hAnsi="Calibri" w:cs="Calibri"/>
                <w:color w:val="000000"/>
                <w:sz w:val="20"/>
                <w:szCs w:val="20"/>
              </w:rPr>
              <w:t>9.1, 13.7</w:t>
            </w:r>
          </w:p>
        </w:tc>
        <w:tc>
          <w:tcPr>
            <w:tcW w:w="0" w:type="auto"/>
            <w:noWrap/>
            <w:vAlign w:val="center"/>
          </w:tcPr>
          <w:p w14:paraId="003FEDAE" w14:textId="77777777" w:rsidR="00C97AB3" w:rsidRPr="00696C17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6C17">
              <w:rPr>
                <w:rFonts w:ascii="Calibri" w:hAnsi="Calibri" w:cs="Calibri"/>
                <w:color w:val="000000"/>
                <w:sz w:val="20"/>
                <w:szCs w:val="20"/>
              </w:rPr>
              <w:t>&lt; 0.0001</w:t>
            </w:r>
          </w:p>
        </w:tc>
      </w:tr>
      <w:tr w:rsidR="00C97AB3" w:rsidRPr="00696C17" w14:paraId="363ED17B" w14:textId="77777777" w:rsidTr="00C97AB3">
        <w:trPr>
          <w:trHeight w:val="288"/>
        </w:trPr>
        <w:tc>
          <w:tcPr>
            <w:tcW w:w="1746" w:type="dxa"/>
            <w:vAlign w:val="center"/>
            <w:hideMark/>
          </w:tcPr>
          <w:p w14:paraId="70389B34" w14:textId="77777777" w:rsidR="00C97AB3" w:rsidRPr="00696C17" w:rsidRDefault="00C97AB3" w:rsidP="0019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6C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Proctectomy</w:t>
            </w:r>
          </w:p>
        </w:tc>
        <w:tc>
          <w:tcPr>
            <w:tcW w:w="995" w:type="dxa"/>
            <w:vAlign w:val="center"/>
          </w:tcPr>
          <w:p w14:paraId="46A71406" w14:textId="77777777" w:rsidR="00C97AB3" w:rsidRPr="00696C17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6C17">
              <w:rPr>
                <w:rFonts w:ascii="Calibri" w:hAnsi="Calibri" w:cs="Calibri"/>
                <w:color w:val="000000"/>
                <w:sz w:val="20"/>
                <w:szCs w:val="20"/>
              </w:rPr>
              <w:t>37.80</w:t>
            </w:r>
          </w:p>
        </w:tc>
        <w:tc>
          <w:tcPr>
            <w:tcW w:w="871" w:type="dxa"/>
            <w:vAlign w:val="center"/>
          </w:tcPr>
          <w:p w14:paraId="12B80705" w14:textId="77777777" w:rsidR="00C97AB3" w:rsidRPr="00696C17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6C17">
              <w:rPr>
                <w:rFonts w:ascii="Calibri" w:hAnsi="Calibri" w:cs="Calibri"/>
                <w:color w:val="000000"/>
                <w:sz w:val="20"/>
                <w:szCs w:val="20"/>
              </w:rPr>
              <w:t>22.64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F20051" w14:textId="77777777" w:rsidR="00C97AB3" w:rsidRPr="00696C17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6C17">
              <w:rPr>
                <w:rFonts w:ascii="Calibri" w:hAnsi="Calibri" w:cs="Calibri"/>
                <w:color w:val="000000"/>
                <w:sz w:val="20"/>
                <w:szCs w:val="20"/>
              </w:rPr>
              <w:t>49.80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02F16D" w14:textId="77777777" w:rsidR="00C97AB3" w:rsidRPr="00696C17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6C17">
              <w:rPr>
                <w:rFonts w:ascii="Calibri" w:hAnsi="Calibri" w:cs="Calibri"/>
                <w:color w:val="000000"/>
                <w:sz w:val="20"/>
                <w:szCs w:val="20"/>
              </w:rPr>
              <w:t>29.53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F4BFD0" w14:textId="77777777" w:rsidR="00C97AB3" w:rsidRPr="00696C17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6C17">
              <w:rPr>
                <w:rFonts w:ascii="Calibri" w:hAnsi="Calibri" w:cs="Calibri"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6F4089" w14:textId="77777777" w:rsidR="00C97AB3" w:rsidRPr="00696C17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6C17">
              <w:rPr>
                <w:rFonts w:ascii="Calibri" w:hAnsi="Calibri" w:cs="Calibri"/>
                <w:color w:val="000000"/>
                <w:sz w:val="20"/>
                <w:szCs w:val="20"/>
              </w:rPr>
              <w:t>3.7 p.p.</w:t>
            </w:r>
          </w:p>
        </w:tc>
        <w:tc>
          <w:tcPr>
            <w:tcW w:w="919" w:type="dxa"/>
            <w:vAlign w:val="center"/>
          </w:tcPr>
          <w:p w14:paraId="250BCDE5" w14:textId="77777777" w:rsidR="00C97AB3" w:rsidRPr="00696C17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6C17">
              <w:rPr>
                <w:rFonts w:ascii="Calibri" w:hAnsi="Calibri" w:cs="Calibri"/>
                <w:color w:val="000000"/>
                <w:sz w:val="20"/>
                <w:szCs w:val="20"/>
              </w:rPr>
              <w:t>1.0, 6.4</w:t>
            </w:r>
          </w:p>
        </w:tc>
        <w:tc>
          <w:tcPr>
            <w:tcW w:w="0" w:type="auto"/>
            <w:noWrap/>
            <w:vAlign w:val="center"/>
          </w:tcPr>
          <w:p w14:paraId="50E68310" w14:textId="77777777" w:rsidR="00C97AB3" w:rsidRPr="00696C17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6C17">
              <w:rPr>
                <w:rFonts w:ascii="Calibri" w:hAnsi="Calibri" w:cs="Calibri"/>
                <w:color w:val="000000"/>
                <w:sz w:val="20"/>
                <w:szCs w:val="20"/>
              </w:rPr>
              <w:t>0.0072</w:t>
            </w:r>
          </w:p>
        </w:tc>
      </w:tr>
      <w:tr w:rsidR="00C97AB3" w:rsidRPr="00696C17" w14:paraId="34A9ECF8" w14:textId="77777777" w:rsidTr="00C97AB3">
        <w:trPr>
          <w:trHeight w:val="288"/>
        </w:trPr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F73F44" w14:textId="77777777" w:rsidR="00C97AB3" w:rsidRPr="00696C17" w:rsidRDefault="00C97AB3" w:rsidP="0019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6C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Hip/Knee Revision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42D68B" w14:textId="77777777" w:rsidR="00C97AB3" w:rsidRPr="00696C17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6C17">
              <w:rPr>
                <w:rFonts w:ascii="Calibri" w:hAnsi="Calibri" w:cs="Calibri"/>
                <w:color w:val="000000"/>
                <w:sz w:val="20"/>
                <w:szCs w:val="20"/>
              </w:rPr>
              <w:t>27.23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2D46DF" w14:textId="77777777" w:rsidR="00C97AB3" w:rsidRPr="00696C17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6C17">
              <w:rPr>
                <w:rFonts w:ascii="Calibri" w:hAnsi="Calibri" w:cs="Calibri"/>
                <w:color w:val="000000"/>
                <w:sz w:val="20"/>
                <w:szCs w:val="20"/>
              </w:rPr>
              <w:t>22.57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04B194" w14:textId="77777777" w:rsidR="00C97AB3" w:rsidRPr="00696C17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6C17">
              <w:rPr>
                <w:rFonts w:ascii="Calibri" w:hAnsi="Calibri" w:cs="Calibri"/>
                <w:color w:val="000000"/>
                <w:sz w:val="20"/>
                <w:szCs w:val="20"/>
              </w:rPr>
              <w:t>36.12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D6013" w14:textId="77777777" w:rsidR="00C97AB3" w:rsidRPr="00696C17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6C17">
              <w:rPr>
                <w:rFonts w:ascii="Calibri" w:hAnsi="Calibri" w:cs="Calibri"/>
                <w:color w:val="000000"/>
                <w:sz w:val="20"/>
                <w:szCs w:val="20"/>
              </w:rPr>
              <w:t>19.95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B5C31" w14:textId="77777777" w:rsidR="00C97AB3" w:rsidRPr="00696C17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6C17">
              <w:rPr>
                <w:rFonts w:ascii="Calibri" w:hAnsi="Calibri" w:cs="Calibri"/>
                <w:color w:val="000000"/>
                <w:sz w:val="20"/>
                <w:szCs w:val="20"/>
              </w:rPr>
              <w:t>&lt; 0.0001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0CB2D8" w14:textId="77777777" w:rsidR="00C97AB3" w:rsidRPr="00696C17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6C17">
              <w:rPr>
                <w:rFonts w:ascii="Calibri" w:hAnsi="Calibri" w:cs="Calibri"/>
                <w:color w:val="000000"/>
                <w:sz w:val="20"/>
                <w:szCs w:val="20"/>
              </w:rPr>
              <w:t>8.6 p.p.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35E9CD" w14:textId="77777777" w:rsidR="00C97AB3" w:rsidRPr="00696C17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6C17">
              <w:rPr>
                <w:rFonts w:ascii="Calibri" w:hAnsi="Calibri" w:cs="Calibri"/>
                <w:color w:val="000000"/>
                <w:sz w:val="20"/>
                <w:szCs w:val="20"/>
              </w:rPr>
              <w:t>7.0, 10.2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573571" w14:textId="77777777" w:rsidR="00C97AB3" w:rsidRPr="00696C17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6C17">
              <w:rPr>
                <w:rFonts w:ascii="Calibri" w:hAnsi="Calibri" w:cs="Calibri"/>
                <w:color w:val="000000"/>
                <w:sz w:val="20"/>
                <w:szCs w:val="20"/>
              </w:rPr>
              <w:t>&lt; 0.0001</w:t>
            </w:r>
          </w:p>
        </w:tc>
      </w:tr>
    </w:tbl>
    <w:p w14:paraId="3C912288" w14:textId="77777777" w:rsidR="00C97AB3" w:rsidRDefault="00C97AB3" w:rsidP="00C97AB3">
      <w:pPr>
        <w:spacing w:after="0"/>
      </w:pPr>
      <w:r>
        <w:t>Control states include New Jersey, and New York.</w:t>
      </w:r>
    </w:p>
    <w:p w14:paraId="26E697B8" w14:textId="77777777" w:rsidR="00C97AB3" w:rsidRDefault="00C97AB3" w:rsidP="00C97AB3">
      <w:pPr>
        <w:spacing w:after="0"/>
      </w:pPr>
      <w:r>
        <w:t>p.p. = percentage points</w:t>
      </w:r>
    </w:p>
    <w:p w14:paraId="7E08A55F" w14:textId="77573F4A" w:rsidR="00C97AB3" w:rsidRPr="00621641" w:rsidRDefault="00C97AB3" w:rsidP="00C97AB3">
      <w:pPr>
        <w:spacing w:after="0"/>
      </w:pPr>
      <w:r w:rsidRPr="00C97AB3">
        <w:rPr>
          <w:vertAlign w:val="superscript"/>
        </w:rPr>
        <w:t>#</w:t>
      </w:r>
      <w:r>
        <w:t>The model adjustment included patient age, sex, race/ethnicity, insurance type, comorbidity, hospital teaching status, system membership, bed size, and location (rural or urban).</w:t>
      </w:r>
    </w:p>
    <w:p w14:paraId="506742CA" w14:textId="5EF1F9B9" w:rsidR="005F31BE" w:rsidRDefault="005F31BE" w:rsidP="005F31BE">
      <w:pPr>
        <w:spacing w:after="240"/>
      </w:pPr>
    </w:p>
    <w:p w14:paraId="790A6806" w14:textId="75448C7C" w:rsidR="00C97AB3" w:rsidRDefault="00C97AB3" w:rsidP="00C97AB3">
      <w:pPr>
        <w:spacing w:after="0"/>
      </w:pPr>
      <w:r w:rsidRPr="00776780">
        <w:t xml:space="preserve">Table </w:t>
      </w:r>
      <w:r>
        <w:t>S</w:t>
      </w:r>
      <w:r w:rsidR="009703C5">
        <w:t>3</w:t>
      </w:r>
      <w:r w:rsidRPr="00776780">
        <w:t>. Impact of Maryland Global Budget Revenue program on centralization of complex surgeries</w:t>
      </w:r>
      <w:r>
        <w:t>, excluding 2014 data from the post period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53"/>
        <w:gridCol w:w="1155"/>
        <w:gridCol w:w="1169"/>
        <w:gridCol w:w="1183"/>
        <w:gridCol w:w="1171"/>
        <w:gridCol w:w="1117"/>
        <w:gridCol w:w="1226"/>
        <w:gridCol w:w="1006"/>
      </w:tblGrid>
      <w:tr w:rsidR="00C97AB3" w14:paraId="5D9C14F5" w14:textId="77777777" w:rsidTr="00C97AB3">
        <w:trPr>
          <w:trHeight w:val="288"/>
        </w:trPr>
        <w:tc>
          <w:tcPr>
            <w:tcW w:w="101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14:paraId="1BC59122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55D898A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% Patients in HCHs, Pre GBR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07231D8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% Patients in HCHs, Post GBR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EF2CF1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DID Estimates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#</w:t>
            </w:r>
          </w:p>
        </w:tc>
      </w:tr>
      <w:tr w:rsidR="00C97AB3" w14:paraId="00B9617E" w14:textId="77777777" w:rsidTr="00C97AB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DCDB10" w14:textId="77777777" w:rsidR="00C97AB3" w:rsidRDefault="00C97AB3" w:rsidP="00193AB6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CCC967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77765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Control states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8C24A6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6CEAC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Control states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135236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DID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459E29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95% CI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D15BBE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 value</w:t>
            </w:r>
          </w:p>
        </w:tc>
      </w:tr>
      <w:tr w:rsidR="00C97AB3" w14:paraId="46192EEA" w14:textId="77777777" w:rsidTr="00C97AB3">
        <w:trPr>
          <w:trHeight w:val="288"/>
        </w:trPr>
        <w:tc>
          <w:tcPr>
            <w:tcW w:w="1018" w:type="pct"/>
            <w:noWrap/>
            <w:vAlign w:val="center"/>
            <w:hideMark/>
          </w:tcPr>
          <w:p w14:paraId="62DDCD9A" w14:textId="77777777" w:rsidR="00C97AB3" w:rsidRDefault="00C97AB3" w:rsidP="0019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Gastrectomy</w:t>
            </w:r>
          </w:p>
        </w:tc>
        <w:tc>
          <w:tcPr>
            <w:tcW w:w="573" w:type="pct"/>
            <w:vAlign w:val="center"/>
          </w:tcPr>
          <w:p w14:paraId="72257AF0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42.77</w:t>
            </w:r>
          </w:p>
        </w:tc>
        <w:tc>
          <w:tcPr>
            <w:tcW w:w="580" w:type="pct"/>
            <w:vAlign w:val="center"/>
          </w:tcPr>
          <w:p w14:paraId="22EA475E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28.39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C0B67F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55.41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25D557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29.63</w:t>
            </w:r>
          </w:p>
        </w:tc>
        <w:tc>
          <w:tcPr>
            <w:tcW w:w="554" w:type="pct"/>
            <w:vAlign w:val="center"/>
          </w:tcPr>
          <w:p w14:paraId="62765514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 p.p.</w:t>
            </w:r>
          </w:p>
        </w:tc>
        <w:tc>
          <w:tcPr>
            <w:tcW w:w="608" w:type="pct"/>
            <w:noWrap/>
            <w:vAlign w:val="center"/>
          </w:tcPr>
          <w:p w14:paraId="70AABE5F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1.9, 8.6</w:t>
            </w:r>
          </w:p>
        </w:tc>
        <w:tc>
          <w:tcPr>
            <w:tcW w:w="499" w:type="pct"/>
            <w:noWrap/>
            <w:vAlign w:val="center"/>
          </w:tcPr>
          <w:p w14:paraId="6156481B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0.0021</w:t>
            </w:r>
          </w:p>
        </w:tc>
      </w:tr>
      <w:tr w:rsidR="00C97AB3" w14:paraId="424D31E3" w14:textId="77777777" w:rsidTr="00C97AB3">
        <w:trPr>
          <w:trHeight w:val="288"/>
        </w:trPr>
        <w:tc>
          <w:tcPr>
            <w:tcW w:w="1018" w:type="pct"/>
            <w:vAlign w:val="center"/>
            <w:hideMark/>
          </w:tcPr>
          <w:p w14:paraId="4F29B18E" w14:textId="77777777" w:rsidR="00C97AB3" w:rsidRDefault="00C97AB3" w:rsidP="0019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Pneumonectomy / Lobectomy</w:t>
            </w:r>
          </w:p>
        </w:tc>
        <w:tc>
          <w:tcPr>
            <w:tcW w:w="573" w:type="pct"/>
            <w:vAlign w:val="center"/>
          </w:tcPr>
          <w:p w14:paraId="0D8D79AB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26.83</w:t>
            </w:r>
          </w:p>
        </w:tc>
        <w:tc>
          <w:tcPr>
            <w:tcW w:w="580" w:type="pct"/>
            <w:vAlign w:val="center"/>
          </w:tcPr>
          <w:p w14:paraId="078149E0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27.40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FBC50F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41.36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C38A25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27.50</w:t>
            </w:r>
          </w:p>
        </w:tc>
        <w:tc>
          <w:tcPr>
            <w:tcW w:w="554" w:type="pct"/>
            <w:vAlign w:val="center"/>
          </w:tcPr>
          <w:p w14:paraId="36978209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14.3 p.p.</w:t>
            </w:r>
          </w:p>
        </w:tc>
        <w:tc>
          <w:tcPr>
            <w:tcW w:w="608" w:type="pct"/>
            <w:noWrap/>
            <w:vAlign w:val="center"/>
          </w:tcPr>
          <w:p w14:paraId="6D646FE1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11.8, 16.8</w:t>
            </w:r>
          </w:p>
        </w:tc>
        <w:tc>
          <w:tcPr>
            <w:tcW w:w="499" w:type="pct"/>
            <w:noWrap/>
            <w:vAlign w:val="center"/>
          </w:tcPr>
          <w:p w14:paraId="4124F80F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 0.0001</w:t>
            </w:r>
          </w:p>
        </w:tc>
      </w:tr>
      <w:tr w:rsidR="00C97AB3" w14:paraId="7FE62380" w14:textId="77777777" w:rsidTr="00C97AB3">
        <w:trPr>
          <w:trHeight w:val="288"/>
        </w:trPr>
        <w:tc>
          <w:tcPr>
            <w:tcW w:w="1018" w:type="pct"/>
            <w:vAlign w:val="center"/>
            <w:hideMark/>
          </w:tcPr>
          <w:p w14:paraId="267FB486" w14:textId="77777777" w:rsidR="00C97AB3" w:rsidRDefault="00C97AB3" w:rsidP="0019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Proctectomy</w:t>
            </w:r>
          </w:p>
        </w:tc>
        <w:tc>
          <w:tcPr>
            <w:tcW w:w="573" w:type="pct"/>
            <w:vAlign w:val="center"/>
          </w:tcPr>
          <w:p w14:paraId="0C3D311B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37.80</w:t>
            </w:r>
          </w:p>
        </w:tc>
        <w:tc>
          <w:tcPr>
            <w:tcW w:w="580" w:type="pct"/>
            <w:vAlign w:val="center"/>
          </w:tcPr>
          <w:p w14:paraId="229183AB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22.64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750D10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54.69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8305C3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28.54</w:t>
            </w:r>
          </w:p>
        </w:tc>
        <w:tc>
          <w:tcPr>
            <w:tcW w:w="554" w:type="pct"/>
            <w:vAlign w:val="center"/>
          </w:tcPr>
          <w:p w14:paraId="4980F9B5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 p.p.</w:t>
            </w:r>
          </w:p>
        </w:tc>
        <w:tc>
          <w:tcPr>
            <w:tcW w:w="608" w:type="pct"/>
            <w:vAlign w:val="center"/>
          </w:tcPr>
          <w:p w14:paraId="73F875EF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5.5, 11.4</w:t>
            </w:r>
          </w:p>
        </w:tc>
        <w:tc>
          <w:tcPr>
            <w:tcW w:w="499" w:type="pct"/>
            <w:noWrap/>
            <w:vAlign w:val="center"/>
          </w:tcPr>
          <w:p w14:paraId="1DD14238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 0.0001</w:t>
            </w:r>
          </w:p>
        </w:tc>
      </w:tr>
      <w:tr w:rsidR="00C97AB3" w14:paraId="3295FC26" w14:textId="77777777" w:rsidTr="00C97AB3">
        <w:trPr>
          <w:trHeight w:val="288"/>
        </w:trPr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ECD871" w14:textId="77777777" w:rsidR="00C97AB3" w:rsidRDefault="00C97AB3" w:rsidP="0019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Hip/Knee Revision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38331B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27.23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0D544C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22.57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67B801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39.04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AFABE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20.37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4238F2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9.9 p.p.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8F6160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8.2, 11.6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9761F7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 0.0001</w:t>
            </w:r>
          </w:p>
        </w:tc>
      </w:tr>
    </w:tbl>
    <w:p w14:paraId="050381CC" w14:textId="77777777" w:rsidR="00C97AB3" w:rsidRDefault="00C97AB3" w:rsidP="00C97AB3">
      <w:pPr>
        <w:spacing w:after="0"/>
      </w:pPr>
      <w:r>
        <w:t>Control states include New Jersey, and New York.</w:t>
      </w:r>
    </w:p>
    <w:p w14:paraId="72972A9A" w14:textId="77777777" w:rsidR="00C97AB3" w:rsidRDefault="00C97AB3" w:rsidP="00C97AB3">
      <w:pPr>
        <w:spacing w:after="0"/>
      </w:pPr>
      <w:r>
        <w:t>p.p. = percentage points</w:t>
      </w:r>
    </w:p>
    <w:p w14:paraId="0406196F" w14:textId="365FB506" w:rsidR="00C97AB3" w:rsidRDefault="00C97AB3" w:rsidP="00C97AB3">
      <w:pPr>
        <w:spacing w:after="240"/>
      </w:pPr>
      <w:r w:rsidRPr="00C97AB3">
        <w:rPr>
          <w:vertAlign w:val="superscript"/>
        </w:rPr>
        <w:t>#</w:t>
      </w:r>
      <w:r>
        <w:t>The model adjustment included patient age, sex, race/ethnicity, insurance type, comorbidity, hospital teaching status, system membership, bed size, and location (rural or urban).</w:t>
      </w:r>
    </w:p>
    <w:p w14:paraId="0804E5F4" w14:textId="77777777" w:rsidR="00C97AB3" w:rsidRDefault="00C97AB3" w:rsidP="00C97AB3">
      <w:pPr>
        <w:spacing w:after="0"/>
      </w:pPr>
    </w:p>
    <w:p w14:paraId="0A8AA72D" w14:textId="43E1E3C7" w:rsidR="00C97AB3" w:rsidRDefault="00C97AB3" w:rsidP="00C97AB3">
      <w:pPr>
        <w:spacing w:after="0"/>
      </w:pPr>
      <w:r w:rsidRPr="00776780">
        <w:lastRenderedPageBreak/>
        <w:t xml:space="preserve">Table </w:t>
      </w:r>
      <w:r>
        <w:t>S</w:t>
      </w:r>
      <w:r w:rsidR="009703C5">
        <w:t>4</w:t>
      </w:r>
      <w:r w:rsidRPr="00776780">
        <w:t>. Impact of Maryland Global Budget Revenue program on centralization of</w:t>
      </w:r>
      <w:r w:rsidRPr="00090411">
        <w:t xml:space="preserve"> </w:t>
      </w:r>
      <w:r>
        <w:t>h</w:t>
      </w:r>
      <w:r w:rsidRPr="00090411">
        <w:t>ip/</w:t>
      </w:r>
      <w:r>
        <w:t>k</w:t>
      </w:r>
      <w:r w:rsidRPr="00090411">
        <w:t xml:space="preserve">nee </w:t>
      </w:r>
      <w:r>
        <w:t>r</w:t>
      </w:r>
      <w:r w:rsidRPr="00090411">
        <w:t>evision</w:t>
      </w:r>
      <w:r>
        <w:t>, assuming persistent trends</w:t>
      </w:r>
    </w:p>
    <w:tbl>
      <w:tblPr>
        <w:tblW w:w="5310" w:type="dxa"/>
        <w:tblLook w:val="04A0" w:firstRow="1" w:lastRow="0" w:firstColumn="1" w:lastColumn="0" w:noHBand="0" w:noVBand="1"/>
      </w:tblPr>
      <w:tblGrid>
        <w:gridCol w:w="1720"/>
        <w:gridCol w:w="1100"/>
        <w:gridCol w:w="1230"/>
        <w:gridCol w:w="1260"/>
      </w:tblGrid>
      <w:tr w:rsidR="00C97AB3" w14:paraId="2727E6ED" w14:textId="77777777" w:rsidTr="00193AB6">
        <w:trPr>
          <w:trHeight w:val="288"/>
        </w:trPr>
        <w:tc>
          <w:tcPr>
            <w:tcW w:w="1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A66ED4C" w14:textId="77777777" w:rsidR="00C97AB3" w:rsidRDefault="00C97AB3" w:rsidP="0019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2014 data in the post period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AA5912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DID Estimates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#</w:t>
            </w:r>
          </w:p>
        </w:tc>
      </w:tr>
      <w:tr w:rsidR="00C97AB3" w14:paraId="254DEEA0" w14:textId="77777777" w:rsidTr="00193AB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D2CE57" w14:textId="77777777" w:rsidR="00C97AB3" w:rsidRDefault="00C97AB3" w:rsidP="00193AB6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0" w:type="dxa"/>
            <w:vAlign w:val="bottom"/>
            <w:hideMark/>
          </w:tcPr>
          <w:p w14:paraId="7242BAF1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DID</w:t>
            </w:r>
          </w:p>
        </w:tc>
        <w:tc>
          <w:tcPr>
            <w:tcW w:w="1230" w:type="dxa"/>
            <w:vAlign w:val="bottom"/>
            <w:hideMark/>
          </w:tcPr>
          <w:p w14:paraId="050A9981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95% CI</w:t>
            </w:r>
          </w:p>
        </w:tc>
        <w:tc>
          <w:tcPr>
            <w:tcW w:w="1260" w:type="dxa"/>
            <w:vAlign w:val="bottom"/>
            <w:hideMark/>
          </w:tcPr>
          <w:p w14:paraId="02AF9759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 value</w:t>
            </w:r>
          </w:p>
        </w:tc>
      </w:tr>
      <w:tr w:rsidR="00C97AB3" w14:paraId="2F0B37A3" w14:textId="77777777" w:rsidTr="00193AB6">
        <w:trPr>
          <w:trHeight w:val="288"/>
        </w:trPr>
        <w:tc>
          <w:tcPr>
            <w:tcW w:w="1720" w:type="dxa"/>
            <w:vAlign w:val="center"/>
            <w:hideMark/>
          </w:tcPr>
          <w:p w14:paraId="39C839EF" w14:textId="77777777" w:rsidR="00C97AB3" w:rsidRDefault="00C97AB3" w:rsidP="0019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634D15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4.9 p.p.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990EE80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1.6, 8.2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81A9676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0.0035</w:t>
            </w:r>
          </w:p>
        </w:tc>
      </w:tr>
      <w:tr w:rsidR="00C97AB3" w14:paraId="345CC07A" w14:textId="77777777" w:rsidTr="00193AB6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622AF9" w14:textId="77777777" w:rsidR="00C97AB3" w:rsidRDefault="00C97AB3" w:rsidP="00193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178C97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 p.p.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79598B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4.3, 12.6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6CF76D" w14:textId="77777777" w:rsidR="00C97AB3" w:rsidRDefault="00C97AB3" w:rsidP="00193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0.0001</w:t>
            </w:r>
          </w:p>
        </w:tc>
      </w:tr>
    </w:tbl>
    <w:p w14:paraId="6550E4C8" w14:textId="77777777" w:rsidR="00C97AB3" w:rsidRDefault="00C97AB3" w:rsidP="00C97AB3">
      <w:pPr>
        <w:spacing w:after="0" w:line="240" w:lineRule="auto"/>
      </w:pPr>
      <w:r>
        <w:t>Control states include New Jersey and New York.</w:t>
      </w:r>
    </w:p>
    <w:p w14:paraId="6B65AC0A" w14:textId="77777777" w:rsidR="00C97AB3" w:rsidRDefault="00C97AB3" w:rsidP="00C97AB3">
      <w:pPr>
        <w:spacing w:after="0" w:line="240" w:lineRule="auto"/>
      </w:pPr>
      <w:r>
        <w:t>p.p. = percentage points</w:t>
      </w:r>
    </w:p>
    <w:p w14:paraId="3685DE3D" w14:textId="77777777" w:rsidR="00C97AB3" w:rsidRDefault="00C97AB3" w:rsidP="00C97AB3">
      <w:pPr>
        <w:spacing w:after="0" w:line="240" w:lineRule="auto"/>
      </w:pPr>
      <w:r>
        <w:t>#The model adjustment included patient age, sex, race, insurance type, comorbidity, hospital teaching status, system membership, bed size, and location (rural or urban).</w:t>
      </w:r>
    </w:p>
    <w:p w14:paraId="48ABA57F" w14:textId="77777777" w:rsidR="00C97AB3" w:rsidRDefault="00C97AB3" w:rsidP="00C97AB3"/>
    <w:p w14:paraId="583E22AD" w14:textId="2C13D3BB" w:rsidR="00C97AB3" w:rsidRDefault="006F5757" w:rsidP="00C97AB3">
      <w:pPr>
        <w:pStyle w:val="Heading2"/>
        <w:numPr>
          <w:ilvl w:val="0"/>
          <w:numId w:val="5"/>
        </w:numPr>
        <w:spacing w:before="0" w:after="240" w:line="276" w:lineRule="auto"/>
        <w:ind w:left="360"/>
      </w:pPr>
      <w:r>
        <w:t xml:space="preserve">Use </w:t>
      </w:r>
      <w:r w:rsidRPr="006F5757">
        <w:t>Herfindahl-Hirschman Index</w:t>
      </w:r>
      <w:r>
        <w:t xml:space="preserve"> to measure market competition</w:t>
      </w:r>
    </w:p>
    <w:p w14:paraId="4EAB6910" w14:textId="1FDB2319" w:rsidR="00C97AB3" w:rsidRDefault="006F5757" w:rsidP="006F5757">
      <w:pPr>
        <w:spacing w:after="240"/>
        <w:ind w:left="360"/>
      </w:pPr>
      <w:r>
        <w:t>For each surgery, the HHI at the state level each year was calculated</w:t>
      </w:r>
      <w:r w:rsidR="0085313A">
        <w:t xml:space="preserve"> and plotted (Figure S2)</w:t>
      </w:r>
      <w:r>
        <w:t>.</w:t>
      </w:r>
      <w:r w:rsidRPr="006F5757">
        <w:rPr>
          <w:vertAlign w:val="superscript"/>
        </w:rPr>
        <w:t>2</w:t>
      </w:r>
      <w:r w:rsidR="00C60156">
        <w:t xml:space="preserve"> Table S5 shows the HHI in Maryland and control states, pre and post GBR, and the difference in differences.</w:t>
      </w:r>
    </w:p>
    <w:p w14:paraId="463FC702" w14:textId="77777777" w:rsidR="009703C5" w:rsidRPr="00D3068C" w:rsidRDefault="009703C5" w:rsidP="009703C5">
      <w:pPr>
        <w:autoSpaceDE w:val="0"/>
        <w:autoSpaceDN w:val="0"/>
        <w:adjustRightInd w:val="0"/>
        <w:spacing w:after="0" w:line="276" w:lineRule="auto"/>
        <w:rPr>
          <w:rFonts w:cstheme="minorHAnsi"/>
          <w:u w:val="single"/>
          <w:shd w:val="clear" w:color="auto" w:fill="FFFFFF"/>
        </w:rPr>
      </w:pPr>
      <w:r w:rsidRPr="00776780">
        <w:t xml:space="preserve">Table </w:t>
      </w:r>
      <w:r>
        <w:t>S5.</w:t>
      </w:r>
      <w:r w:rsidRPr="00776780">
        <w:t xml:space="preserve"> </w:t>
      </w:r>
      <w:r w:rsidRPr="00C60156">
        <w:t>Herfindahl-Hirschman Index</w:t>
      </w:r>
      <w:r>
        <w:t xml:space="preserve"> in Maryland and control states, pre and post GBR.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51"/>
        <w:gridCol w:w="1073"/>
        <w:gridCol w:w="1108"/>
        <w:gridCol w:w="1073"/>
        <w:gridCol w:w="882"/>
        <w:gridCol w:w="1074"/>
        <w:gridCol w:w="1073"/>
        <w:gridCol w:w="972"/>
        <w:gridCol w:w="1074"/>
      </w:tblGrid>
      <w:tr w:rsidR="009703C5" w:rsidRPr="00D3068C" w14:paraId="6497A69B" w14:textId="77777777" w:rsidTr="00DB0760">
        <w:trPr>
          <w:trHeight w:val="302"/>
        </w:trPr>
        <w:tc>
          <w:tcPr>
            <w:tcW w:w="86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C278FC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068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1AA82C8C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068C">
              <w:rPr>
                <w:rFonts w:ascii="Calibri" w:eastAsia="Times New Roman" w:hAnsi="Calibri" w:cs="Calibri"/>
                <w:color w:val="000000"/>
              </w:rPr>
              <w:t>HHI, Pre GBR</w:t>
            </w:r>
          </w:p>
        </w:tc>
        <w:tc>
          <w:tcPr>
            <w:tcW w:w="1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0C1B7E6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Include 2014 in the post period</w:t>
            </w:r>
          </w:p>
        </w:tc>
        <w:tc>
          <w:tcPr>
            <w:tcW w:w="154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B8BF81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Exclude 2014 in the post period</w:t>
            </w:r>
          </w:p>
        </w:tc>
      </w:tr>
      <w:tr w:rsidR="009703C5" w:rsidRPr="00D3068C" w14:paraId="151FB84D" w14:textId="77777777" w:rsidTr="00DB0760">
        <w:trPr>
          <w:trHeight w:val="302"/>
        </w:trPr>
        <w:tc>
          <w:tcPr>
            <w:tcW w:w="869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73FB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13EB3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F1CB0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068C">
              <w:rPr>
                <w:rFonts w:ascii="Calibri" w:eastAsia="Times New Roman" w:hAnsi="Calibri" w:cs="Calibri"/>
                <w:color w:val="000000"/>
              </w:rPr>
              <w:t>HHI (%), Post GBR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6699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7078F38A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068C">
              <w:rPr>
                <w:rFonts w:ascii="Calibri" w:eastAsia="Times New Roman" w:hAnsi="Calibri" w:cs="Calibri"/>
                <w:color w:val="000000"/>
              </w:rPr>
              <w:t xml:space="preserve">Observed </w:t>
            </w:r>
            <w:proofErr w:type="spellStart"/>
            <w:r w:rsidRPr="00D3068C">
              <w:rPr>
                <w:rFonts w:ascii="Calibri" w:eastAsia="Times New Roman" w:hAnsi="Calibri" w:cs="Calibri"/>
                <w:color w:val="000000"/>
              </w:rPr>
              <w:t>DiD</w:t>
            </w:r>
            <w:proofErr w:type="spellEnd"/>
            <w:r w:rsidRPr="00D3068C">
              <w:rPr>
                <w:rFonts w:ascii="Calibri" w:eastAsia="Times New Roman" w:hAnsi="Calibri" w:cs="Calibri"/>
                <w:color w:val="000000"/>
              </w:rPr>
              <w:t xml:space="preserve"> (p.p.)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3EDEA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068C">
              <w:rPr>
                <w:rFonts w:ascii="Calibri" w:eastAsia="Times New Roman" w:hAnsi="Calibri" w:cs="Calibri"/>
                <w:color w:val="000000"/>
              </w:rPr>
              <w:t>HHI (%), Post GBR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5C6B22B7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068C">
              <w:rPr>
                <w:rFonts w:ascii="Calibri" w:eastAsia="Times New Roman" w:hAnsi="Calibri" w:cs="Calibri"/>
                <w:color w:val="000000"/>
              </w:rPr>
              <w:t xml:space="preserve">Observed </w:t>
            </w:r>
            <w:proofErr w:type="spellStart"/>
            <w:r w:rsidRPr="00D3068C">
              <w:rPr>
                <w:rFonts w:ascii="Calibri" w:eastAsia="Times New Roman" w:hAnsi="Calibri" w:cs="Calibri"/>
                <w:color w:val="000000"/>
              </w:rPr>
              <w:t>DiD</w:t>
            </w:r>
            <w:proofErr w:type="spellEnd"/>
            <w:r w:rsidRPr="00D3068C">
              <w:rPr>
                <w:rFonts w:ascii="Calibri" w:eastAsia="Times New Roman" w:hAnsi="Calibri" w:cs="Calibri"/>
                <w:color w:val="000000"/>
              </w:rPr>
              <w:t xml:space="preserve"> (p.p.)</w:t>
            </w:r>
          </w:p>
        </w:tc>
      </w:tr>
      <w:tr w:rsidR="009703C5" w:rsidRPr="00D3068C" w14:paraId="14021B1F" w14:textId="77777777" w:rsidTr="00DB0760">
        <w:trPr>
          <w:trHeight w:val="302"/>
        </w:trPr>
        <w:tc>
          <w:tcPr>
            <w:tcW w:w="869" w:type="pct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EE1213" w14:textId="77777777" w:rsidR="009703C5" w:rsidRPr="00D3068C" w:rsidRDefault="009703C5" w:rsidP="00DB0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385445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068C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AE2A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068C">
              <w:rPr>
                <w:rFonts w:ascii="Calibri" w:eastAsia="Times New Roman" w:hAnsi="Calibri" w:cs="Calibri"/>
                <w:color w:val="000000"/>
              </w:rPr>
              <w:t>Control states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F74598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068C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5A4DE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068C">
              <w:rPr>
                <w:rFonts w:ascii="Calibri" w:eastAsia="Times New Roman" w:hAnsi="Calibri" w:cs="Calibri"/>
                <w:color w:val="000000"/>
              </w:rPr>
              <w:t>Control states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2D1E1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D3AA0E4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068C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3B4A48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068C">
              <w:rPr>
                <w:rFonts w:ascii="Calibri" w:eastAsia="Times New Roman" w:hAnsi="Calibri" w:cs="Calibri"/>
                <w:color w:val="000000"/>
              </w:rPr>
              <w:t>Control states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69D84F1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03C5" w:rsidRPr="00D3068C" w14:paraId="2915FBEC" w14:textId="77777777" w:rsidTr="00DB0760">
        <w:trPr>
          <w:trHeight w:val="302"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3A9F" w14:textId="77777777" w:rsidR="009703C5" w:rsidRPr="00D3068C" w:rsidRDefault="009703C5" w:rsidP="00DB0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68C">
              <w:rPr>
                <w:rFonts w:ascii="Calibri" w:eastAsia="Times New Roman" w:hAnsi="Calibri" w:cs="Calibri"/>
                <w:color w:val="000000"/>
              </w:rPr>
              <w:t>Gastrectomy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0AEBD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068C">
              <w:rPr>
                <w:rFonts w:ascii="Calibri" w:eastAsia="Times New Roman" w:hAnsi="Calibri" w:cs="Calibri"/>
                <w:color w:val="000000"/>
              </w:rPr>
              <w:t>11.05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C85B8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068C">
              <w:rPr>
                <w:rFonts w:ascii="Calibri" w:eastAsia="Times New Roman" w:hAnsi="Calibri" w:cs="Calibri"/>
                <w:color w:val="000000"/>
              </w:rPr>
              <w:t>5.95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29D77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068C">
              <w:rPr>
                <w:rFonts w:ascii="Calibri" w:eastAsia="Times New Roman" w:hAnsi="Calibri" w:cs="Calibri"/>
                <w:color w:val="000000"/>
              </w:rPr>
              <w:t>19.55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ABDB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068C">
              <w:rPr>
                <w:rFonts w:ascii="Calibri" w:eastAsia="Times New Roman" w:hAnsi="Calibri" w:cs="Calibri"/>
                <w:color w:val="000000"/>
              </w:rPr>
              <w:t>6.17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D14A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068C">
              <w:rPr>
                <w:rFonts w:ascii="Calibri" w:eastAsia="Times New Roman" w:hAnsi="Calibri" w:cs="Calibri"/>
                <w:color w:val="000000"/>
              </w:rPr>
              <w:t>8.28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09F0D5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068C">
              <w:rPr>
                <w:rFonts w:ascii="Calibri" w:eastAsia="Times New Roman" w:hAnsi="Calibri" w:cs="Calibri"/>
                <w:color w:val="000000"/>
              </w:rPr>
              <w:t>20.90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68D2E7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068C">
              <w:rPr>
                <w:rFonts w:ascii="Calibri" w:eastAsia="Times New Roman" w:hAnsi="Calibri" w:cs="Calibri"/>
                <w:color w:val="000000"/>
              </w:rPr>
              <w:t>6.06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6FB240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068C">
              <w:rPr>
                <w:rFonts w:ascii="Calibri" w:eastAsia="Times New Roman" w:hAnsi="Calibri" w:cs="Calibri"/>
                <w:color w:val="000000"/>
              </w:rPr>
              <w:t>9.74</w:t>
            </w:r>
          </w:p>
        </w:tc>
      </w:tr>
      <w:tr w:rsidR="009703C5" w:rsidRPr="00D3068C" w14:paraId="4E08DC9F" w14:textId="77777777" w:rsidTr="00DB0760">
        <w:trPr>
          <w:trHeight w:val="302"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E48D4" w14:textId="77777777" w:rsidR="009703C5" w:rsidRPr="00D3068C" w:rsidRDefault="009703C5" w:rsidP="00DB0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68C">
              <w:rPr>
                <w:rFonts w:ascii="Calibri" w:eastAsia="Times New Roman" w:hAnsi="Calibri" w:cs="Calibri"/>
                <w:color w:val="000000"/>
              </w:rPr>
              <w:t>Pneumonectomy / Lobectomy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CBA6A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068C">
              <w:rPr>
                <w:rFonts w:ascii="Calibri" w:eastAsia="Times New Roman" w:hAnsi="Calibri" w:cs="Calibri"/>
                <w:color w:val="000000"/>
              </w:rPr>
              <w:t>6.98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866B2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068C">
              <w:rPr>
                <w:rFonts w:ascii="Calibri" w:eastAsia="Times New Roman" w:hAnsi="Calibri" w:cs="Calibri"/>
                <w:color w:val="000000"/>
              </w:rPr>
              <w:t>5.72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8B3F9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068C">
              <w:rPr>
                <w:rFonts w:ascii="Calibri" w:eastAsia="Times New Roman" w:hAnsi="Calibri" w:cs="Calibri"/>
                <w:color w:val="000000"/>
              </w:rPr>
              <w:t>7.63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344B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068C">
              <w:rPr>
                <w:rFonts w:ascii="Calibri" w:eastAsia="Times New Roman" w:hAnsi="Calibri" w:cs="Calibri"/>
                <w:color w:val="000000"/>
              </w:rPr>
              <w:t>6.35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FD1D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068C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69E92C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068C">
              <w:rPr>
                <w:rFonts w:ascii="Calibri" w:eastAsia="Times New Roman" w:hAnsi="Calibri" w:cs="Calibri"/>
                <w:color w:val="000000"/>
              </w:rPr>
              <w:t>7.85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231A33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068C">
              <w:rPr>
                <w:rFonts w:ascii="Calibri" w:eastAsia="Times New Roman" w:hAnsi="Calibri" w:cs="Calibri"/>
                <w:color w:val="000000"/>
              </w:rPr>
              <w:t>6.38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B0C881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068C"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</w:tr>
      <w:tr w:rsidR="009703C5" w:rsidRPr="00D3068C" w14:paraId="3BD8006A" w14:textId="77777777" w:rsidTr="00DB0760">
        <w:trPr>
          <w:trHeight w:val="302"/>
        </w:trPr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49ED9" w14:textId="77777777" w:rsidR="009703C5" w:rsidRPr="00D3068C" w:rsidRDefault="009703C5" w:rsidP="00DB0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68C">
              <w:rPr>
                <w:rFonts w:ascii="Calibri" w:eastAsia="Times New Roman" w:hAnsi="Calibri" w:cs="Calibri"/>
                <w:color w:val="000000"/>
              </w:rPr>
              <w:t>Proctectomy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EB190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068C">
              <w:rPr>
                <w:rFonts w:ascii="Calibri" w:eastAsia="Times New Roman" w:hAnsi="Calibri" w:cs="Calibri"/>
                <w:color w:val="000000"/>
              </w:rPr>
              <w:t>6.95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ECD23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068C">
              <w:rPr>
                <w:rFonts w:ascii="Calibri" w:eastAsia="Times New Roman" w:hAnsi="Calibri" w:cs="Calibri"/>
                <w:color w:val="000000"/>
              </w:rPr>
              <w:t>4.23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079CE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068C">
              <w:rPr>
                <w:rFonts w:ascii="Calibri" w:eastAsia="Times New Roman" w:hAnsi="Calibri" w:cs="Calibri"/>
                <w:color w:val="000000"/>
              </w:rPr>
              <w:t>9.90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8F42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068C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8C06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068C">
              <w:rPr>
                <w:rFonts w:ascii="Calibri" w:eastAsia="Times New Roman" w:hAnsi="Calibri" w:cs="Calibri"/>
                <w:color w:val="000000"/>
              </w:rPr>
              <w:t>2.19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C1C0C0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068C">
              <w:rPr>
                <w:rFonts w:ascii="Calibri" w:eastAsia="Times New Roman" w:hAnsi="Calibri" w:cs="Calibri"/>
                <w:color w:val="000000"/>
              </w:rPr>
              <w:t>11.03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0C7637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068C">
              <w:rPr>
                <w:rFonts w:ascii="Calibri" w:eastAsia="Times New Roman" w:hAnsi="Calibri" w:cs="Calibri"/>
                <w:color w:val="000000"/>
              </w:rPr>
              <w:t>5.05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200E78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068C">
              <w:rPr>
                <w:rFonts w:ascii="Calibri" w:eastAsia="Times New Roman" w:hAnsi="Calibri" w:cs="Calibri"/>
                <w:color w:val="000000"/>
              </w:rPr>
              <w:t>3.26</w:t>
            </w:r>
          </w:p>
        </w:tc>
      </w:tr>
      <w:tr w:rsidR="009703C5" w:rsidRPr="00D3068C" w14:paraId="039A5EA3" w14:textId="77777777" w:rsidTr="00DB0760">
        <w:trPr>
          <w:trHeight w:val="302"/>
        </w:trPr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94AEDC" w14:textId="77777777" w:rsidR="009703C5" w:rsidRPr="00D3068C" w:rsidRDefault="009703C5" w:rsidP="00DB07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68C">
              <w:rPr>
                <w:rFonts w:ascii="Calibri" w:eastAsia="Times New Roman" w:hAnsi="Calibri" w:cs="Calibri"/>
                <w:color w:val="000000"/>
              </w:rPr>
              <w:t>Hip/Knee Revision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50B49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068C">
              <w:rPr>
                <w:rFonts w:ascii="Calibri" w:eastAsia="Times New Roman" w:hAnsi="Calibri" w:cs="Calibri"/>
                <w:color w:val="000000"/>
              </w:rPr>
              <w:t>6.30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8EAF6E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068C">
              <w:rPr>
                <w:rFonts w:ascii="Calibri" w:eastAsia="Times New Roman" w:hAnsi="Calibri" w:cs="Calibri"/>
                <w:color w:val="000000"/>
              </w:rPr>
              <w:t>5.45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D0CD8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068C">
              <w:rPr>
                <w:rFonts w:ascii="Calibri" w:eastAsia="Times New Roman" w:hAnsi="Calibri" w:cs="Calibri"/>
                <w:color w:val="000000"/>
              </w:rPr>
              <w:t>5.71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73F0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068C">
              <w:rPr>
                <w:rFonts w:ascii="Calibri" w:eastAsia="Times New Roman" w:hAnsi="Calibri" w:cs="Calibri"/>
                <w:color w:val="000000"/>
              </w:rPr>
              <w:t>4.53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A43E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068C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07A122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068C">
              <w:rPr>
                <w:rFonts w:ascii="Calibri" w:eastAsia="Times New Roman" w:hAnsi="Calibri" w:cs="Calibri"/>
                <w:color w:val="000000"/>
              </w:rPr>
              <w:t>5.65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D818B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068C">
              <w:rPr>
                <w:rFonts w:ascii="Calibri" w:eastAsia="Times New Roman" w:hAnsi="Calibri" w:cs="Calibri"/>
                <w:color w:val="000000"/>
              </w:rPr>
              <w:t>4.46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1FBCC9" w14:textId="77777777" w:rsidR="009703C5" w:rsidRPr="00D3068C" w:rsidRDefault="009703C5" w:rsidP="00DB07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3068C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</w:tr>
    </w:tbl>
    <w:p w14:paraId="542D511B" w14:textId="77777777" w:rsidR="009703C5" w:rsidRDefault="009703C5" w:rsidP="009703C5">
      <w:pPr>
        <w:pStyle w:val="Heading1"/>
      </w:pPr>
    </w:p>
    <w:p w14:paraId="34DE49DA" w14:textId="4EC40CE2" w:rsidR="0085313A" w:rsidRDefault="0085313A">
      <w:r>
        <w:br w:type="page"/>
      </w:r>
    </w:p>
    <w:p w14:paraId="522F0807" w14:textId="21AB13F5" w:rsidR="0085313A" w:rsidRPr="00C60156" w:rsidRDefault="00201A40" w:rsidP="006F5757">
      <w:pPr>
        <w:spacing w:after="240"/>
        <w:ind w:left="360"/>
      </w:pPr>
      <w:r>
        <w:rPr>
          <w:noProof/>
        </w:rPr>
        <w:lastRenderedPageBreak/>
        <w:drawing>
          <wp:inline distT="0" distB="0" distL="0" distR="0" wp14:anchorId="3B29639D" wp14:editId="5A4EFD61">
            <wp:extent cx="6096012" cy="6096012"/>
            <wp:effectExtent l="0" t="0" r="0" b="0"/>
            <wp:docPr id="2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72922 HHI_stat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12" cy="60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0956C" w14:textId="07B7F73D" w:rsidR="00C60156" w:rsidRDefault="0085313A">
      <w:r>
        <w:t>Figure S2. HHI</w:t>
      </w:r>
      <w:r w:rsidR="00201A40">
        <w:t>s</w:t>
      </w:r>
      <w:r>
        <w:t xml:space="preserve"> for hip or knee revision, gastrectomy, pneumonectomy or lobectomy, and proctectomy at the state level by year, 2010-2017.</w:t>
      </w:r>
    </w:p>
    <w:p w14:paraId="6ABC2EC2" w14:textId="77777777" w:rsidR="0085313A" w:rsidRDefault="0085313A"/>
    <w:p w14:paraId="247A21C4" w14:textId="0CCDA266" w:rsidR="005F31BE" w:rsidRDefault="005F31BE" w:rsidP="005F31BE">
      <w:pPr>
        <w:pStyle w:val="Heading1"/>
      </w:pPr>
      <w:r>
        <w:t>Reference</w:t>
      </w:r>
    </w:p>
    <w:p w14:paraId="7C6E22A2" w14:textId="213F652A" w:rsidR="005F31BE" w:rsidRDefault="008F5109" w:rsidP="00D90B83">
      <w:pPr>
        <w:pStyle w:val="ListParagraph"/>
        <w:numPr>
          <w:ilvl w:val="0"/>
          <w:numId w:val="6"/>
        </w:numPr>
      </w:pPr>
      <w:proofErr w:type="spellStart"/>
      <w:r w:rsidRPr="008F5109">
        <w:t>Dimick</w:t>
      </w:r>
      <w:proofErr w:type="spellEnd"/>
      <w:r w:rsidRPr="008F5109">
        <w:t xml:space="preserve"> JB, Nicholas LH, </w:t>
      </w:r>
      <w:bookmarkStart w:id="4" w:name="_GoBack"/>
      <w:r w:rsidRPr="008F5109">
        <w:t>Ryan</w:t>
      </w:r>
      <w:bookmarkEnd w:id="4"/>
      <w:r w:rsidRPr="008F5109">
        <w:t xml:space="preserve"> AM, </w:t>
      </w:r>
      <w:proofErr w:type="spellStart"/>
      <w:r w:rsidRPr="008F5109">
        <w:t>Thumma</w:t>
      </w:r>
      <w:proofErr w:type="spellEnd"/>
      <w:r w:rsidRPr="008F5109">
        <w:t xml:space="preserve"> JR, </w:t>
      </w:r>
      <w:proofErr w:type="spellStart"/>
      <w:r w:rsidRPr="008F5109">
        <w:t>Birkmeyer</w:t>
      </w:r>
      <w:proofErr w:type="spellEnd"/>
      <w:r w:rsidRPr="008F5109">
        <w:t xml:space="preserve"> JD. Bariatric surgery complications before vs after implementation of a national policy restricting coverage to centers of excellence. JAMA. 2013 Feb 27;309(8):792-9. </w:t>
      </w:r>
      <w:proofErr w:type="spellStart"/>
      <w:r w:rsidRPr="008F5109">
        <w:t>doi</w:t>
      </w:r>
      <w:proofErr w:type="spellEnd"/>
      <w:r w:rsidRPr="008F5109">
        <w:t>: 10.1001/jama.2013.755. PMID: 23443442; PMCID: PMC3785293</w:t>
      </w:r>
      <w:r w:rsidR="006F5757" w:rsidRPr="006F5757">
        <w:t>.</w:t>
      </w:r>
    </w:p>
    <w:p w14:paraId="63046B6D" w14:textId="44843080" w:rsidR="006F5757" w:rsidRDefault="006F5757" w:rsidP="00D90B83">
      <w:pPr>
        <w:pStyle w:val="ListParagraph"/>
        <w:numPr>
          <w:ilvl w:val="0"/>
          <w:numId w:val="6"/>
        </w:numPr>
      </w:pPr>
      <w:proofErr w:type="spellStart"/>
      <w:r w:rsidRPr="006F5757">
        <w:lastRenderedPageBreak/>
        <w:t>Gourin</w:t>
      </w:r>
      <w:proofErr w:type="spellEnd"/>
      <w:r w:rsidRPr="006F5757">
        <w:t xml:space="preserve"> CG, </w:t>
      </w:r>
      <w:proofErr w:type="spellStart"/>
      <w:r w:rsidRPr="006F5757">
        <w:t>Vosler</w:t>
      </w:r>
      <w:proofErr w:type="spellEnd"/>
      <w:r w:rsidRPr="006F5757">
        <w:t xml:space="preserve"> PS, Mandal R, Pitman KT, </w:t>
      </w:r>
      <w:proofErr w:type="spellStart"/>
      <w:r w:rsidRPr="006F5757">
        <w:t>Fakhry</w:t>
      </w:r>
      <w:proofErr w:type="spellEnd"/>
      <w:r w:rsidRPr="006F5757">
        <w:t xml:space="preserve"> C, Eisele DW, Frick KD, Austin JM. Association Between Hospital Market Concentration and Costs of Laryngectomy. JAMA </w:t>
      </w:r>
      <w:proofErr w:type="spellStart"/>
      <w:r w:rsidRPr="006F5757">
        <w:t>Otolaryngol</w:t>
      </w:r>
      <w:proofErr w:type="spellEnd"/>
      <w:r w:rsidRPr="006F5757">
        <w:t xml:space="preserve"> Head Neck Surg. 2019 Oct 1;145(10):939-947. </w:t>
      </w:r>
      <w:proofErr w:type="spellStart"/>
      <w:r w:rsidRPr="006F5757">
        <w:t>doi</w:t>
      </w:r>
      <w:proofErr w:type="spellEnd"/>
      <w:r w:rsidRPr="006F5757">
        <w:t xml:space="preserve">: 10.1001/jamaoto.2019.2303. Erratum in: JAMA </w:t>
      </w:r>
      <w:proofErr w:type="spellStart"/>
      <w:r w:rsidRPr="006F5757">
        <w:t>Otolaryngol</w:t>
      </w:r>
      <w:proofErr w:type="spellEnd"/>
      <w:r w:rsidRPr="006F5757">
        <w:t xml:space="preserve"> Head Neck Surg. 2020 Jan 1;146(1):85. PMID: 31465102; PMCID: PMC6716289.</w:t>
      </w:r>
    </w:p>
    <w:p w14:paraId="38FBBF1D" w14:textId="1F62E0EC" w:rsidR="005F31BE" w:rsidRPr="00725612" w:rsidRDefault="005F31BE" w:rsidP="005F31BE"/>
    <w:sectPr w:rsidR="005F31BE" w:rsidRPr="00725612" w:rsidSect="00844003">
      <w:headerReference w:type="default" r:id="rId15"/>
      <w:footerReference w:type="defaul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187FB" w14:textId="77777777" w:rsidR="00BB11B0" w:rsidRDefault="00BB11B0" w:rsidP="007C4267">
      <w:pPr>
        <w:spacing w:after="0" w:line="240" w:lineRule="auto"/>
      </w:pPr>
      <w:r>
        <w:separator/>
      </w:r>
    </w:p>
  </w:endnote>
  <w:endnote w:type="continuationSeparator" w:id="0">
    <w:p w14:paraId="3528DF3B" w14:textId="77777777" w:rsidR="00BB11B0" w:rsidRDefault="00BB11B0" w:rsidP="007C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266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BF84CF" w14:textId="6775D8A4" w:rsidR="003F088E" w:rsidRDefault="003F08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1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BF867F3" w14:textId="77777777" w:rsidR="003F088E" w:rsidRDefault="003F0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5DECB" w14:textId="77777777" w:rsidR="00BB11B0" w:rsidRDefault="00BB11B0" w:rsidP="007C4267">
      <w:pPr>
        <w:spacing w:after="0" w:line="240" w:lineRule="auto"/>
      </w:pPr>
      <w:r>
        <w:separator/>
      </w:r>
    </w:p>
  </w:footnote>
  <w:footnote w:type="continuationSeparator" w:id="0">
    <w:p w14:paraId="05003F66" w14:textId="77777777" w:rsidR="00BB11B0" w:rsidRDefault="00BB11B0" w:rsidP="007C4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4CEE6" w14:textId="790C4720" w:rsidR="003F088E" w:rsidRDefault="009C70B0">
    <w:pPr>
      <w:pStyle w:val="Header"/>
    </w:pPr>
    <w:r>
      <w:t>8</w:t>
    </w:r>
    <w:r w:rsidR="003F088E">
      <w:t>/</w:t>
    </w:r>
    <w:r w:rsidR="00453784">
      <w:t>22</w:t>
    </w:r>
    <w:r w:rsidR="003F088E"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E6D"/>
    <w:multiLevelType w:val="hybridMultilevel"/>
    <w:tmpl w:val="47F4A8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A5F"/>
    <w:multiLevelType w:val="hybridMultilevel"/>
    <w:tmpl w:val="EFBA6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B3F75"/>
    <w:multiLevelType w:val="hybridMultilevel"/>
    <w:tmpl w:val="70F03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167FB"/>
    <w:multiLevelType w:val="hybridMultilevel"/>
    <w:tmpl w:val="D01E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43CF0"/>
    <w:multiLevelType w:val="hybridMultilevel"/>
    <w:tmpl w:val="CB6C9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75DD7"/>
    <w:multiLevelType w:val="hybridMultilevel"/>
    <w:tmpl w:val="555643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27E77"/>
    <w:multiLevelType w:val="hybridMultilevel"/>
    <w:tmpl w:val="6B74D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121"/>
    <w:rsid w:val="00000F1D"/>
    <w:rsid w:val="00001D43"/>
    <w:rsid w:val="0007223E"/>
    <w:rsid w:val="000802AC"/>
    <w:rsid w:val="0008543C"/>
    <w:rsid w:val="000F02FC"/>
    <w:rsid w:val="0010190F"/>
    <w:rsid w:val="001456AE"/>
    <w:rsid w:val="001468D0"/>
    <w:rsid w:val="00184654"/>
    <w:rsid w:val="001C5004"/>
    <w:rsid w:val="001C7DBF"/>
    <w:rsid w:val="001D2843"/>
    <w:rsid w:val="001F397A"/>
    <w:rsid w:val="00201A40"/>
    <w:rsid w:val="00204157"/>
    <w:rsid w:val="00232F39"/>
    <w:rsid w:val="0025059E"/>
    <w:rsid w:val="002817F5"/>
    <w:rsid w:val="002C4CFA"/>
    <w:rsid w:val="002C742C"/>
    <w:rsid w:val="002D70B8"/>
    <w:rsid w:val="002D7438"/>
    <w:rsid w:val="0032395D"/>
    <w:rsid w:val="00334CB2"/>
    <w:rsid w:val="00336784"/>
    <w:rsid w:val="00341B49"/>
    <w:rsid w:val="0035323A"/>
    <w:rsid w:val="00360463"/>
    <w:rsid w:val="00393809"/>
    <w:rsid w:val="00396121"/>
    <w:rsid w:val="003A1CF8"/>
    <w:rsid w:val="003F088E"/>
    <w:rsid w:val="003F10FD"/>
    <w:rsid w:val="004152BE"/>
    <w:rsid w:val="00420606"/>
    <w:rsid w:val="00422218"/>
    <w:rsid w:val="0042413C"/>
    <w:rsid w:val="0043434D"/>
    <w:rsid w:val="00453784"/>
    <w:rsid w:val="00465518"/>
    <w:rsid w:val="00467F36"/>
    <w:rsid w:val="0047477F"/>
    <w:rsid w:val="004A65D1"/>
    <w:rsid w:val="004B082F"/>
    <w:rsid w:val="004E0F2B"/>
    <w:rsid w:val="004F1BBF"/>
    <w:rsid w:val="004F1F1B"/>
    <w:rsid w:val="00517872"/>
    <w:rsid w:val="00560236"/>
    <w:rsid w:val="005A7EFB"/>
    <w:rsid w:val="005D27B7"/>
    <w:rsid w:val="005F31BE"/>
    <w:rsid w:val="00600BF6"/>
    <w:rsid w:val="00621641"/>
    <w:rsid w:val="00646DFD"/>
    <w:rsid w:val="00660D70"/>
    <w:rsid w:val="0069647B"/>
    <w:rsid w:val="006B1B8E"/>
    <w:rsid w:val="006F5757"/>
    <w:rsid w:val="00724A87"/>
    <w:rsid w:val="00725612"/>
    <w:rsid w:val="007444E3"/>
    <w:rsid w:val="00756417"/>
    <w:rsid w:val="00776780"/>
    <w:rsid w:val="0079460B"/>
    <w:rsid w:val="00796540"/>
    <w:rsid w:val="007A678D"/>
    <w:rsid w:val="007C4267"/>
    <w:rsid w:val="007E6D54"/>
    <w:rsid w:val="007F02D1"/>
    <w:rsid w:val="00844003"/>
    <w:rsid w:val="0085313A"/>
    <w:rsid w:val="008F5109"/>
    <w:rsid w:val="00901E77"/>
    <w:rsid w:val="009251B5"/>
    <w:rsid w:val="009703C5"/>
    <w:rsid w:val="00970A1F"/>
    <w:rsid w:val="00997756"/>
    <w:rsid w:val="009C4714"/>
    <w:rsid w:val="009C70B0"/>
    <w:rsid w:val="009F7D94"/>
    <w:rsid w:val="00A0075A"/>
    <w:rsid w:val="00A266DE"/>
    <w:rsid w:val="00A406C5"/>
    <w:rsid w:val="00AD3293"/>
    <w:rsid w:val="00AD7220"/>
    <w:rsid w:val="00AE39A4"/>
    <w:rsid w:val="00AE5CF5"/>
    <w:rsid w:val="00AE78E7"/>
    <w:rsid w:val="00B078E0"/>
    <w:rsid w:val="00B23F07"/>
    <w:rsid w:val="00B347B3"/>
    <w:rsid w:val="00B55753"/>
    <w:rsid w:val="00B62A44"/>
    <w:rsid w:val="00B93C47"/>
    <w:rsid w:val="00BA12AD"/>
    <w:rsid w:val="00BB11B0"/>
    <w:rsid w:val="00BC04D5"/>
    <w:rsid w:val="00BC6815"/>
    <w:rsid w:val="00BF4A69"/>
    <w:rsid w:val="00C02476"/>
    <w:rsid w:val="00C27898"/>
    <w:rsid w:val="00C32948"/>
    <w:rsid w:val="00C34B69"/>
    <w:rsid w:val="00C465C6"/>
    <w:rsid w:val="00C60156"/>
    <w:rsid w:val="00C97AB3"/>
    <w:rsid w:val="00CA352D"/>
    <w:rsid w:val="00CE0695"/>
    <w:rsid w:val="00CE5A03"/>
    <w:rsid w:val="00CF789B"/>
    <w:rsid w:val="00D44387"/>
    <w:rsid w:val="00D54FAC"/>
    <w:rsid w:val="00D76B0C"/>
    <w:rsid w:val="00DB3E32"/>
    <w:rsid w:val="00E02676"/>
    <w:rsid w:val="00E04C5C"/>
    <w:rsid w:val="00E15754"/>
    <w:rsid w:val="00E47CD9"/>
    <w:rsid w:val="00E56BB1"/>
    <w:rsid w:val="00E82F35"/>
    <w:rsid w:val="00EB15AC"/>
    <w:rsid w:val="00EC09C7"/>
    <w:rsid w:val="00EF2C1E"/>
    <w:rsid w:val="00F672C2"/>
    <w:rsid w:val="00F74925"/>
    <w:rsid w:val="00F7762E"/>
    <w:rsid w:val="00F8238A"/>
    <w:rsid w:val="00F82F83"/>
    <w:rsid w:val="00F90A82"/>
    <w:rsid w:val="00FA1477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1C239"/>
  <w15:chartTrackingRefBased/>
  <w15:docId w15:val="{B73D0E89-588D-4F53-B0E8-5379B545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56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56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267"/>
  </w:style>
  <w:style w:type="paragraph" w:styleId="Footer">
    <w:name w:val="footer"/>
    <w:basedOn w:val="Normal"/>
    <w:link w:val="FooterChar"/>
    <w:uiPriority w:val="99"/>
    <w:unhideWhenUsed/>
    <w:rsid w:val="007C4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267"/>
  </w:style>
  <w:style w:type="paragraph" w:styleId="ListParagraph">
    <w:name w:val="List Paragraph"/>
    <w:basedOn w:val="Normal"/>
    <w:uiPriority w:val="34"/>
    <w:qFormat/>
    <w:rsid w:val="007C4267"/>
    <w:pPr>
      <w:ind w:left="720"/>
      <w:contextualSpacing/>
    </w:pPr>
  </w:style>
  <w:style w:type="table" w:styleId="TableGrid">
    <w:name w:val="Table Grid"/>
    <w:basedOn w:val="TableNormal"/>
    <w:uiPriority w:val="39"/>
    <w:rsid w:val="00B5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7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2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23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23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38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238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3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256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56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0854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C06C3-3164-4B19-B18E-ECDFB9C2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M.D. Anderson Cancer Center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Lin,Yu-Li</dc:creator>
  <cp:keywords/>
  <dc:description/>
  <cp:lastModifiedBy>Lin,Yu-Li</cp:lastModifiedBy>
  <cp:revision>3</cp:revision>
  <dcterms:created xsi:type="dcterms:W3CDTF">2022-08-22T14:46:00Z</dcterms:created>
  <dcterms:modified xsi:type="dcterms:W3CDTF">2022-08-22T15:12:00Z</dcterms:modified>
</cp:coreProperties>
</file>