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52B5" w14:paraId="084F8D4C" w14:textId="77777777" w:rsidTr="001F0843">
        <w:trPr>
          <w:trHeight w:val="854"/>
        </w:trPr>
        <w:tc>
          <w:tcPr>
            <w:tcW w:w="9016" w:type="dxa"/>
            <w:gridSpan w:val="2"/>
            <w:vAlign w:val="center"/>
          </w:tcPr>
          <w:p w14:paraId="765DD209" w14:textId="77777777" w:rsidR="00A352B5" w:rsidRPr="002A1B10" w:rsidRDefault="00A352B5" w:rsidP="001F0843">
            <w:pPr>
              <w:pStyle w:val="StandardWeb"/>
              <w:jc w:val="center"/>
              <w:rPr>
                <w:b/>
                <w:sz w:val="24"/>
                <w:lang w:val="en-US"/>
              </w:rPr>
            </w:pPr>
            <w:r w:rsidRPr="002A1B10">
              <w:rPr>
                <w:b/>
                <w:sz w:val="24"/>
                <w:lang w:val="en-US"/>
              </w:rPr>
              <w:t>Diagnostic Criteria for Metabolic Dysfunction Associated Fatty Liver Disease (MAFLD)</w:t>
            </w:r>
          </w:p>
        </w:tc>
      </w:tr>
      <w:tr w:rsidR="00A352B5" w14:paraId="7AEBAC1C" w14:textId="77777777" w:rsidTr="001F0843">
        <w:trPr>
          <w:trHeight w:val="809"/>
        </w:trPr>
        <w:tc>
          <w:tcPr>
            <w:tcW w:w="9016" w:type="dxa"/>
            <w:gridSpan w:val="2"/>
            <w:vAlign w:val="center"/>
          </w:tcPr>
          <w:p w14:paraId="6EEC50FB" w14:textId="77777777" w:rsidR="00A352B5" w:rsidRPr="002A1B10" w:rsidRDefault="00A352B5" w:rsidP="001F0843">
            <w:pPr>
              <w:pStyle w:val="StandardWeb"/>
              <w:jc w:val="center"/>
              <w:rPr>
                <w:lang w:val="en-US"/>
              </w:rPr>
            </w:pPr>
            <w:r w:rsidRPr="002A1B10">
              <w:rPr>
                <w:sz w:val="24"/>
                <w:lang w:val="en-US"/>
              </w:rPr>
              <w:t xml:space="preserve">&gt;5% Hepatic steatosis </w:t>
            </w:r>
            <w:r w:rsidRPr="002A1B10">
              <w:rPr>
                <w:i/>
                <w:sz w:val="24"/>
                <w:u w:val="single"/>
                <w:lang w:val="en-US"/>
              </w:rPr>
              <w:t>plus</w:t>
            </w:r>
          </w:p>
        </w:tc>
      </w:tr>
      <w:tr w:rsidR="00A352B5" w14:paraId="0D5456BE" w14:textId="77777777" w:rsidTr="001F0843">
        <w:trPr>
          <w:trHeight w:val="764"/>
        </w:trPr>
        <w:tc>
          <w:tcPr>
            <w:tcW w:w="4508" w:type="dxa"/>
            <w:vAlign w:val="center"/>
          </w:tcPr>
          <w:p w14:paraId="3E36A2FC" w14:textId="77777777" w:rsidR="00A352B5" w:rsidRPr="002A1B10" w:rsidRDefault="00A352B5" w:rsidP="001F0843">
            <w:pPr>
              <w:pStyle w:val="StandardWeb"/>
              <w:jc w:val="center"/>
              <w:rPr>
                <w:sz w:val="24"/>
                <w:lang w:val="en-US"/>
              </w:rPr>
            </w:pPr>
            <w:r w:rsidRPr="002A1B10">
              <w:rPr>
                <w:sz w:val="24"/>
                <w:lang w:val="en-US"/>
              </w:rPr>
              <w:t xml:space="preserve">Type 2 Diabetes </w:t>
            </w:r>
            <w:r w:rsidRPr="002A1B10">
              <w:rPr>
                <w:i/>
                <w:sz w:val="24"/>
                <w:u w:val="single"/>
                <w:lang w:val="en-US"/>
              </w:rPr>
              <w:t>plus</w:t>
            </w:r>
          </w:p>
        </w:tc>
        <w:tc>
          <w:tcPr>
            <w:tcW w:w="4508" w:type="dxa"/>
            <w:vAlign w:val="center"/>
          </w:tcPr>
          <w:p w14:paraId="51177E47" w14:textId="77777777" w:rsidR="00A352B5" w:rsidRPr="002A1B10" w:rsidRDefault="00A352B5" w:rsidP="001F0843">
            <w:pPr>
              <w:pStyle w:val="StandardWeb"/>
              <w:jc w:val="center"/>
              <w:rPr>
                <w:sz w:val="24"/>
                <w:lang w:val="en-US"/>
              </w:rPr>
            </w:pPr>
            <w:r w:rsidRPr="002A1B10">
              <w:rPr>
                <w:sz w:val="24"/>
                <w:lang w:val="en-US"/>
              </w:rPr>
              <w:t xml:space="preserve">Overweight/Obesity (BMI ≥25kg/m²) </w:t>
            </w:r>
            <w:r w:rsidRPr="002A1B10">
              <w:rPr>
                <w:i/>
                <w:sz w:val="24"/>
                <w:u w:val="single"/>
                <w:lang w:val="en-US"/>
              </w:rPr>
              <w:t>plus</w:t>
            </w:r>
          </w:p>
        </w:tc>
      </w:tr>
      <w:tr w:rsidR="00A352B5" w14:paraId="72D11B64" w14:textId="77777777" w:rsidTr="001F0843">
        <w:trPr>
          <w:trHeight w:val="809"/>
        </w:trPr>
        <w:tc>
          <w:tcPr>
            <w:tcW w:w="9016" w:type="dxa"/>
            <w:gridSpan w:val="2"/>
            <w:vAlign w:val="center"/>
          </w:tcPr>
          <w:p w14:paraId="77906E8B" w14:textId="77777777" w:rsidR="00A352B5" w:rsidRPr="002A1B10" w:rsidRDefault="00A352B5" w:rsidP="001F0843">
            <w:pPr>
              <w:pStyle w:val="StandardWeb"/>
              <w:rPr>
                <w:sz w:val="24"/>
                <w:lang w:val="en-US"/>
              </w:rPr>
            </w:pPr>
            <w:r w:rsidRPr="002A1B10">
              <w:rPr>
                <w:sz w:val="24"/>
                <w:lang w:val="en-US"/>
              </w:rPr>
              <w:t xml:space="preserve">Presence of </w:t>
            </w:r>
            <w:r w:rsidRPr="002A1B10">
              <w:rPr>
                <w:i/>
                <w:sz w:val="24"/>
                <w:u w:val="single"/>
                <w:lang w:val="en-US"/>
              </w:rPr>
              <w:t>at least 2 factors</w:t>
            </w:r>
            <w:r w:rsidRPr="002A1B10">
              <w:rPr>
                <w:sz w:val="24"/>
                <w:lang w:val="en-US"/>
              </w:rPr>
              <w:t xml:space="preserve"> as indicators of metabolic dysfunction</w:t>
            </w:r>
          </w:p>
          <w:p w14:paraId="7AEDBB2F" w14:textId="77777777" w:rsidR="00A352B5" w:rsidRPr="002A1B10" w:rsidRDefault="00A352B5" w:rsidP="00A352B5">
            <w:pPr>
              <w:pStyle w:val="StandardWeb"/>
              <w:numPr>
                <w:ilvl w:val="0"/>
                <w:numId w:val="1"/>
              </w:numPr>
              <w:rPr>
                <w:lang w:val="en-US"/>
              </w:rPr>
            </w:pPr>
            <w:r w:rsidRPr="002A1B10">
              <w:rPr>
                <w:lang w:val="en-US"/>
              </w:rPr>
              <w:t>Waist circumference ≥102cm (men)/88cm (women)</w:t>
            </w:r>
          </w:p>
          <w:p w14:paraId="0D330179" w14:textId="77777777" w:rsidR="00A352B5" w:rsidRPr="002A1B10" w:rsidRDefault="00A352B5" w:rsidP="00A352B5">
            <w:pPr>
              <w:pStyle w:val="StandardWeb"/>
              <w:numPr>
                <w:ilvl w:val="0"/>
                <w:numId w:val="1"/>
              </w:numPr>
              <w:rPr>
                <w:lang w:val="en-US"/>
              </w:rPr>
            </w:pPr>
            <w:r w:rsidRPr="002A1B10">
              <w:rPr>
                <w:lang w:val="en-US"/>
              </w:rPr>
              <w:t>Blood pressure ≥130/85mmHg or drug treatment</w:t>
            </w:r>
          </w:p>
          <w:p w14:paraId="78CC3B1F" w14:textId="77777777" w:rsidR="00A352B5" w:rsidRPr="002A1B10" w:rsidRDefault="00A352B5" w:rsidP="00A352B5">
            <w:pPr>
              <w:pStyle w:val="StandardWeb"/>
              <w:numPr>
                <w:ilvl w:val="0"/>
                <w:numId w:val="1"/>
              </w:numPr>
              <w:rPr>
                <w:lang w:val="en-US"/>
              </w:rPr>
            </w:pPr>
            <w:r w:rsidRPr="002A1B10">
              <w:rPr>
                <w:lang w:val="en-US"/>
              </w:rPr>
              <w:t>Triglycerides ≥150mg/dl or drug treatment</w:t>
            </w:r>
          </w:p>
          <w:p w14:paraId="4E050EFE" w14:textId="77777777" w:rsidR="00A352B5" w:rsidRPr="002A1B10" w:rsidRDefault="00A352B5" w:rsidP="00A352B5">
            <w:pPr>
              <w:pStyle w:val="StandardWeb"/>
              <w:numPr>
                <w:ilvl w:val="0"/>
                <w:numId w:val="1"/>
              </w:numPr>
              <w:rPr>
                <w:lang w:val="en-US"/>
              </w:rPr>
            </w:pPr>
            <w:r w:rsidRPr="002A1B10">
              <w:rPr>
                <w:lang w:val="en-US"/>
              </w:rPr>
              <w:t>HDL &lt;40mg/dL (men) or &lt;50mg/dl (women) or drug treatment</w:t>
            </w:r>
          </w:p>
          <w:p w14:paraId="331D147E" w14:textId="77777777" w:rsidR="00A352B5" w:rsidRPr="002A1B10" w:rsidRDefault="00A352B5" w:rsidP="00A352B5">
            <w:pPr>
              <w:pStyle w:val="StandardWeb"/>
              <w:numPr>
                <w:ilvl w:val="0"/>
                <w:numId w:val="1"/>
              </w:numPr>
              <w:rPr>
                <w:lang w:val="en-US"/>
              </w:rPr>
            </w:pPr>
            <w:r w:rsidRPr="002A1B10">
              <w:rPr>
                <w:lang w:val="en-US"/>
              </w:rPr>
              <w:t>Prediabetes (impaired glucose tolerance)</w:t>
            </w:r>
          </w:p>
          <w:p w14:paraId="7DA80707" w14:textId="77777777" w:rsidR="00A352B5" w:rsidRPr="002A1B10" w:rsidRDefault="00A352B5" w:rsidP="00A352B5">
            <w:pPr>
              <w:pStyle w:val="StandardWeb"/>
              <w:numPr>
                <w:ilvl w:val="0"/>
                <w:numId w:val="1"/>
              </w:numPr>
              <w:rPr>
                <w:lang w:val="en-US"/>
              </w:rPr>
            </w:pPr>
            <w:r w:rsidRPr="002A1B10">
              <w:rPr>
                <w:lang w:val="en-US"/>
              </w:rPr>
              <w:t>Homeostatic Model Assessment for Insulin Resistance (HOMA-IR) ≥2.5</w:t>
            </w:r>
          </w:p>
          <w:p w14:paraId="32228EE8" w14:textId="77777777" w:rsidR="00A352B5" w:rsidRPr="002A1B10" w:rsidRDefault="00A352B5" w:rsidP="00A352B5">
            <w:pPr>
              <w:pStyle w:val="StandardWeb"/>
              <w:numPr>
                <w:ilvl w:val="0"/>
                <w:numId w:val="1"/>
              </w:numPr>
              <w:rPr>
                <w:lang w:val="en-US"/>
              </w:rPr>
            </w:pPr>
            <w:r w:rsidRPr="002A1B10">
              <w:rPr>
                <w:lang w:val="en-US"/>
              </w:rPr>
              <w:t>High-sensitivity C-reactive protein ≥2mg/l</w:t>
            </w:r>
          </w:p>
        </w:tc>
      </w:tr>
    </w:tbl>
    <w:p w14:paraId="25238B7F" w14:textId="77777777" w:rsidR="007C0076" w:rsidRDefault="00A352B5"/>
    <w:sectPr w:rsidR="007C0076" w:rsidSect="009B6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52A1"/>
    <w:multiLevelType w:val="hybridMultilevel"/>
    <w:tmpl w:val="06625666"/>
    <w:lvl w:ilvl="0" w:tplc="C1266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05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B5"/>
    <w:rsid w:val="003407F1"/>
    <w:rsid w:val="0042539A"/>
    <w:rsid w:val="009B6093"/>
    <w:rsid w:val="00A352B5"/>
    <w:rsid w:val="00C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5F53"/>
  <w15:chartTrackingRefBased/>
  <w15:docId w15:val="{BA66C5C2-CE87-4555-A4D3-C88099E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2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352B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ellenraster">
    <w:name w:val="Table Grid"/>
    <w:basedOn w:val="NormaleTabelle"/>
    <w:uiPriority w:val="59"/>
    <w:rsid w:val="00A352B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Billeter</dc:creator>
  <cp:keywords/>
  <dc:description/>
  <cp:lastModifiedBy>Adrian Billeter</cp:lastModifiedBy>
  <cp:revision>1</cp:revision>
  <dcterms:created xsi:type="dcterms:W3CDTF">2022-04-24T20:00:00Z</dcterms:created>
  <dcterms:modified xsi:type="dcterms:W3CDTF">2022-04-24T20:01:00Z</dcterms:modified>
</cp:coreProperties>
</file>