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72AB" w14:textId="77777777" w:rsidR="00AB0CCD" w:rsidRPr="00EA758E" w:rsidRDefault="00AB0CCD" w:rsidP="00AB0CCD">
      <w:pPr>
        <w:pStyle w:val="BodyA"/>
        <w:tabs>
          <w:tab w:val="left" w:pos="1088"/>
        </w:tabs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85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59"/>
        <w:gridCol w:w="1356"/>
        <w:gridCol w:w="1357"/>
        <w:gridCol w:w="1357"/>
        <w:gridCol w:w="1357"/>
        <w:gridCol w:w="1357"/>
      </w:tblGrid>
      <w:tr w:rsidR="00AB0CCD" w:rsidRPr="00F02F27" w14:paraId="6DB14BE6" w14:textId="77777777" w:rsidTr="00246B69">
        <w:trPr>
          <w:trHeight w:val="331"/>
          <w:tblHeader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E861" w14:textId="77777777" w:rsidR="00AB0CCD" w:rsidRPr="00EA758E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EA758E">
              <w:rPr>
                <w:rFonts w:ascii="Times New Roman" w:hAnsi="Times New Roman" w:cs="Times New Roman"/>
                <w:sz w:val="16"/>
                <w:szCs w:val="16"/>
              </w:rPr>
              <w:t>Mechanism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BE69" w14:textId="77777777" w:rsidR="00AB0CCD" w:rsidRPr="00EA758E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EA758E">
              <w:rPr>
                <w:rFonts w:ascii="Times New Roman" w:hAnsi="Times New Roman" w:cs="Times New Roman"/>
                <w:sz w:val="16"/>
                <w:szCs w:val="16"/>
              </w:rPr>
              <w:t>US Military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8EA6" w14:textId="77777777" w:rsidR="00AB0CCD" w:rsidRPr="00EA758E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EA758E">
              <w:rPr>
                <w:rFonts w:ascii="Times New Roman" w:hAnsi="Times New Roman" w:cs="Times New Roman"/>
                <w:sz w:val="16"/>
                <w:szCs w:val="16"/>
              </w:rPr>
              <w:t>UK Military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3B3E" w14:textId="77777777" w:rsidR="00AB0CCD" w:rsidRPr="00EA758E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EA758E">
              <w:rPr>
                <w:rFonts w:ascii="Times New Roman" w:hAnsi="Times New Roman" w:cs="Times New Roman"/>
                <w:sz w:val="16"/>
                <w:szCs w:val="16"/>
              </w:rPr>
              <w:t>Other Coalition Military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7131" w14:textId="77777777" w:rsidR="00AB0CCD" w:rsidRPr="00EA758E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EA758E">
              <w:rPr>
                <w:rFonts w:ascii="Times New Roman" w:hAnsi="Times New Roman" w:cs="Times New Roman"/>
                <w:sz w:val="16"/>
                <w:szCs w:val="16"/>
              </w:rPr>
              <w:t>Host nation</w:t>
            </w:r>
            <w:r w:rsidRPr="00EA758E" w:rsidDel="003C7B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758E">
              <w:rPr>
                <w:rFonts w:ascii="Times New Roman" w:hAnsi="Times New Roman" w:cs="Times New Roman"/>
                <w:sz w:val="16"/>
                <w:szCs w:val="16"/>
              </w:rPr>
              <w:t>Military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636E" w14:textId="77777777" w:rsidR="00AB0CCD" w:rsidRPr="00EA758E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EA758E">
              <w:rPr>
                <w:rFonts w:ascii="Times New Roman" w:hAnsi="Times New Roman" w:cs="Times New Roman"/>
                <w:sz w:val="16"/>
                <w:szCs w:val="16"/>
              </w:rPr>
              <w:t>Host nation</w:t>
            </w:r>
            <w:r w:rsidRPr="00EA758E" w:rsidDel="003C7B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758E">
              <w:rPr>
                <w:rFonts w:ascii="Times New Roman" w:hAnsi="Times New Roman" w:cs="Times New Roman"/>
                <w:sz w:val="16"/>
                <w:szCs w:val="16"/>
              </w:rPr>
              <w:t>Civilians</w:t>
            </w:r>
          </w:p>
        </w:tc>
      </w:tr>
      <w:tr w:rsidR="00AB0CCD" w:rsidRPr="00F02F27" w14:paraId="5E57C85D" w14:textId="77777777" w:rsidTr="00246B69">
        <w:tblPrEx>
          <w:shd w:val="clear" w:color="auto" w:fill="auto"/>
        </w:tblPrEx>
        <w:trPr>
          <w:trHeight w:val="331"/>
        </w:trPr>
        <w:tc>
          <w:tcPr>
            <w:tcW w:w="17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A7B2" w14:textId="77777777" w:rsidR="00AB0CCD" w:rsidRPr="00EA758E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EA758E">
              <w:rPr>
                <w:rFonts w:ascii="Times New Roman" w:hAnsi="Times New Roman" w:cs="Times New Roman"/>
                <w:sz w:val="16"/>
                <w:szCs w:val="16"/>
              </w:rPr>
              <w:t>Incidence (survivors + DOW)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3C4A" w14:textId="77777777" w:rsidR="00AB0CCD" w:rsidRPr="00F02F27" w:rsidRDefault="00AB0CCD" w:rsidP="00246B69">
            <w:pPr>
              <w:spacing w:line="480" w:lineRule="auto"/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E0EA" w14:textId="77777777" w:rsidR="00AB0CCD" w:rsidRPr="00F02F27" w:rsidRDefault="00AB0CCD" w:rsidP="00246B69">
            <w:pPr>
              <w:spacing w:line="480" w:lineRule="auto"/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3890" w14:textId="77777777" w:rsidR="00AB0CCD" w:rsidRPr="00F02F27" w:rsidRDefault="00AB0CCD" w:rsidP="00246B69">
            <w:pPr>
              <w:spacing w:line="480" w:lineRule="auto"/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D810" w14:textId="77777777" w:rsidR="00AB0CCD" w:rsidRPr="00F02F27" w:rsidRDefault="00AB0CCD" w:rsidP="00246B69">
            <w:pPr>
              <w:spacing w:line="480" w:lineRule="auto"/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98EE" w14:textId="77777777" w:rsidR="00AB0CCD" w:rsidRPr="00F02F27" w:rsidRDefault="00AB0CCD" w:rsidP="00246B69">
            <w:pPr>
              <w:spacing w:line="480" w:lineRule="auto"/>
            </w:pPr>
          </w:p>
        </w:tc>
      </w:tr>
      <w:tr w:rsidR="00AB0CCD" w:rsidRPr="00F02F27" w14:paraId="6A00FAF9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7E49" w14:textId="77777777" w:rsidR="00AB0CCD" w:rsidRPr="001A5D6A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1A5D6A">
              <w:rPr>
                <w:rFonts w:ascii="Times New Roman" w:hAnsi="Times New Roman" w:cs="Times New Roman"/>
                <w:sz w:val="16"/>
                <w:szCs w:val="16"/>
              </w:rPr>
              <w:t>Blunt (all types)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A2F2" w14:textId="77777777" w:rsidR="00AB0CCD" w:rsidRPr="00F02F27" w:rsidRDefault="00AB0CCD" w:rsidP="00246B69">
            <w:pPr>
              <w:spacing w:line="480" w:lineRule="auto"/>
              <w:jc w:val="right"/>
            </w:pPr>
            <w:r w:rsidRPr="001A5D6A">
              <w:rPr>
                <w:color w:val="000000"/>
                <w:sz w:val="16"/>
                <w:szCs w:val="16"/>
              </w:rPr>
              <w:t xml:space="preserve">783 (54%)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CB06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>20 (15%)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65FD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39 (33%)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9FAF" w14:textId="77777777" w:rsidR="00AB0CCD" w:rsidRPr="00F02F27" w:rsidRDefault="00AB0CCD" w:rsidP="00246B69">
            <w:pPr>
              <w:spacing w:line="480" w:lineRule="auto"/>
              <w:jc w:val="right"/>
            </w:pPr>
            <w:r w:rsidRPr="001A5D6A">
              <w:rPr>
                <w:color w:val="000000"/>
                <w:sz w:val="16"/>
                <w:szCs w:val="16"/>
              </w:rPr>
              <w:t xml:space="preserve">108(17%)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D152" w14:textId="77777777" w:rsidR="00AB0CCD" w:rsidRPr="00F02F27" w:rsidRDefault="00AB0CCD" w:rsidP="00246B69">
            <w:pPr>
              <w:spacing w:line="480" w:lineRule="auto"/>
              <w:jc w:val="right"/>
            </w:pPr>
            <w:r w:rsidRPr="001A5D6A">
              <w:rPr>
                <w:color w:val="000000"/>
                <w:sz w:val="16"/>
                <w:szCs w:val="16"/>
              </w:rPr>
              <w:t xml:space="preserve">174 (18%) </w:t>
            </w:r>
          </w:p>
        </w:tc>
      </w:tr>
      <w:tr w:rsidR="00AB0CCD" w:rsidRPr="00F02F27" w14:paraId="3CF602D6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0789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Blunt (explosive)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EDE1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641 (44%)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CC25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12 (9%)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8781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24 (20%)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0E18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84 (13%)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8B54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103 (10%) </w:t>
            </w:r>
          </w:p>
        </w:tc>
      </w:tr>
      <w:tr w:rsidR="00AB0CCD" w:rsidRPr="00F02F27" w14:paraId="3B6584E1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A61B" w14:textId="77777777" w:rsidR="00AB0CCD" w:rsidRPr="00C630B6" w:rsidRDefault="00AB0CCD" w:rsidP="00246B69">
            <w:pPr>
              <w:pStyle w:val="TableStyle1"/>
              <w:shd w:val="clear" w:color="auto" w:fill="D9D9D9" w:themeFill="background1" w:themeFillShade="D9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Blunt (MVC)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35E6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52 (4%)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751A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5 (4%)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10EE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7 (6%)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753ED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13 (2%)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804A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32 (3%) </w:t>
            </w:r>
          </w:p>
        </w:tc>
      </w:tr>
      <w:tr w:rsidR="00AB0CCD" w:rsidRPr="00F02F27" w14:paraId="67508819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7817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Blunt (fall)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E7B7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24 (2%)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3DC2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0 (0%)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1312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1 (1%)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59FB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1 (&lt;1%)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ADC1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4 (&lt;1%) </w:t>
            </w:r>
          </w:p>
        </w:tc>
      </w:tr>
      <w:tr w:rsidR="00AB0CCD" w:rsidRPr="00F02F27" w14:paraId="75688DB2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26C3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Penetrating (all types)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CE18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>660 (45%)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64F5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103 (79%)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D6C2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77 (65%)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9C74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532 (82%)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EF06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800 (81%) </w:t>
            </w:r>
          </w:p>
        </w:tc>
      </w:tr>
      <w:tr w:rsidR="00AB0CCD" w:rsidRPr="00F02F27" w14:paraId="0E08C134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E1AC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Penetrating (GSW)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4EA3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>209 (14%)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A42C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>22 (17%)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07A0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18 (15%)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3E38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194 (30%)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D3EB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324 (33%) </w:t>
            </w:r>
          </w:p>
        </w:tc>
      </w:tr>
      <w:tr w:rsidR="00AB0CCD" w:rsidRPr="00F02F27" w14:paraId="1DC141D6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B1C6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Penetrating (explosive)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B026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>413 (28%)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9CFD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>78 (60%)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6C9A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50 (42%)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2FDB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306 (47%)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AB37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403 (41%) </w:t>
            </w:r>
          </w:p>
        </w:tc>
      </w:tr>
      <w:tr w:rsidR="00AB0CCD" w:rsidRPr="00F02F27" w14:paraId="0FB4C655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74F4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6FB0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1453 (100%)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6B82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131 (100%)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3962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118 (100%)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58AA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651 (100%)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5976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991 (100%) </w:t>
            </w:r>
          </w:p>
        </w:tc>
      </w:tr>
      <w:tr w:rsidR="00AB0CCD" w:rsidRPr="00F02F27" w14:paraId="5096783F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62C7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Fatalities (DOW only)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331A" w14:textId="77777777" w:rsidR="00AB0CCD" w:rsidRPr="00F02F27" w:rsidRDefault="00AB0CCD" w:rsidP="00246B69">
            <w:pPr>
              <w:spacing w:line="480" w:lineRule="auto"/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38E0" w14:textId="77777777" w:rsidR="00AB0CCD" w:rsidRPr="00F02F27" w:rsidRDefault="00AB0CCD" w:rsidP="00246B69">
            <w:pPr>
              <w:spacing w:line="480" w:lineRule="auto"/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A758" w14:textId="77777777" w:rsidR="00AB0CCD" w:rsidRPr="00F02F27" w:rsidRDefault="00AB0CCD" w:rsidP="00246B69">
            <w:pPr>
              <w:spacing w:line="480" w:lineRule="auto"/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96C3" w14:textId="77777777" w:rsidR="00AB0CCD" w:rsidRPr="00F02F27" w:rsidRDefault="00AB0CCD" w:rsidP="00246B69">
            <w:pPr>
              <w:spacing w:line="480" w:lineRule="auto"/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8EBC" w14:textId="77777777" w:rsidR="00AB0CCD" w:rsidRPr="00F02F27" w:rsidRDefault="00AB0CCD" w:rsidP="00246B69">
            <w:pPr>
              <w:spacing w:line="480" w:lineRule="auto"/>
            </w:pPr>
          </w:p>
        </w:tc>
      </w:tr>
      <w:tr w:rsidR="00AB0CCD" w:rsidRPr="00F02F27" w14:paraId="2AA81AFC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DA56" w14:textId="77777777" w:rsidR="00AB0CCD" w:rsidRPr="001A5D6A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1A5D6A">
              <w:rPr>
                <w:rFonts w:ascii="Times New Roman" w:hAnsi="Times New Roman" w:cs="Times New Roman"/>
                <w:sz w:val="16"/>
                <w:szCs w:val="16"/>
              </w:rPr>
              <w:t>Blunt (all types)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D9BB" w14:textId="77777777" w:rsidR="00AB0CCD" w:rsidRPr="00F02F27" w:rsidRDefault="00AB0CCD" w:rsidP="00246B69">
            <w:pPr>
              <w:spacing w:line="480" w:lineRule="auto"/>
              <w:jc w:val="right"/>
            </w:pPr>
            <w:r w:rsidRPr="001A5D6A">
              <w:rPr>
                <w:color w:val="000000"/>
                <w:sz w:val="16"/>
                <w:szCs w:val="16"/>
              </w:rPr>
              <w:t>39 (47%)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8F29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0 (0%)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E285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0 (0%)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0539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7 (14%)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2DC1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17 (27%) </w:t>
            </w:r>
          </w:p>
        </w:tc>
      </w:tr>
      <w:tr w:rsidR="00AB0CCD" w:rsidRPr="00F02F27" w14:paraId="425B4671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EF2C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Blunt (explosive)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123E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>34 (41%)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DB9E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0 (0%)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296B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0 (0%)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D2B9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5 (10%)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EFED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10 (16%) </w:t>
            </w:r>
          </w:p>
        </w:tc>
      </w:tr>
      <w:tr w:rsidR="00AB0CCD" w:rsidRPr="00F02F27" w14:paraId="7E183506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33BE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Blunt (MVC)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DFEF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6 (7%)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9A7C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0 (0%)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458B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0 (0%)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8558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1 (2%)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3C03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7 (11%) </w:t>
            </w:r>
          </w:p>
        </w:tc>
      </w:tr>
      <w:tr w:rsidR="00AB0CCD" w:rsidRPr="00F02F27" w14:paraId="677C6A3F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23A4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Blunt (fall)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F2D0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2 (2%)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0429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0 (0%)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6745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0 (0%)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9BC2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0 (0%)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2536" w14:textId="77777777" w:rsidR="00AB0CCD" w:rsidRPr="00C630B6" w:rsidRDefault="00AB0CCD" w:rsidP="00246B69">
            <w:pPr>
              <w:spacing w:line="480" w:lineRule="auto"/>
              <w:jc w:val="right"/>
              <w:rPr>
                <w:color w:val="000000"/>
                <w:sz w:val="16"/>
                <w:szCs w:val="16"/>
              </w:rPr>
            </w:pPr>
            <w:r w:rsidRPr="00C630B6">
              <w:rPr>
                <w:color w:val="000000"/>
                <w:sz w:val="16"/>
                <w:szCs w:val="16"/>
              </w:rPr>
              <w:t xml:space="preserve">2 (3%) </w:t>
            </w:r>
          </w:p>
        </w:tc>
      </w:tr>
      <w:tr w:rsidR="00AB0CCD" w:rsidRPr="00F02F27" w14:paraId="32D7144E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E6BA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Penetrating (all types)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405D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44 (53%)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24FA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17 (100%)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4197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6 (100%)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3599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42 (86%)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DCBD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46 (73%) </w:t>
            </w:r>
          </w:p>
        </w:tc>
      </w:tr>
      <w:tr w:rsidR="00AB0CCD" w:rsidRPr="00F02F27" w14:paraId="33F30325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BF6B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Penetrating (GSW)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1F7F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>22 (3%)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2ABF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9 (50%)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C0ED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1(17%)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E7EA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17 (35%)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CF1A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18 (29%) </w:t>
            </w:r>
          </w:p>
        </w:tc>
      </w:tr>
      <w:tr w:rsidR="00AB0CCD" w:rsidRPr="00F02F27" w14:paraId="63E99017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6F19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Penetrating (explosive)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BE98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20 (24%)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7CA6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8 (50%)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C551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4 (67%)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AC89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22 (45%)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E420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20 (32%) </w:t>
            </w:r>
          </w:p>
        </w:tc>
      </w:tr>
      <w:tr w:rsidR="00AB0CCD" w:rsidRPr="00F02F27" w14:paraId="6F90DBF2" w14:textId="77777777" w:rsidTr="00246B69">
        <w:tblPrEx>
          <w:shd w:val="clear" w:color="auto" w:fill="auto"/>
        </w:tblPrEx>
        <w:trPr>
          <w:trHeight w:val="22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B4D9" w14:textId="77777777" w:rsidR="00AB0CCD" w:rsidRPr="00C630B6" w:rsidRDefault="00AB0CCD" w:rsidP="00246B69">
            <w:pPr>
              <w:pStyle w:val="TableStyle1"/>
              <w:spacing w:line="480" w:lineRule="auto"/>
              <w:rPr>
                <w:rFonts w:ascii="Times New Roman" w:hAnsi="Times New Roman" w:cs="Times New Roman"/>
              </w:rPr>
            </w:pPr>
            <w:r w:rsidRPr="00C630B6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B14A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83 (100%)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3029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17 (100%)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6B4A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6 (100%)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B9EC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49 (100%) 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4383" w14:textId="77777777" w:rsidR="00AB0CCD" w:rsidRPr="00F02F27" w:rsidRDefault="00AB0CCD" w:rsidP="00246B69">
            <w:pPr>
              <w:spacing w:line="480" w:lineRule="auto"/>
              <w:jc w:val="right"/>
            </w:pPr>
            <w:r w:rsidRPr="00C630B6">
              <w:rPr>
                <w:color w:val="000000"/>
                <w:sz w:val="16"/>
                <w:szCs w:val="16"/>
              </w:rPr>
              <w:t xml:space="preserve">63 (100%) </w:t>
            </w:r>
          </w:p>
        </w:tc>
      </w:tr>
    </w:tbl>
    <w:p w14:paraId="2352B599" w14:textId="77777777" w:rsidR="00AB0CCD" w:rsidRPr="00C630B6" w:rsidRDefault="00AB0CCD" w:rsidP="00AB0CCD">
      <w:pPr>
        <w:pStyle w:val="Body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64408BB" w14:textId="67610E51" w:rsidR="00C60B1E" w:rsidRPr="00AB0CCD" w:rsidRDefault="003F2D5F" w:rsidP="00AB0CCD">
      <w:pPr>
        <w:pStyle w:val="BodyA"/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Online </w:t>
      </w:r>
      <w:r w:rsidR="00AB0CCD" w:rsidRPr="00C630B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AB0CCD" w:rsidRPr="00C630B6">
        <w:rPr>
          <w:rFonts w:ascii="Times New Roman" w:hAnsi="Times New Roman" w:cs="Times New Roman"/>
          <w:b/>
          <w:bCs/>
          <w:sz w:val="24"/>
          <w:szCs w:val="24"/>
        </w:rPr>
        <w:t>: Mechanism of injury for casualties with neck injuries seen</w:t>
      </w:r>
      <w:r w:rsidR="00AB0CCD" w:rsidRPr="00C630B6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at </w:t>
      </w:r>
      <w:r w:rsidR="00AB0CCD" w:rsidRPr="00C630B6">
        <w:rPr>
          <w:rFonts w:ascii="Times New Roman" w:hAnsi="Times New Roman" w:cs="Times New Roman"/>
          <w:b/>
          <w:bCs/>
          <w:sz w:val="24"/>
          <w:szCs w:val="24"/>
        </w:rPr>
        <w:t>roles</w:t>
      </w:r>
      <w:r w:rsidR="00AB0CCD" w:rsidRPr="00C630B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1-3 </w:t>
      </w:r>
      <w:r w:rsidR="00AB0CCD" w:rsidRPr="00C630B6">
        <w:rPr>
          <w:rFonts w:ascii="Times New Roman" w:hAnsi="Times New Roman" w:cs="Times New Roman"/>
          <w:b/>
          <w:bCs/>
          <w:sz w:val="24"/>
          <w:szCs w:val="24"/>
        </w:rPr>
        <w:t>Medical Treatment Facilities (survivors and deaths). MVC= Motor vehicle Collision, GSW= Gunshot Wound.</w:t>
      </w:r>
      <w:bookmarkEnd w:id="0"/>
    </w:p>
    <w:sectPr w:rsidR="00C60B1E" w:rsidRPr="00AB0CCD" w:rsidSect="006330EE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CD"/>
    <w:rsid w:val="00000E38"/>
    <w:rsid w:val="000304E7"/>
    <w:rsid w:val="000702B0"/>
    <w:rsid w:val="00095CA5"/>
    <w:rsid w:val="000B0809"/>
    <w:rsid w:val="000D6B82"/>
    <w:rsid w:val="000F1025"/>
    <w:rsid w:val="0010742B"/>
    <w:rsid w:val="00114351"/>
    <w:rsid w:val="001C2487"/>
    <w:rsid w:val="001F2FF8"/>
    <w:rsid w:val="00212A75"/>
    <w:rsid w:val="00221CD1"/>
    <w:rsid w:val="00245DCD"/>
    <w:rsid w:val="00250EF2"/>
    <w:rsid w:val="00283388"/>
    <w:rsid w:val="002C1F93"/>
    <w:rsid w:val="002E1E18"/>
    <w:rsid w:val="002F1E68"/>
    <w:rsid w:val="00305C25"/>
    <w:rsid w:val="0032048D"/>
    <w:rsid w:val="0034718C"/>
    <w:rsid w:val="00364D77"/>
    <w:rsid w:val="0037304B"/>
    <w:rsid w:val="003A74C9"/>
    <w:rsid w:val="003F2D5F"/>
    <w:rsid w:val="00403295"/>
    <w:rsid w:val="00433A75"/>
    <w:rsid w:val="0043460A"/>
    <w:rsid w:val="00455122"/>
    <w:rsid w:val="00463ED9"/>
    <w:rsid w:val="004A14F4"/>
    <w:rsid w:val="004B2790"/>
    <w:rsid w:val="00501F94"/>
    <w:rsid w:val="005317F8"/>
    <w:rsid w:val="005342B6"/>
    <w:rsid w:val="005369F2"/>
    <w:rsid w:val="00555A00"/>
    <w:rsid w:val="00567C5A"/>
    <w:rsid w:val="00590976"/>
    <w:rsid w:val="005910B7"/>
    <w:rsid w:val="005C199C"/>
    <w:rsid w:val="005E3384"/>
    <w:rsid w:val="005E74A5"/>
    <w:rsid w:val="006330EE"/>
    <w:rsid w:val="00661824"/>
    <w:rsid w:val="00662E49"/>
    <w:rsid w:val="0066377D"/>
    <w:rsid w:val="006B7EB2"/>
    <w:rsid w:val="006D0E05"/>
    <w:rsid w:val="006E5551"/>
    <w:rsid w:val="007007DE"/>
    <w:rsid w:val="00720C6A"/>
    <w:rsid w:val="007653CF"/>
    <w:rsid w:val="00771A28"/>
    <w:rsid w:val="0079372C"/>
    <w:rsid w:val="007952C0"/>
    <w:rsid w:val="007E19DD"/>
    <w:rsid w:val="007E1A61"/>
    <w:rsid w:val="0080416E"/>
    <w:rsid w:val="00806762"/>
    <w:rsid w:val="00812AC0"/>
    <w:rsid w:val="00820B85"/>
    <w:rsid w:val="00846CF2"/>
    <w:rsid w:val="00866AFF"/>
    <w:rsid w:val="00894BD4"/>
    <w:rsid w:val="008A7D54"/>
    <w:rsid w:val="008C00C5"/>
    <w:rsid w:val="008E7D76"/>
    <w:rsid w:val="008F5625"/>
    <w:rsid w:val="008F6EE4"/>
    <w:rsid w:val="008F7B2A"/>
    <w:rsid w:val="00906279"/>
    <w:rsid w:val="00915EE4"/>
    <w:rsid w:val="00916E3D"/>
    <w:rsid w:val="00933D49"/>
    <w:rsid w:val="00936AA0"/>
    <w:rsid w:val="009403F0"/>
    <w:rsid w:val="00951AF9"/>
    <w:rsid w:val="00962876"/>
    <w:rsid w:val="0096788A"/>
    <w:rsid w:val="00992FD5"/>
    <w:rsid w:val="009978E1"/>
    <w:rsid w:val="009A0696"/>
    <w:rsid w:val="009A475B"/>
    <w:rsid w:val="00A73605"/>
    <w:rsid w:val="00A75142"/>
    <w:rsid w:val="00A778B4"/>
    <w:rsid w:val="00AB0CCD"/>
    <w:rsid w:val="00AD11CA"/>
    <w:rsid w:val="00AD712E"/>
    <w:rsid w:val="00AE6A78"/>
    <w:rsid w:val="00B34AF6"/>
    <w:rsid w:val="00B4389D"/>
    <w:rsid w:val="00B76FE9"/>
    <w:rsid w:val="00BB4AF5"/>
    <w:rsid w:val="00BB5069"/>
    <w:rsid w:val="00BD41D4"/>
    <w:rsid w:val="00C35C7C"/>
    <w:rsid w:val="00C47704"/>
    <w:rsid w:val="00C60BEC"/>
    <w:rsid w:val="00C744E7"/>
    <w:rsid w:val="00C92D65"/>
    <w:rsid w:val="00CA7B09"/>
    <w:rsid w:val="00CC4F49"/>
    <w:rsid w:val="00CD1BC1"/>
    <w:rsid w:val="00CE4F9F"/>
    <w:rsid w:val="00CE5D22"/>
    <w:rsid w:val="00D05E7A"/>
    <w:rsid w:val="00D55EE8"/>
    <w:rsid w:val="00D60A18"/>
    <w:rsid w:val="00D66F4A"/>
    <w:rsid w:val="00D67868"/>
    <w:rsid w:val="00DB6177"/>
    <w:rsid w:val="00DC23C5"/>
    <w:rsid w:val="00DD0D5F"/>
    <w:rsid w:val="00E625BE"/>
    <w:rsid w:val="00E92219"/>
    <w:rsid w:val="00EE591C"/>
    <w:rsid w:val="00F11C75"/>
    <w:rsid w:val="00F26D81"/>
    <w:rsid w:val="00F43E54"/>
    <w:rsid w:val="00F64A5E"/>
    <w:rsid w:val="00F82379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BC21"/>
  <w14:defaultImageDpi w14:val="32767"/>
  <w15:chartTrackingRefBased/>
  <w15:docId w15:val="{615DDB5A-DC9B-9844-8347-C0B4A83A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C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6FE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Helvetica" w:hAnsi="Helvetica" w:cs="Helvetica"/>
      <w:color w:val="000000"/>
      <w:bdr w:val="nil"/>
      <w:lang w:eastAsia="en-GB"/>
    </w:rPr>
  </w:style>
  <w:style w:type="paragraph" w:customStyle="1" w:styleId="BodyA">
    <w:name w:val="Body A"/>
    <w:rsid w:val="00AB0C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1">
    <w:name w:val="Table Style 1"/>
    <w:rsid w:val="00AB0C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Breeze</dc:creator>
  <cp:keywords/>
  <dc:description/>
  <cp:lastModifiedBy>John Breeze</cp:lastModifiedBy>
  <cp:revision>2</cp:revision>
  <dcterms:created xsi:type="dcterms:W3CDTF">2019-12-08T15:09:00Z</dcterms:created>
  <dcterms:modified xsi:type="dcterms:W3CDTF">2019-12-08T15:20:00Z</dcterms:modified>
</cp:coreProperties>
</file>