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6F5A2" w14:textId="04257926" w:rsidR="00A64C45" w:rsidRDefault="00A01799" w:rsidP="00A64C45">
      <w:pPr>
        <w:rPr>
          <w:rFonts w:ascii="Times New Roman" w:hAnsi="Times New Roman"/>
          <w:b/>
        </w:rPr>
      </w:pPr>
      <w:r>
        <w:rPr>
          <w:rFonts w:ascii="Times New Roman" w:hAnsi="Times New Roman"/>
          <w:b/>
        </w:rPr>
        <w:t>Supplementary Methods</w:t>
      </w:r>
      <w:r w:rsidR="00A64C45" w:rsidRPr="006E5CF3">
        <w:rPr>
          <w:rFonts w:ascii="Times New Roman" w:hAnsi="Times New Roman"/>
          <w:b/>
        </w:rPr>
        <w:t>: Gravity-</w:t>
      </w:r>
      <w:r w:rsidR="00A64C45">
        <w:rPr>
          <w:rFonts w:ascii="Times New Roman" w:hAnsi="Times New Roman"/>
          <w:b/>
        </w:rPr>
        <w:t>B</w:t>
      </w:r>
      <w:r w:rsidR="00A64C45" w:rsidRPr="006E5CF3">
        <w:rPr>
          <w:rFonts w:ascii="Times New Roman" w:hAnsi="Times New Roman"/>
          <w:b/>
        </w:rPr>
        <w:t>ased Spatial Access Model</w:t>
      </w:r>
    </w:p>
    <w:p w14:paraId="5D5A3B51" w14:textId="77777777" w:rsidR="00A64C45" w:rsidRPr="009C0D07" w:rsidRDefault="00A64C45" w:rsidP="00A64C45">
      <w:pPr>
        <w:spacing w:after="0" w:line="240" w:lineRule="auto"/>
        <w:rPr>
          <w:rFonts w:ascii="Times New Roman" w:hAnsi="Times New Roman"/>
          <w:b/>
          <w:sz w:val="20"/>
          <w:szCs w:val="20"/>
        </w:rPr>
      </w:pPr>
    </w:p>
    <w:p w14:paraId="69A268D1" w14:textId="047FF208" w:rsidR="00A64C45" w:rsidRPr="009C0D07" w:rsidRDefault="00A64C45" w:rsidP="00A64C45">
      <w:pPr>
        <w:spacing w:after="0" w:line="240" w:lineRule="auto"/>
        <w:rPr>
          <w:rFonts w:ascii="Times New Roman" w:hAnsi="Times New Roman"/>
          <w:sz w:val="20"/>
          <w:szCs w:val="20"/>
        </w:rPr>
      </w:pPr>
      <w:r w:rsidRPr="009C0D07">
        <w:rPr>
          <w:rFonts w:ascii="Times New Roman" w:hAnsi="Times New Roman"/>
          <w:sz w:val="20"/>
          <w:szCs w:val="20"/>
        </w:rPr>
        <w:t>Realizing the limitations of both travel impedance</w:t>
      </w:r>
      <w:r>
        <w:rPr>
          <w:rFonts w:ascii="Times New Roman" w:hAnsi="Times New Roman"/>
          <w:sz w:val="20"/>
          <w:szCs w:val="20"/>
        </w:rPr>
        <w:t xml:space="preserve"> </w:t>
      </w:r>
      <w:r w:rsidRPr="009C0D07">
        <w:rPr>
          <w:rFonts w:ascii="Times New Roman" w:hAnsi="Times New Roman"/>
          <w:sz w:val="20"/>
          <w:szCs w:val="20"/>
        </w:rPr>
        <w:t>measures</w:t>
      </w:r>
      <w:r>
        <w:rPr>
          <w:rFonts w:ascii="Times New Roman" w:hAnsi="Times New Roman"/>
          <w:sz w:val="20"/>
          <w:szCs w:val="20"/>
        </w:rPr>
        <w:t xml:space="preserve"> (</w:t>
      </w:r>
      <w:proofErr w:type="spellStart"/>
      <w:r>
        <w:rPr>
          <w:rFonts w:ascii="Times New Roman" w:hAnsi="Times New Roman"/>
          <w:sz w:val="20"/>
          <w:szCs w:val="20"/>
        </w:rPr>
        <w:t>eg.</w:t>
      </w:r>
      <w:proofErr w:type="spellEnd"/>
      <w:r>
        <w:rPr>
          <w:rFonts w:ascii="Times New Roman" w:hAnsi="Times New Roman"/>
          <w:sz w:val="20"/>
          <w:szCs w:val="20"/>
        </w:rPr>
        <w:t xml:space="preserve"> distance, time)</w:t>
      </w:r>
      <w:r w:rsidRPr="009C0D07">
        <w:rPr>
          <w:rFonts w:ascii="Times New Roman" w:hAnsi="Times New Roman"/>
          <w:sz w:val="20"/>
          <w:szCs w:val="20"/>
        </w:rPr>
        <w:t xml:space="preserve"> and provider-population ratios in modeling spatial access to healthcare, researchers have adopted gravity models to account for the complicated interactions among healthcare supply, population demand for healthcare, and travel impedance between population locations and healthcare sites.</w:t>
      </w:r>
      <w:r>
        <w:rPr>
          <w:rFonts w:ascii="Times New Roman" w:hAnsi="Times New Roman"/>
          <w:sz w:val="20"/>
          <w:szCs w:val="20"/>
        </w:rPr>
        <w:fldChar w:fldCharType="begin"/>
      </w:r>
      <w:r>
        <w:rPr>
          <w:rFonts w:ascii="Times New Roman" w:hAnsi="Times New Roman"/>
          <w:sz w:val="20"/>
          <w:szCs w:val="20"/>
        </w:rPr>
        <w:instrText xml:space="preserve"> ADDIN ZOTERO_ITEM CSL_CITATION {"citationID":"72iWXVtV","properties":{"formattedCitation":"\\super 1\\uc0\\u8211{}4\\nosupersub{}","plainCitation":"1–4","noteIndex":0},"citationItems":[{"id":3,"uris":["http://zotero.org/users/9503623/items/F8JABPZJ"],"itemData":{"id":3,"type":"article-journal","abstract":"Gravity-based spatial access models have been widely used to estimate spatial access to healthcare services in an attempt to capture the interaction of various factors. However, these models are inadequate in informing health resource allocation work due to their inappropriate assumption of healthcare demand. For the purpose of effective healthcare resource planning, this article proposes a three-step floating catchment area (3SFCA) method to minimize the healthcare-demand overestimation problem. Specifically, a spatial impedance-based competition scheme is incorporated into the enhanced two-step floating catchment area (E2SFCA) method to account for a reasonable model of healthcare supply and demand. A case study of spatial access to primary care physicians along the Austin–San Antonio corridor area in central Texas showed that the proposed method effectively minimizes the overestimation of healthcare demand and reflects a more balanced geographic pattern of spatial access than E2SFCA. In addition, by using an adjusted spatial access index, the 3SFCA method indicates strong potential for identifying health professional shortage areas. The study concludes that 3SFCA is a promising method to provide health professionals and decision makers with useful healthcare accessibility information.","container-title":"International Journal of Geographical Information Science","DOI":"10.1080/13658816.2011.624987","ISSN":"1365-8816","issue":"6","note":"publisher: Taylor &amp; Francis\n_eprint: https://doi.org/10.1080/13658816.2011.624987","page":"1073-1089","source":"Taylor and Francis+NEJM","title":"A three-step floating catchment area method for analyzing spatial access to health services","volume":"26","author":[{"family":"Wan","given":"Neng"},{"family":"Zou","given":"Bin"},{"family":"Sternberg","given":"Troy"}],"issued":{"date-parts":[["2012",6,1]]}}},{"id":18,"uris":["http://zotero.org/users/9503623/items/KU3LZNQY"],"itemData":{"id":18,"type":"article-journal","abstract":"Primary care is recognized as the most important form of healthcare for maintaining population health because it is relatively inexpensive, can be more easily delivered than specialty and inpatient care, and if properly distributed it is most effective in preventing disease progression on a large scale. Recent advances in the field of health geography have greatly improved our understanding of the role played by geographic distribution of health services in population health maintenance. However, most of this knowledge has accrued for hospital and specialty services and services in rural areas. Much less is known about the effect of distance to and supply of primary care on primary care utilization, particularly in the U.S.","container-title":"International Journal of Health Geographics","DOI":"10.1186/1476-072X-3-3","ISSN":"1476-072X","issue":"1","journalAbbreviation":"International Journal of Health Geographics","page":"3","source":"BioMed Central","title":"Spatial accessibility of primary care: concepts, methods and challenges","title-short":"Spatial accessibility of primary care","volume":"3","author":[{"family":"Guagliardo","given":"Mark F."}],"issued":{"date-parts":[["2004",2,26]]}}},{"id":16,"uris":["http://zotero.org/users/9503623/items/GZDANNWM"],"itemData":{"id":16,"type":"article-journal","abstract":"This paper presents an enhancement of the two-step floating catchment area (2SFCA) method for measuring spatial accessibility, addressing the problem of uniform access within the catchment by applying weights to different travel time zones to account for distance decay. The enhancement is proved to be another special case of the gravity model. When applying this enhanced 2SFCA (E2SFCA) to measure the spatial access to primary care physicians in a study area in northern Illinois, we find that it reveals spatial accessibility pattern that is more consistent with intuition and delineates more spatially explicit health professional shortage areas. It is easy to implement in GIS and straightforward to interpret.","container-title":"Health &amp; Place","DOI":"10.1016/j.healthplace.2009.06.002","ISSN":"1353-8292","issue":"4","journalAbbreviation":"Health Place","language":"eng","note":"PMID: 19576837","page":"1100-1107","source":"PubMed","title":"An enhanced two-step floating catchment area (E2SFCA) method for measuring spatial accessibility to primary care physicians","volume":"15","author":[{"family":"Luo","given":"Wei"},{"family":"Qi","given":"Yi"}],"issued":{"date-parts":[["2009",12]]}}},{"id":24,"uris":["http://zotero.org/users/9503623/items/KFIQTAYW"],"itemData":{"id":24,"type":"article-journal","abstract":"The usefulness of gravity-based spatial access models is limited because of the uncertainty introduced by the range of values of the impedance coefficient. To solve this problem, this paper proposes the concept of spatial access ratio (SPAR) derived from the enhanced 2-step floating catchment area (E2SFCA) method — a recent extension of the gravity model — to assess potential spatial access. First, a sensitivity assessment is conducted to verify the effectiveness of SPAR and its advantages in overcoming the uncertainty problem. Then, the E2SFCA method and the shortest travel time method are employed to measure potential spatial access to colorectal cancer (CRC) prevention and treatment services in Texas based on data at the census tract level. The socio-demographic and geographic distributions of potential spatial access to CRC services are also examined. The sensitivity assessment reveals substantial fluctuations in the values of the spatial access index calculated directly by the E2SFCA method under different values of the impedance coefficient. However, the values of SPAR remain stable under different values of the coefficient. A comparative analysis indicates that potential spatial access to primary care physicians (PCPs), CRC screening facilities, and oncologists varied among different racial/ethnic and socioeconomic population groups as well as in different geographic regions in Texas. Non-Hispanic blacks, Asians, and people in affluent areas had a geographical advantage in accessing CRC services than other groups. The urban/rural difference was more obvious and serious than those of different racial/ethnic groups and groups with different socio-economic statuses, as metropolitan residents had more than three times the potential spatial access than isolated rural residents.","container-title":"Applied Geography","DOI":"10.1016/j.apgeog.2011.05.001","ISSN":"0143-6228","issue":"2","journalAbbreviation":"Applied Geography","language":"en","page":"291-299","source":"ScienceDirect","title":"A relative spatial access assessment approach for analyzing potential spatial access to colorectal cancer services in Texas","volume":"32","author":[{"family":"Wan","given":"Neng"},{"family":"Zhan","given":"F. Benjamin"},{"family":"Zou","given":"Bin"},{"family":"Chow","given":"Edwin"}],"issued":{"date-parts":[["2012",3,1]]}}}],"schema":"https://github.com/citation-style-language/schema/raw/master/csl-citation.json"} </w:instrText>
      </w:r>
      <w:r>
        <w:rPr>
          <w:rFonts w:ascii="Times New Roman" w:hAnsi="Times New Roman"/>
          <w:sz w:val="20"/>
          <w:szCs w:val="20"/>
        </w:rPr>
        <w:fldChar w:fldCharType="separate"/>
      </w:r>
      <w:r w:rsidRPr="00392132">
        <w:rPr>
          <w:rFonts w:ascii="Times New Roman" w:hAnsi="Times New Roman"/>
          <w:sz w:val="20"/>
          <w:vertAlign w:val="superscript"/>
        </w:rPr>
        <w:t>1–4</w:t>
      </w:r>
      <w:r>
        <w:rPr>
          <w:rFonts w:ascii="Times New Roman" w:hAnsi="Times New Roman"/>
          <w:sz w:val="20"/>
          <w:szCs w:val="20"/>
        </w:rPr>
        <w:fldChar w:fldCharType="end"/>
      </w:r>
      <w:r w:rsidRPr="009C0D07">
        <w:rPr>
          <w:rFonts w:ascii="Times New Roman" w:hAnsi="Times New Roman"/>
          <w:sz w:val="20"/>
          <w:szCs w:val="20"/>
        </w:rPr>
        <w:t xml:space="preserve"> </w:t>
      </w:r>
      <w:r w:rsidRPr="009C0D07">
        <w:rPr>
          <w:rFonts w:ascii="Times New Roman" w:hAnsi="Times New Roman"/>
          <w:b/>
          <w:i/>
          <w:sz w:val="20"/>
          <w:szCs w:val="20"/>
        </w:rPr>
        <w:t xml:space="preserve"> </w:t>
      </w:r>
      <w:r w:rsidRPr="009C0D07">
        <w:rPr>
          <w:rFonts w:ascii="Times New Roman" w:hAnsi="Times New Roman"/>
          <w:sz w:val="20"/>
          <w:szCs w:val="20"/>
        </w:rPr>
        <w:t>Gravity-based spatial access models estimate spatial access to medical services based on the law of gravitation.</w:t>
      </w:r>
      <w:r>
        <w:rPr>
          <w:rFonts w:ascii="Times New Roman" w:hAnsi="Times New Roman"/>
          <w:sz w:val="20"/>
          <w:szCs w:val="20"/>
        </w:rPr>
        <w:fldChar w:fldCharType="begin"/>
      </w:r>
      <w:r>
        <w:rPr>
          <w:rFonts w:ascii="Times New Roman" w:hAnsi="Times New Roman"/>
          <w:sz w:val="20"/>
          <w:szCs w:val="20"/>
        </w:rPr>
        <w:instrText xml:space="preserve"> ADDIN ZOTERO_ITEM CSL_CITATION {"citationID":"yIZjNQRD","properties":{"formattedCitation":"\\super 5\\nosupersub{}","plainCitation":"5","noteIndex":0},"citationItems":[{"id":111,"uris":["http://zotero.org/users/9503623/items/GQYUEUK3"],"itemData":{"id":111,"type":"article-journal","abstract":"The general practitioner is the key element within most rural health care delivery systems, virtually controlling referal to higher levels of care as well as providing basic care. In consequence of the progressive urban-based centralization of health care facilities and specialized personnel encouraged by the desire to take advantage of economies of scale in supply, the role of the general practitioner within rural health care delivery has become increasingly crucial. However, the supply of general practitioners in rural areas has not kept pace with demands, and accessibility to physicians has become a pressing issue in many rural areas. Although ‘accessibility’ is not taken to be synonymous with physical or geographical accessibility, the dispersed settlement characteristic of most rural areas elevates the latter to a position of primary importance. Following a discussion of the merits of measures of accessibility based upon utilization versus measures based upon the relative location of population and physicians, a measure on potential physical accessibility is presented and applied to a Canadian data set. The results suggest that although considerable differences in potential accessibility exist between rural areas near and far from urban centres, the smaller catchment populations of most rural general practitioners may partly compensate for isolation from major, urban concentrations of physicians.","container-title":"Social Science &amp; Medicine","DOI":"10.1016/0277-9536(82)90428-2","ISSN":"0277-9536","issue":"1","journalAbbreviation":"Social Science &amp; Medicine","language":"en","page":"85-90","source":"ScienceDirect","title":"Measuring potential physical accessibility to general practitioners in rural areas: A method and case study","title-short":"Measuring potential physical accessibility to general practitioners in rural areas","volume":"16","author":[{"family":"Joseph","given":"Alun E."},{"family":"Bantock","given":"Peter R."}],"issued":{"date-parts":[["1982",1,1]]}}}],"schema":"https://github.com/citation-style-language/schema/raw/master/csl-citation.json"} </w:instrText>
      </w:r>
      <w:r>
        <w:rPr>
          <w:rFonts w:ascii="Times New Roman" w:hAnsi="Times New Roman"/>
          <w:sz w:val="20"/>
          <w:szCs w:val="20"/>
        </w:rPr>
        <w:fldChar w:fldCharType="separate"/>
      </w:r>
      <w:r w:rsidRPr="00392132">
        <w:rPr>
          <w:rFonts w:ascii="Times New Roman" w:hAnsi="Times New Roman"/>
          <w:sz w:val="20"/>
          <w:vertAlign w:val="superscript"/>
        </w:rPr>
        <w:t>5</w:t>
      </w:r>
      <w:r>
        <w:rPr>
          <w:rFonts w:ascii="Times New Roman" w:hAnsi="Times New Roman"/>
          <w:sz w:val="20"/>
          <w:szCs w:val="20"/>
        </w:rPr>
        <w:fldChar w:fldCharType="end"/>
      </w:r>
      <w:r w:rsidRPr="009C0D07">
        <w:rPr>
          <w:rFonts w:ascii="Times New Roman" w:hAnsi="Times New Roman"/>
          <w:sz w:val="20"/>
          <w:szCs w:val="20"/>
        </w:rPr>
        <w:t xml:space="preserve"> Specifically, gravity models assume a population site’s spatial access to a medical site decreases with the increase of travel distance to that medical site. A distance impedance function, </w:t>
      </w:r>
      <w:r w:rsidRPr="009C0D07">
        <w:rPr>
          <w:rFonts w:ascii="Times New Roman" w:hAnsi="Times New Roman"/>
          <w:i/>
          <w:sz w:val="20"/>
          <w:szCs w:val="20"/>
        </w:rPr>
        <w:t>f(d)</w:t>
      </w:r>
      <w:r w:rsidRPr="009C0D07">
        <w:rPr>
          <w:rFonts w:ascii="Times New Roman" w:hAnsi="Times New Roman"/>
          <w:sz w:val="20"/>
          <w:szCs w:val="20"/>
        </w:rPr>
        <w:t xml:space="preserve">, is generally used to model the influence of travel distance </w:t>
      </w:r>
      <w:r w:rsidRPr="009C0D07">
        <w:rPr>
          <w:rFonts w:ascii="Times New Roman" w:hAnsi="Times New Roman"/>
          <w:i/>
          <w:sz w:val="20"/>
          <w:szCs w:val="20"/>
        </w:rPr>
        <w:t xml:space="preserve">d </w:t>
      </w:r>
      <w:r w:rsidRPr="009C0D07">
        <w:rPr>
          <w:rFonts w:ascii="Times New Roman" w:hAnsi="Times New Roman"/>
          <w:sz w:val="20"/>
          <w:szCs w:val="20"/>
        </w:rPr>
        <w:t>on the spatial access.</w:t>
      </w:r>
    </w:p>
    <w:p w14:paraId="169C0454" w14:textId="77777777" w:rsidR="00A64C45" w:rsidRPr="009C0D07" w:rsidRDefault="00A64C45" w:rsidP="00A64C45">
      <w:pPr>
        <w:spacing w:after="0" w:line="240" w:lineRule="auto"/>
        <w:rPr>
          <w:rFonts w:ascii="Times New Roman" w:hAnsi="Times New Roman"/>
          <w:sz w:val="20"/>
          <w:szCs w:val="20"/>
        </w:rPr>
      </w:pPr>
    </w:p>
    <w:p w14:paraId="7A5EBB4A" w14:textId="77777777" w:rsidR="00A64C45" w:rsidRPr="009C0D07" w:rsidRDefault="00A64C45" w:rsidP="00A64C45">
      <w:pPr>
        <w:spacing w:after="0" w:line="240" w:lineRule="auto"/>
        <w:rPr>
          <w:rFonts w:ascii="Times New Roman" w:hAnsi="Times New Roman"/>
          <w:sz w:val="20"/>
          <w:szCs w:val="20"/>
        </w:rPr>
      </w:pPr>
      <w:r w:rsidRPr="009C0D07">
        <w:rPr>
          <w:rFonts w:ascii="Times New Roman" w:hAnsi="Times New Roman"/>
          <w:sz w:val="20"/>
          <w:szCs w:val="20"/>
        </w:rPr>
        <w:t>One of the most commonly used and widely validated gravity models is the enhanced 2-step floating catchment area (E2SFCA) method.</w:t>
      </w:r>
      <w:r>
        <w:rPr>
          <w:rFonts w:ascii="Times New Roman" w:hAnsi="Times New Roman"/>
          <w:sz w:val="20"/>
          <w:szCs w:val="20"/>
        </w:rPr>
        <w:fldChar w:fldCharType="begin"/>
      </w:r>
      <w:r>
        <w:rPr>
          <w:rFonts w:ascii="Times New Roman" w:hAnsi="Times New Roman"/>
          <w:sz w:val="20"/>
          <w:szCs w:val="20"/>
        </w:rPr>
        <w:instrText xml:space="preserve"> ADDIN ZOTERO_ITEM CSL_CITATION {"citationID":"nSuMpZcs","properties":{"formattedCitation":"\\super 2,3,6\\uc0\\u8211{}8\\nosupersub{}","plainCitation":"2,3,6–8","noteIndex":0},"citationItems":[{"id":18,"uris":["http://zotero.org/users/9503623/items/KU3LZNQY"],"itemData":{"id":18,"type":"article-journal","abstract":"Primary care is recognized as the most important form of healthcare for maintaining population health because it is relatively inexpensive, can be more easily delivered than specialty and inpatient care, and if properly distributed it is most effective in preventing disease progression on a large scale. Recent advances in the field of health geography have greatly improved our understanding of the role played by geographic distribution of health services in population health maintenance. However, most of this knowledge has accrued for hospital and specialty services and services in rural areas. Much less is known about the effect of distance to and supply of primary care on primary care utilization, particularly in the U.S.","container-title":"International Journal of Health Geographics","DOI":"10.1186/1476-072X-3-3","ISSN":"1476-072X","issue":"1","journalAbbreviation":"International Journal of Health Geographics","page":"3","source":"BioMed Central","title":"Spatial accessibility of primary care: concepts, methods and challenges","title-short":"Spatial accessibility of primary care","volume":"3","author":[{"family":"Guagliardo","given":"Mark F."}],"issued":{"date-parts":[["2004",2,26]]}}},{"id":16,"uris":["http://zotero.org/users/9503623/items/GZDANNWM"],"itemData":{"id":16,"type":"article-journal","abstract":"This paper presents an enhancement of the two-step floating catchment area (2SFCA) method for measuring spatial accessibility, addressing the problem of uniform access within the catchment by applying weights to different travel time zones to account for distance decay. The enhancement is proved to be another special case of the gravity model. When applying this enhanced 2SFCA (E2SFCA) to measure the spatial access to primary care physicians in a study area in northern Illinois, we find that it reveals spatial accessibility pattern that is more consistent with intuition and delineates more spatially explicit health professional shortage areas. It is easy to implement in GIS and straightforward to interpret.","container-title":"Health &amp; Place","DOI":"10.1016/j.healthplace.2009.06.002","ISSN":"1353-8292","issue":"4","journalAbbreviation":"Health Place","language":"eng","note":"PMID: 19576837","page":"1100-1107","source":"PubMed","title":"An enhanced two-step floating catchment area (E2SFCA) method for measuring spatial accessibility to primary care physicians","volume":"15","author":[{"family":"Luo","given":"Wei"},{"family":"Qi","given":"Yi"}],"issued":{"date-parts":[["2009",12]]}}},{"id":80,"uris":["http://zotero.org/users/9503623/items/6U9Z4Q9S"],"itemData":{"id":80,"type":"article-journal","abstract":"The two step floating catchment area (2SFCA) method has emerged in the last decade as a key measure of spatial accessibility, particularly in its application to primary health care access. Many recent ‘improvements’ to the original 2SFCA method have been developed, which generally either account for distance-decay within a catchment or enable the usage of variable catchment sizes. This paper evaluates the effectiveness of various proposed methods within these two improvement groups. Moreover, its assessment focuses on how well these improvements operate within and between rural and metropolitan populations over large geographical regions.","container-title":"International Journal of Health Geographics","DOI":"10.1186/1476-072X-11-50","ISSN":"1476-072X","issue":"1","journalAbbreviation":"International Journal of Health Geographics","page":"50","source":"BioMed Central","title":"Spatial accessibility of primary health care utilising the two step floating catchment area method: an assessment of recent improvements","title-short":"Spatial accessibility of primary health care utilising the two step floating catchment area method","volume":"11","author":[{"family":"McGrail","given":"Matthew R."}],"issued":{"date-parts":[["2012",11,16]]}}},{"id":5,"uris":["http://zotero.org/users/9503623/items/KEFV8RJS"],"itemData":{"id":5,"type":"article-journal","abstract":"Objective To compare measures of spatial access to care commonly used by policy makers and researchers with the more comprehensive enhanced two-step floating catchment area (E2SFCA) method. Study Setting Fourteen southwestern Pennsylvania counties. Study Design We estimated spatial access to buprenorphine-waivered prescribers using three commonly used measures—Euclidean travel distance to the closest prescriber, travel time to the closest provider, and provider-to-population ratios—and the E2SFCA. Unlike other measures, the E2SFCA captures provider capacity, potential patient volume, and travel time to prescribers. Data Collection/Extraction Methods We measured provider capacity as the number of buprenorphine prescribers listed at a given address in the Drug Enforcement Agency's 2020 Controlled Substances Act Registrants Database, and we measured potential patient volume as the number of nonelderly adults in a given census tract as reported by the 2018 American Community Survey. We estimated travel times between potential patients and prescribers with Bing Maps and Mapbox application programming interfaces. We then calculated each spatial access measure using the R programming language. We used each measure of spatial access to identify census tracts in the lowest quintile of spatial access to prescribers. Principal Findings The Euclidean distance, travel time, and provider-to-population ratio measures identified 48.3%, 47.2%, and 69.9% of the census tracts that the E2SFCA measure identified as being in the lowest quintile of spatial access to care, meaning that these measures misclassify 30%–52% of study area census tracts as having sufficient spatial access to buprenorphine prescribers. Conclusions Measures of spatial access commonly used by policy makers do not sufficiently accurately identify geographic areas with relatively low access to prescribers of buprenorphine. Using the E2SFCA in addition to the commonly used measures would allow policy makers to precisely target interventions to increase spatial access to opioid use disorder treatment and other types of health care services.","container-title":"Health Services Research","DOI":"10.1111/1475-6773.13700","ISSN":"1475-6773","issue":"5","language":"en","note":"_eprint: https://onlinelibrary.wiley.com/doi/pdf/10.1111/1475-6773.13700","page":"777-787","source":"Wiley Online Library","title":"A comparison of methods for measuring spatial access to health care","volume":"56","author":[{"family":"Drake","given":"Coleman"},{"family":"Nagy","given":"Dylan"},{"family":"Nguyen","given":"Thuy"},{"family":"Kraemer","given":"Kevin L."},{"family":"Mair","given":"Christina"},{"family":"Wallace","given":"David"},{"family":"Donohue","given":"Julie"}],"issued":{"date-parts":[["2021"]]}}},{"id":64,"uris":["http://zotero.org/users/9503623/items/IFYLJQEZ"],"itemData":{"id":64,"type":"article-journal","abstract":"Background\nGrowing physician maldistribution and population demographic shifts have contributed to large geographic variation in healthcare access and the emergence of advanced practice providers as contributors to the healthcare workforce. Current estimates of geographic accessibility of physicians and advanced practice providers rely on outdated “provider per capita” estimates that have shortcomings.\n\nPurpose\nTo apply state of the art methods to estimate spatial accessibility of physician and non-physician clinician groups and to examine factors associated with higher accessibility.\n\nMethods\nWe used a combination of provider location, medical claims, and U.S. Census data to perform a national study of health provider accessibility. The National Plan and Provider Enumeration System was used along with Medicare claims to identify providers actively caring for patients in 2014 including: primary care physicians (i.e., internal medicine and family medicine), specialists, nurse practitioners, and chiropractors. For each U.S. ZIP code tabulation area, we estimated provider accessibility using the Variable-distance Enhanced 2 step Floating Catchment Area method and performed a Getis-Ord Gi* analysis for each provider group. Generalized linear models were used to examine associations between population characteristics and provider accessibility.\n\nResults\nNational spatial patterns of the provider groups differed considerably. Accessibility of internal medicine most resembled specialists with high accessibility in urban locales, whereas relative higher accessibility of family medicine physicians was concentrated in the upper Midwest. In our adjusted analyses independent factors associated with higher accessibility were very similar between internal medicine physicians and specialists–presence of a medical school in the county was associated with approximately 70% higher accessibility and higher accessibility was associated with urban locales. Nurse practitioners were similar to family medicine physicians with both having higher accessibility in rural locales.\n\nConclusions\nThe Variable-distance Enhanced 2 step Floating Catchment Area method is a viable approach to measure spatial accessibility at the national scale.","container-title":"PLoS ONE","DOI":"10.1371/journal.pone.0215016","ISSN":"1932-6203","issue":"4","journalAbbreviation":"PLoS One","note":"PMID: 30964933\nPMCID: PMC6456202","page":"e0215016","source":"PubMed Central","title":"Geographic variation in spatial accessibility of U.S. healthcare providers","volume":"14","author":[{"family":"Naylor","given":"Keith B."},{"family":"Tootoo","given":"Joshua"},{"family":"Yakusheva","given":"Olga"},{"family":"Shipman","given":"Scott A."},{"family":"Bynum","given":"Julie P. W."},{"family":"Davis","given":"Matthew A."}],"issued":{"date-parts":[["2019",4,9]]}}}],"schema":"https://github.com/citation-style-language/schema/raw/master/csl-citation.json"} </w:instrText>
      </w:r>
      <w:r>
        <w:rPr>
          <w:rFonts w:ascii="Times New Roman" w:hAnsi="Times New Roman"/>
          <w:sz w:val="20"/>
          <w:szCs w:val="20"/>
        </w:rPr>
        <w:fldChar w:fldCharType="separate"/>
      </w:r>
      <w:r w:rsidRPr="00392132">
        <w:rPr>
          <w:rFonts w:ascii="Times New Roman" w:hAnsi="Times New Roman"/>
          <w:sz w:val="20"/>
          <w:vertAlign w:val="superscript"/>
        </w:rPr>
        <w:t>2,3,6–8</w:t>
      </w:r>
      <w:r>
        <w:rPr>
          <w:rFonts w:ascii="Times New Roman" w:hAnsi="Times New Roman"/>
          <w:sz w:val="20"/>
          <w:szCs w:val="20"/>
        </w:rPr>
        <w:fldChar w:fldCharType="end"/>
      </w:r>
      <w:r w:rsidRPr="009C0D07">
        <w:rPr>
          <w:rFonts w:ascii="Times New Roman" w:hAnsi="Times New Roman"/>
          <w:sz w:val="20"/>
          <w:szCs w:val="20"/>
        </w:rPr>
        <w:t xml:space="preserve"> Given </w:t>
      </w:r>
      <w:r w:rsidRPr="009C0D07">
        <w:rPr>
          <w:rFonts w:ascii="Times New Roman" w:hAnsi="Times New Roman"/>
          <w:i/>
          <w:sz w:val="20"/>
          <w:szCs w:val="20"/>
        </w:rPr>
        <w:t>m</w:t>
      </w:r>
      <w:r w:rsidRPr="009C0D07">
        <w:rPr>
          <w:rFonts w:ascii="Times New Roman" w:hAnsi="Times New Roman"/>
          <w:sz w:val="20"/>
          <w:szCs w:val="20"/>
        </w:rPr>
        <w:t xml:space="preserve"> population sites (e.g., CBG centroids) and </w:t>
      </w:r>
      <w:r w:rsidRPr="009C0D07">
        <w:rPr>
          <w:rFonts w:ascii="Times New Roman" w:hAnsi="Times New Roman"/>
          <w:i/>
          <w:sz w:val="20"/>
          <w:szCs w:val="20"/>
        </w:rPr>
        <w:t>n</w:t>
      </w:r>
      <w:r w:rsidRPr="009C0D07">
        <w:rPr>
          <w:rFonts w:ascii="Times New Roman" w:hAnsi="Times New Roman"/>
          <w:sz w:val="20"/>
          <w:szCs w:val="20"/>
        </w:rPr>
        <w:t xml:space="preserve"> medical sites (e.g., hospitals) in a study area, E2SFCA works in two steps. The first step calculates the supply-demand ratio of each medical site, </w:t>
      </w:r>
      <w:r w:rsidRPr="009C0D07">
        <w:rPr>
          <w:rFonts w:ascii="Times New Roman" w:hAnsi="Times New Roman"/>
          <w:i/>
          <w:sz w:val="20"/>
          <w:szCs w:val="20"/>
        </w:rPr>
        <w:t>j</w:t>
      </w:r>
      <w:r w:rsidRPr="009C0D07">
        <w:rPr>
          <w:rFonts w:ascii="Times New Roman" w:hAnsi="Times New Roman"/>
          <w:sz w:val="20"/>
          <w:szCs w:val="20"/>
        </w:rPr>
        <w:t xml:space="preserve">. Specifically, it generates a 60-minute driving zone (also called a catchment area) around </w:t>
      </w:r>
      <w:r w:rsidRPr="009C0D07">
        <w:rPr>
          <w:rFonts w:ascii="Times New Roman" w:hAnsi="Times New Roman"/>
          <w:i/>
          <w:sz w:val="20"/>
          <w:szCs w:val="20"/>
        </w:rPr>
        <w:t>j</w:t>
      </w:r>
      <w:r w:rsidRPr="009C0D07">
        <w:rPr>
          <w:rFonts w:ascii="Times New Roman" w:hAnsi="Times New Roman"/>
          <w:sz w:val="20"/>
          <w:szCs w:val="20"/>
        </w:rPr>
        <w:t xml:space="preserve">, divides the catchment into four contiguous zones based on predefined driving time intervals (e.g., 0-10 min, 10-20 min, 20-30 min, 30-60), searches all population sites within each zone, and calculates the supply-demand ratio for </w:t>
      </w:r>
      <w:r w:rsidRPr="009C0D07">
        <w:rPr>
          <w:rFonts w:ascii="Times New Roman" w:hAnsi="Times New Roman"/>
          <w:i/>
          <w:sz w:val="20"/>
          <w:szCs w:val="20"/>
        </w:rPr>
        <w:t>j</w:t>
      </w:r>
      <w:r w:rsidRPr="009C0D07">
        <w:rPr>
          <w:rFonts w:ascii="Times New Roman" w:hAnsi="Times New Roman"/>
          <w:sz w:val="20"/>
          <w:szCs w:val="20"/>
        </w:rPr>
        <w:t xml:space="preserve"> by</w:t>
      </w:r>
    </w:p>
    <w:p w14:paraId="1F440F9A" w14:textId="77777777" w:rsidR="00A64C45" w:rsidRPr="009C0D07" w:rsidRDefault="00A64C45" w:rsidP="00A64C45">
      <w:pPr>
        <w:spacing w:after="0" w:line="240" w:lineRule="auto"/>
        <w:rPr>
          <w:rFonts w:ascii="Times New Roman" w:hAnsi="Times New Roman"/>
          <w:sz w:val="20"/>
          <w:szCs w:val="20"/>
        </w:rPr>
      </w:pPr>
    </w:p>
    <w:p w14:paraId="11175B65" w14:textId="77777777" w:rsidR="00A64C45" w:rsidRPr="009C0D07" w:rsidRDefault="00A64C45" w:rsidP="00A64C45">
      <w:pPr>
        <w:spacing w:after="0" w:line="240" w:lineRule="auto"/>
        <w:rPr>
          <w:rFonts w:ascii="Times New Roman" w:hAnsi="Times New Roman"/>
          <w:sz w:val="20"/>
          <w:szCs w:val="20"/>
        </w:rPr>
      </w:pPr>
      <w:r w:rsidRPr="009C0D07">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j</m:t>
            </m:r>
          </m:sub>
        </m:sSub>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j</m:t>
                </m:r>
              </m:sub>
            </m:sSub>
          </m:num>
          <m:den>
            <m:nary>
              <m:naryPr>
                <m:chr m:val="∑"/>
                <m:limLoc m:val="undOvr"/>
                <m:supHide m:val="1"/>
                <m:ctrlPr>
                  <w:rPr>
                    <w:rFonts w:ascii="Cambria Math" w:hAnsi="Cambria Math"/>
                    <w:i/>
                    <w:sz w:val="20"/>
                    <w:szCs w:val="20"/>
                  </w:rPr>
                </m:ctrlPr>
              </m:naryPr>
              <m:sub>
                <m:r>
                  <w:rPr>
                    <w:rFonts w:ascii="Cambria Math" w:hAnsi="Cambria Math"/>
                    <w:sz w:val="20"/>
                    <w:szCs w:val="20"/>
                  </w:rPr>
                  <m:t>j∈(</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kj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r</m:t>
                    </m:r>
                  </m:sub>
                </m:sSub>
                <m:r>
                  <w:rPr>
                    <w:rFonts w:ascii="Cambria Math" w:hAnsi="Cambria Math"/>
                    <w:sz w:val="20"/>
                    <w:szCs w:val="20"/>
                  </w:rPr>
                  <m:t>)</m:t>
                </m:r>
              </m:sub>
              <m:sup/>
              <m:e>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k</m:t>
                    </m:r>
                  </m:sub>
                </m:sSub>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r</m:t>
                    </m:r>
                  </m:sub>
                </m:sSub>
              </m:e>
            </m:nary>
          </m:den>
        </m:f>
      </m:oMath>
    </w:p>
    <w:p w14:paraId="4819DA01" w14:textId="77777777" w:rsidR="00A64C45" w:rsidRPr="009C0D07" w:rsidRDefault="00A64C45" w:rsidP="00A64C45">
      <w:pPr>
        <w:spacing w:after="0" w:line="240" w:lineRule="auto"/>
        <w:rPr>
          <w:rFonts w:ascii="Times New Roman" w:hAnsi="Times New Roman"/>
          <w:sz w:val="20"/>
          <w:szCs w:val="20"/>
        </w:rPr>
      </w:pPr>
      <m:oMathPara>
        <m:oMathParaPr>
          <m:jc m:val="left"/>
        </m:oMathParaPr>
        <m:oMath>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j</m:t>
                  </m:r>
                </m:sub>
              </m:sSub>
            </m:num>
            <m:den>
              <m:nary>
                <m:naryPr>
                  <m:chr m:val="∑"/>
                  <m:limLoc m:val="undOvr"/>
                  <m:supHide m:val="1"/>
                  <m:ctrlPr>
                    <w:rPr>
                      <w:rFonts w:ascii="Cambria Math" w:hAnsi="Cambria Math"/>
                      <w:i/>
                      <w:sz w:val="20"/>
                      <w:szCs w:val="20"/>
                    </w:rPr>
                  </m:ctrlPr>
                </m:naryPr>
                <m:sub>
                  <m:r>
                    <w:rPr>
                      <w:rFonts w:ascii="Cambria Math" w:hAnsi="Cambria Math"/>
                      <w:sz w:val="20"/>
                      <w:szCs w:val="20"/>
                    </w:rPr>
                    <m:t>j∈(</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kj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1</m:t>
                      </m:r>
                    </m:sub>
                  </m:sSub>
                  <m:r>
                    <w:rPr>
                      <w:rFonts w:ascii="Cambria Math" w:hAnsi="Cambria Math"/>
                      <w:sz w:val="20"/>
                      <w:szCs w:val="20"/>
                    </w:rPr>
                    <m:t>)</m:t>
                  </m:r>
                </m:sub>
                <m:sup/>
                <m:e>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k</m:t>
                      </m:r>
                    </m:sub>
                  </m:sSub>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1</m:t>
                      </m:r>
                    </m:sub>
                  </m:sSub>
                </m:e>
              </m:nary>
              <m:r>
                <w:rPr>
                  <w:rFonts w:ascii="Cambria Math" w:hAnsi="Cambria Math"/>
                  <w:sz w:val="20"/>
                  <w:szCs w:val="20"/>
                </w:rPr>
                <m:t>+</m:t>
              </m:r>
              <m:nary>
                <m:naryPr>
                  <m:chr m:val="∑"/>
                  <m:limLoc m:val="undOvr"/>
                  <m:supHide m:val="1"/>
                  <m:ctrlPr>
                    <w:rPr>
                      <w:rFonts w:ascii="Cambria Math" w:hAnsi="Cambria Math"/>
                      <w:i/>
                      <w:sz w:val="20"/>
                      <w:szCs w:val="20"/>
                    </w:rPr>
                  </m:ctrlPr>
                </m:naryPr>
                <m:sub>
                  <m:r>
                    <w:rPr>
                      <w:rFonts w:ascii="Cambria Math" w:hAnsi="Cambria Math"/>
                      <w:sz w:val="20"/>
                      <w:szCs w:val="20"/>
                    </w:rPr>
                    <m:t>j∈(</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kj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2</m:t>
                      </m:r>
                    </m:sub>
                  </m:sSub>
                  <m:r>
                    <w:rPr>
                      <w:rFonts w:ascii="Cambria Math" w:hAnsi="Cambria Math"/>
                      <w:sz w:val="20"/>
                      <w:szCs w:val="20"/>
                    </w:rPr>
                    <m:t>)</m:t>
                  </m:r>
                </m:sub>
                <m:sup/>
                <m:e>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k</m:t>
                      </m:r>
                    </m:sub>
                  </m:sSub>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2</m:t>
                      </m:r>
                    </m:sub>
                  </m:sSub>
                </m:e>
              </m:nary>
              <m:r>
                <w:rPr>
                  <w:rFonts w:ascii="Cambria Math" w:hAnsi="Cambria Math"/>
                  <w:sz w:val="20"/>
                  <w:szCs w:val="20"/>
                </w:rPr>
                <m:t>+</m:t>
              </m:r>
              <m:nary>
                <m:naryPr>
                  <m:chr m:val="∑"/>
                  <m:limLoc m:val="undOvr"/>
                  <m:supHide m:val="1"/>
                  <m:ctrlPr>
                    <w:rPr>
                      <w:rFonts w:ascii="Cambria Math" w:hAnsi="Cambria Math"/>
                      <w:i/>
                      <w:sz w:val="20"/>
                      <w:szCs w:val="20"/>
                    </w:rPr>
                  </m:ctrlPr>
                </m:naryPr>
                <m:sub>
                  <m:r>
                    <w:rPr>
                      <w:rFonts w:ascii="Cambria Math" w:hAnsi="Cambria Math"/>
                      <w:sz w:val="20"/>
                      <w:szCs w:val="20"/>
                    </w:rPr>
                    <m:t>j∈(</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kj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3</m:t>
                      </m:r>
                    </m:sub>
                  </m:sSub>
                  <m:r>
                    <w:rPr>
                      <w:rFonts w:ascii="Cambria Math" w:hAnsi="Cambria Math"/>
                      <w:sz w:val="20"/>
                      <w:szCs w:val="20"/>
                    </w:rPr>
                    <m:t>)</m:t>
                  </m:r>
                </m:sub>
                <m:sup/>
                <m:e>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k</m:t>
                      </m:r>
                    </m:sub>
                  </m:sSub>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3</m:t>
                      </m:r>
                    </m:sub>
                  </m:sSub>
                  <m:r>
                    <w:rPr>
                      <w:rFonts w:ascii="Cambria Math" w:hAnsi="Cambria Math"/>
                      <w:sz w:val="20"/>
                      <w:szCs w:val="20"/>
                    </w:rPr>
                    <m:t>+</m:t>
                  </m:r>
                  <m:nary>
                    <m:naryPr>
                      <m:chr m:val="∑"/>
                      <m:limLoc m:val="undOvr"/>
                      <m:supHide m:val="1"/>
                      <m:ctrlPr>
                        <w:rPr>
                          <w:rFonts w:ascii="Cambria Math" w:hAnsi="Cambria Math"/>
                          <w:i/>
                          <w:sz w:val="20"/>
                          <w:szCs w:val="20"/>
                        </w:rPr>
                      </m:ctrlPr>
                    </m:naryPr>
                    <m:sub>
                      <m:r>
                        <w:rPr>
                          <w:rFonts w:ascii="Cambria Math" w:hAnsi="Cambria Math"/>
                          <w:sz w:val="20"/>
                          <w:szCs w:val="20"/>
                        </w:rPr>
                        <m:t>j∈(</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kj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4</m:t>
                          </m:r>
                        </m:sub>
                      </m:sSub>
                      <m:r>
                        <w:rPr>
                          <w:rFonts w:ascii="Cambria Math" w:hAnsi="Cambria Math"/>
                          <w:sz w:val="20"/>
                          <w:szCs w:val="20"/>
                        </w:rPr>
                        <m:t>)</m:t>
                      </m:r>
                    </m:sub>
                    <m:sup/>
                    <m:e>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k</m:t>
                          </m:r>
                        </m:sub>
                      </m:sSub>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4</m:t>
                          </m:r>
                        </m:sub>
                      </m:sSub>
                    </m:e>
                  </m:nary>
                </m:e>
              </m:nary>
            </m:den>
          </m:f>
        </m:oMath>
      </m:oMathPara>
    </w:p>
    <w:p w14:paraId="22CD2791" w14:textId="77777777" w:rsidR="00A64C45" w:rsidRPr="009C0D07" w:rsidRDefault="00A64C45" w:rsidP="00A64C45">
      <w:pPr>
        <w:spacing w:after="0" w:line="240" w:lineRule="auto"/>
        <w:jc w:val="both"/>
        <w:rPr>
          <w:rFonts w:ascii="Times New Roman" w:hAnsi="Times New Roman"/>
          <w:sz w:val="20"/>
          <w:szCs w:val="20"/>
        </w:rPr>
      </w:pPr>
    </w:p>
    <w:p w14:paraId="337398EE" w14:textId="77777777" w:rsidR="00A64C45" w:rsidRPr="009C0D07" w:rsidRDefault="00A64C45" w:rsidP="00A64C45">
      <w:pPr>
        <w:spacing w:after="0" w:line="240" w:lineRule="auto"/>
        <w:rPr>
          <w:rFonts w:ascii="Times New Roman" w:hAnsi="Times New Roman"/>
          <w:sz w:val="20"/>
          <w:szCs w:val="20"/>
        </w:rPr>
      </w:pPr>
    </w:p>
    <w:p w14:paraId="74BE9F3A" w14:textId="77777777" w:rsidR="00A64C45" w:rsidRPr="009C0D07" w:rsidRDefault="00A64C45" w:rsidP="00A64C45">
      <w:pPr>
        <w:spacing w:after="0" w:line="240" w:lineRule="auto"/>
        <w:rPr>
          <w:rFonts w:ascii="Times New Roman" w:hAnsi="Times New Roman"/>
          <w:sz w:val="20"/>
          <w:szCs w:val="20"/>
        </w:rPr>
      </w:pPr>
      <w:r w:rsidRPr="009C0D07">
        <w:rPr>
          <w:rFonts w:ascii="Times New Roman" w:hAnsi="Times New Roman"/>
          <w:sz w:val="20"/>
          <w:szCs w:val="20"/>
        </w:rPr>
        <w:t xml:space="preserve">where </w:t>
      </w:r>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j</m:t>
            </m:r>
          </m:sub>
        </m:sSub>
      </m:oMath>
      <w:r w:rsidRPr="009C0D07">
        <w:rPr>
          <w:rFonts w:ascii="Times New Roman" w:hAnsi="Times New Roman"/>
          <w:sz w:val="20"/>
          <w:szCs w:val="20"/>
        </w:rPr>
        <w:t xml:space="preserve"> is the medical capacity (estimated by number of inpatient beds) of medical site </w:t>
      </w:r>
      <w:r w:rsidRPr="009C0D07">
        <w:rPr>
          <w:rFonts w:ascii="Times New Roman" w:hAnsi="Times New Roman"/>
          <w:i/>
          <w:sz w:val="20"/>
          <w:szCs w:val="20"/>
        </w:rPr>
        <w:t>j</w:t>
      </w:r>
      <w:r w:rsidRPr="009C0D07">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P</m:t>
            </m:r>
          </m:e>
          <m:sub>
            <m:r>
              <w:rPr>
                <w:rFonts w:ascii="Cambria Math" w:hAnsi="Cambria Math"/>
                <w:sz w:val="20"/>
                <w:szCs w:val="20"/>
              </w:rPr>
              <m:t>k</m:t>
            </m:r>
          </m:sub>
        </m:sSub>
      </m:oMath>
      <w:r w:rsidRPr="009C0D07">
        <w:rPr>
          <w:rFonts w:ascii="Times New Roman" w:hAnsi="Times New Roman"/>
          <w:sz w:val="20"/>
          <w:szCs w:val="20"/>
        </w:rPr>
        <w:t xml:space="preserve"> is the population size of the </w:t>
      </w:r>
      <w:r w:rsidRPr="009C0D07">
        <w:rPr>
          <w:rFonts w:ascii="Times New Roman" w:hAnsi="Times New Roman"/>
          <w:i/>
          <w:sz w:val="20"/>
          <w:szCs w:val="20"/>
        </w:rPr>
        <w:t>k</w:t>
      </w:r>
      <w:r w:rsidRPr="009C0D07">
        <w:rPr>
          <w:rFonts w:ascii="Times New Roman" w:hAnsi="Times New Roman"/>
          <w:sz w:val="20"/>
          <w:szCs w:val="20"/>
        </w:rPr>
        <w:t xml:space="preserve">th population site within the catchment, </w:t>
      </w:r>
      <m:oMath>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kj</m:t>
            </m:r>
          </m:sub>
        </m:sSub>
      </m:oMath>
      <w:r w:rsidRPr="009C0D07">
        <w:rPr>
          <w:rFonts w:ascii="Times New Roman" w:hAnsi="Times New Roman"/>
          <w:sz w:val="20"/>
          <w:szCs w:val="20"/>
        </w:rPr>
        <w:t xml:space="preserve"> is the travel cost between </w:t>
      </w:r>
      <w:r w:rsidRPr="009C0D07">
        <w:rPr>
          <w:rFonts w:ascii="Times New Roman" w:hAnsi="Times New Roman"/>
          <w:i/>
          <w:sz w:val="20"/>
          <w:szCs w:val="20"/>
        </w:rPr>
        <w:t>j</w:t>
      </w:r>
      <w:r w:rsidRPr="009C0D07">
        <w:rPr>
          <w:rFonts w:ascii="Times New Roman" w:hAnsi="Times New Roman"/>
          <w:sz w:val="20"/>
          <w:szCs w:val="20"/>
        </w:rPr>
        <w:t xml:space="preserve"> and </w:t>
      </w:r>
      <w:r w:rsidRPr="009C0D07">
        <w:rPr>
          <w:rFonts w:ascii="Times New Roman" w:hAnsi="Times New Roman"/>
          <w:i/>
          <w:sz w:val="20"/>
          <w:szCs w:val="20"/>
        </w:rPr>
        <w:t>k</w:t>
      </w:r>
      <w:r w:rsidRPr="009C0D07">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r</m:t>
            </m:r>
          </m:sub>
        </m:sSub>
      </m:oMath>
      <w:r w:rsidRPr="009C0D07">
        <w:rPr>
          <w:rFonts w:ascii="Times New Roman" w:hAnsi="Times New Roman"/>
          <w:sz w:val="20"/>
          <w:szCs w:val="20"/>
        </w:rPr>
        <w:t xml:space="preserve"> is the </w:t>
      </w:r>
      <w:proofErr w:type="spellStart"/>
      <w:r w:rsidRPr="009C0D07">
        <w:rPr>
          <w:rFonts w:ascii="Times New Roman" w:hAnsi="Times New Roman"/>
          <w:i/>
          <w:sz w:val="20"/>
          <w:szCs w:val="20"/>
        </w:rPr>
        <w:t>r</w:t>
      </w:r>
      <w:r w:rsidRPr="009C0D07">
        <w:rPr>
          <w:rFonts w:ascii="Times New Roman" w:hAnsi="Times New Roman"/>
          <w:sz w:val="20"/>
          <w:szCs w:val="20"/>
        </w:rPr>
        <w:t>th</w:t>
      </w:r>
      <w:proofErr w:type="spellEnd"/>
      <w:r w:rsidRPr="009C0D07">
        <w:rPr>
          <w:rFonts w:ascii="Times New Roman" w:hAnsi="Times New Roman"/>
          <w:sz w:val="20"/>
          <w:szCs w:val="20"/>
        </w:rPr>
        <w:t xml:space="preserve"> sub-zone, and </w:t>
      </w:r>
      <m:oMath>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r</m:t>
            </m:r>
          </m:sub>
        </m:sSub>
      </m:oMath>
      <w:r w:rsidRPr="009C0D07">
        <w:rPr>
          <w:rFonts w:ascii="Times New Roman" w:hAnsi="Times New Roman"/>
          <w:sz w:val="20"/>
          <w:szCs w:val="20"/>
        </w:rPr>
        <w:t xml:space="preserve"> is a distance-based weight for </w:t>
      </w:r>
      <m:oMath>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r</m:t>
            </m:r>
          </m:sub>
        </m:sSub>
      </m:oMath>
      <w:r w:rsidRPr="009C0D07">
        <w:rPr>
          <w:rFonts w:ascii="Times New Roman" w:hAnsi="Times New Roman"/>
          <w:sz w:val="20"/>
          <w:szCs w:val="20"/>
        </w:rPr>
        <w:t>. Following previous studies</w:t>
      </w:r>
      <w:r>
        <w:rPr>
          <w:rFonts w:ascii="Times New Roman" w:hAnsi="Times New Roman"/>
          <w:sz w:val="20"/>
          <w:szCs w:val="20"/>
        </w:rPr>
        <w:fldChar w:fldCharType="begin"/>
      </w:r>
      <w:r>
        <w:rPr>
          <w:rFonts w:ascii="Times New Roman" w:hAnsi="Times New Roman"/>
          <w:sz w:val="20"/>
          <w:szCs w:val="20"/>
        </w:rPr>
        <w:instrText xml:space="preserve"> ADDIN ZOTERO_ITEM CSL_CITATION {"citationID":"4gujTnq0","properties":{"formattedCitation":"\\super 1,3,4\\nosupersub{}","plainCitation":"1,3,4","noteIndex":0},"citationItems":[{"id":3,"uris":["http://zotero.org/users/9503623/items/F8JABPZJ"],"itemData":{"id":3,"type":"article-journal","abstract":"Gravity-based spatial access models have been widely used to estimate spatial access to healthcare services in an attempt to capture the interaction of various factors. However, these models are inadequate in informing health resource allocation work due to their inappropriate assumption of healthcare demand. For the purpose of effective healthcare resource planning, this article proposes a three-step floating catchment area (3SFCA) method to minimize the healthcare-demand overestimation problem. Specifically, a spatial impedance-based competition scheme is incorporated into the enhanced two-step floating catchment area (E2SFCA) method to account for a reasonable model of healthcare supply and demand. A case study of spatial access to primary care physicians along the Austin–San Antonio corridor area in central Texas showed that the proposed method effectively minimizes the overestimation of healthcare demand and reflects a more balanced geographic pattern of spatial access than E2SFCA. In addition, by using an adjusted spatial access index, the 3SFCA method indicates strong potential for identifying health professional shortage areas. The study concludes that 3SFCA is a promising method to provide health professionals and decision makers with useful healthcare accessibility information.","container-title":"International Journal of Geographical Information Science","DOI":"10.1080/13658816.2011.624987","ISSN":"1365-8816","issue":"6","note":"publisher: Taylor &amp; Francis\n_eprint: https://doi.org/10.1080/13658816.2011.624987","page":"1073-1089","source":"Taylor and Francis+NEJM","title":"A three-step floating catchment area method for analyzing spatial access to health services","volume":"26","author":[{"family":"Wan","given":"Neng"},{"family":"Zou","given":"Bin"},{"family":"Sternberg","given":"Troy"}],"issued":{"date-parts":[["2012",6,1]]}}},{"id":16,"uris":["http://zotero.org/users/9503623/items/GZDANNWM"],"itemData":{"id":16,"type":"article-journal","abstract":"This paper presents an enhancement of the two-step floating catchment area (2SFCA) method for measuring spatial accessibility, addressing the problem of uniform access within the catchment by applying weights to different travel time zones to account for distance decay. The enhancement is proved to be another special case of the gravity model. When applying this enhanced 2SFCA (E2SFCA) to measure the spatial access to primary care physicians in a study area in northern Illinois, we find that it reveals spatial accessibility pattern that is more consistent with intuition and delineates more spatially explicit health professional shortage areas. It is easy to implement in GIS and straightforward to interpret.","container-title":"Health &amp; Place","DOI":"10.1016/j.healthplace.2009.06.002","ISSN":"1353-8292","issue":"4","journalAbbreviation":"Health Place","language":"eng","note":"PMID: 19576837","page":"1100-1107","source":"PubMed","title":"An enhanced two-step floating catchment area (E2SFCA) method for measuring spatial accessibility to primary care physicians","volume":"15","author":[{"family":"Luo","given":"Wei"},{"family":"Qi","given":"Yi"}],"issued":{"date-parts":[["2009",12]]}}},{"id":24,"uris":["http://zotero.org/users/9503623/items/KFIQTAYW"],"itemData":{"id":24,"type":"article-journal","abstract":"The usefulness of gravity-based spatial access models is limited because of the uncertainty introduced by the range of values of the impedance coefficient. To solve this problem, this paper proposes the concept of spatial access ratio (SPAR) derived from the enhanced 2-step floating catchment area (E2SFCA) method — a recent extension of the gravity model — to assess potential spatial access. First, a sensitivity assessment is conducted to verify the effectiveness of SPAR and its advantages in overcoming the uncertainty problem. Then, the E2SFCA method and the shortest travel time method are employed to measure potential spatial access to colorectal cancer (CRC) prevention and treatment services in Texas based on data at the census tract level. The socio-demographic and geographic distributions of potential spatial access to CRC services are also examined. The sensitivity assessment reveals substantial fluctuations in the values of the spatial access index calculated directly by the E2SFCA method under different values of the impedance coefficient. However, the values of SPAR remain stable under different values of the coefficient. A comparative analysis indicates that potential spatial access to primary care physicians (PCPs), CRC screening facilities, and oncologists varied among different racial/ethnic and socioeconomic population groups as well as in different geographic regions in Texas. Non-Hispanic blacks, Asians, and people in affluent areas had a geographical advantage in accessing CRC services than other groups. The urban/rural difference was more obvious and serious than those of different racial/ethnic groups and groups with different socio-economic statuses, as metropolitan residents had more than three times the potential spatial access than isolated rural residents.","container-title":"Applied Geography","DOI":"10.1016/j.apgeog.2011.05.001","ISSN":"0143-6228","issue":"2","journalAbbreviation":"Applied Geography","language":"en","page":"291-299","source":"ScienceDirect","title":"A relative spatial access assessment approach for analyzing potential spatial access to colorectal cancer services in Texas","volume":"32","author":[{"family":"Wan","given":"Neng"},{"family":"Zhan","given":"F. Benjamin"},{"family":"Zou","given":"Bin"},{"family":"Chow","given":"Edwin"}],"issued":{"date-parts":[["2012",3,1]]}}}],"schema":"https://github.com/citation-style-language/schema/raw/master/csl-citation.json"} </w:instrText>
      </w:r>
      <w:r>
        <w:rPr>
          <w:rFonts w:ascii="Times New Roman" w:hAnsi="Times New Roman"/>
          <w:sz w:val="20"/>
          <w:szCs w:val="20"/>
        </w:rPr>
        <w:fldChar w:fldCharType="separate"/>
      </w:r>
      <w:r w:rsidRPr="00392132">
        <w:rPr>
          <w:rFonts w:ascii="Times New Roman" w:hAnsi="Times New Roman"/>
          <w:sz w:val="20"/>
          <w:vertAlign w:val="superscript"/>
        </w:rPr>
        <w:t>1,3,4</w:t>
      </w:r>
      <w:r>
        <w:rPr>
          <w:rFonts w:ascii="Times New Roman" w:hAnsi="Times New Roman"/>
          <w:sz w:val="20"/>
          <w:szCs w:val="20"/>
        </w:rPr>
        <w:fldChar w:fldCharType="end"/>
      </w:r>
      <w:r w:rsidRPr="009C0D07">
        <w:rPr>
          <w:rFonts w:ascii="Times New Roman" w:hAnsi="Times New Roman"/>
          <w:sz w:val="20"/>
          <w:szCs w:val="20"/>
        </w:rPr>
        <w:t xml:space="preserve">, we used the Gaussian function (i.e.,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d</m:t>
            </m:r>
          </m:e>
        </m:d>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e</m:t>
            </m:r>
          </m:e>
          <m:sup>
            <m:f>
              <m:fPr>
                <m:type m:val="lin"/>
                <m:ctrlPr>
                  <w:rPr>
                    <w:rFonts w:ascii="Cambria Math" w:hAnsi="Cambria Math"/>
                    <w:i/>
                    <w:sz w:val="20"/>
                    <w:szCs w:val="20"/>
                  </w:rPr>
                </m:ctrlPr>
              </m:fPr>
              <m:num>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d</m:t>
                    </m:r>
                  </m:e>
                  <m:sup>
                    <m:r>
                      <w:rPr>
                        <w:rFonts w:ascii="Cambria Math" w:hAnsi="Cambria Math"/>
                        <w:sz w:val="20"/>
                        <w:szCs w:val="20"/>
                      </w:rPr>
                      <m:t>2</m:t>
                    </m:r>
                  </m:sup>
                </m:sSup>
              </m:num>
              <m:den>
                <m:r>
                  <w:rPr>
                    <w:rFonts w:ascii="Cambria Math" w:hAnsi="Cambria Math"/>
                    <w:sz w:val="20"/>
                    <w:szCs w:val="20"/>
                  </w:rPr>
                  <m:t>β</m:t>
                </m:r>
              </m:den>
            </m:f>
          </m:sup>
        </m:sSup>
      </m:oMath>
      <w:r w:rsidRPr="009C0D07">
        <w:rPr>
          <w:rFonts w:ascii="Times New Roman" w:hAnsi="Times New Roman"/>
          <w:sz w:val="20"/>
          <w:szCs w:val="20"/>
        </w:rPr>
        <w:t xml:space="preserve"> where d represents a distance and </w:t>
      </w:r>
      <m:oMath>
        <m:r>
          <w:rPr>
            <w:rFonts w:ascii="Cambria Math" w:hAnsi="Cambria Math"/>
            <w:sz w:val="20"/>
            <w:szCs w:val="20"/>
          </w:rPr>
          <m:t>β</m:t>
        </m:r>
      </m:oMath>
      <w:r w:rsidRPr="009C0D07">
        <w:rPr>
          <w:rFonts w:ascii="Times New Roman" w:hAnsi="Times New Roman"/>
          <w:sz w:val="20"/>
          <w:szCs w:val="20"/>
        </w:rPr>
        <w:t xml:space="preserve"> represents an impedance parameter) to calculate </w:t>
      </w:r>
      <m:oMath>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r</m:t>
            </m:r>
          </m:sub>
        </m:sSub>
      </m:oMath>
      <w:r w:rsidRPr="009C0D07">
        <w:rPr>
          <w:rFonts w:ascii="Times New Roman" w:hAnsi="Times New Roman"/>
          <w:sz w:val="20"/>
          <w:szCs w:val="20"/>
        </w:rPr>
        <w:t xml:space="preserve">. More details on the Gaussian function and the calculation of  </w:t>
      </w:r>
      <m:oMath>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r</m:t>
            </m:r>
          </m:sub>
        </m:sSub>
      </m:oMath>
      <w:r w:rsidRPr="009C0D07">
        <w:rPr>
          <w:rFonts w:ascii="Times New Roman" w:hAnsi="Times New Roman"/>
          <w:sz w:val="20"/>
          <w:szCs w:val="20"/>
        </w:rPr>
        <w:t xml:space="preserve"> can be found in Wan et al. 201</w:t>
      </w:r>
      <w:r>
        <w:rPr>
          <w:rFonts w:ascii="Times New Roman" w:hAnsi="Times New Roman"/>
          <w:sz w:val="20"/>
          <w:szCs w:val="20"/>
        </w:rPr>
        <w:t>2</w:t>
      </w:r>
      <w:r>
        <w:rPr>
          <w:rFonts w:ascii="Times New Roman" w:hAnsi="Times New Roman"/>
          <w:sz w:val="20"/>
          <w:szCs w:val="20"/>
        </w:rPr>
        <w:fldChar w:fldCharType="begin"/>
      </w:r>
      <w:r>
        <w:rPr>
          <w:rFonts w:ascii="Times New Roman" w:hAnsi="Times New Roman"/>
          <w:sz w:val="20"/>
          <w:szCs w:val="20"/>
        </w:rPr>
        <w:instrText xml:space="preserve"> ADDIN ZOTERO_ITEM CSL_CITATION {"citationID":"qIZFidqI","properties":{"formattedCitation":"\\super 4\\nosupersub{}","plainCitation":"4","noteIndex":0},"citationItems":[{"id":24,"uris":["http://zotero.org/users/9503623/items/KFIQTAYW"],"itemData":{"id":24,"type":"article-journal","abstract":"The usefulness of gravity-based spatial access models is limited because of the uncertainty introduced by the range of values of the impedance coefficient. To solve this problem, this paper proposes the concept of spatial access ratio (SPAR) derived from the enhanced 2-step floating catchment area (E2SFCA) method — a recent extension of the gravity model — to assess potential spatial access. First, a sensitivity assessment is conducted to verify the effectiveness of SPAR and its advantages in overcoming the uncertainty problem. Then, the E2SFCA method and the shortest travel time method are employed to measure potential spatial access to colorectal cancer (CRC) prevention and treatment services in Texas based on data at the census tract level. The socio-demographic and geographic distributions of potential spatial access to CRC services are also examined. The sensitivity assessment reveals substantial fluctuations in the values of the spatial access index calculated directly by the E2SFCA method under different values of the impedance coefficient. However, the values of SPAR remain stable under different values of the coefficient. A comparative analysis indicates that potential spatial access to primary care physicians (PCPs), CRC screening facilities, and oncologists varied among different racial/ethnic and socioeconomic population groups as well as in different geographic regions in Texas. Non-Hispanic blacks, Asians, and people in affluent areas had a geographical advantage in accessing CRC services than other groups. The urban/rural difference was more obvious and serious than those of different racial/ethnic groups and groups with different socio-economic statuses, as metropolitan residents had more than three times the potential spatial access than isolated rural residents.","container-title":"Applied Geography","DOI":"10.1016/j.apgeog.2011.05.001","ISSN":"0143-6228","issue":"2","journalAbbreviation":"Applied Geography","language":"en","page":"291-299","source":"ScienceDirect","title":"A relative spatial access assessment approach for analyzing potential spatial access to colorectal cancer services in Texas","volume":"32","author":[{"family":"Wan","given":"Neng"},{"family":"Zhan","given":"F. Benjamin"},{"family":"Zou","given":"Bin"},{"family":"Chow","given":"Edwin"}],"issued":{"date-parts":[["2012",3,1]]}}}],"schema":"https://github.com/citation-style-language/schema/raw/master/csl-citation.json"} </w:instrText>
      </w:r>
      <w:r>
        <w:rPr>
          <w:rFonts w:ascii="Times New Roman" w:hAnsi="Times New Roman"/>
          <w:sz w:val="20"/>
          <w:szCs w:val="20"/>
        </w:rPr>
        <w:fldChar w:fldCharType="separate"/>
      </w:r>
      <w:r w:rsidRPr="00392132">
        <w:rPr>
          <w:rFonts w:ascii="Times New Roman" w:hAnsi="Times New Roman"/>
          <w:sz w:val="20"/>
          <w:vertAlign w:val="superscript"/>
        </w:rPr>
        <w:t>4</w:t>
      </w:r>
      <w:r>
        <w:rPr>
          <w:rFonts w:ascii="Times New Roman" w:hAnsi="Times New Roman"/>
          <w:sz w:val="20"/>
          <w:szCs w:val="20"/>
        </w:rPr>
        <w:fldChar w:fldCharType="end"/>
      </w:r>
      <w:r w:rsidRPr="009C0D07">
        <w:rPr>
          <w:rFonts w:ascii="Times New Roman" w:hAnsi="Times New Roman"/>
          <w:sz w:val="20"/>
          <w:szCs w:val="20"/>
        </w:rPr>
        <w:t xml:space="preserve">. </w:t>
      </w:r>
    </w:p>
    <w:p w14:paraId="4FEF59D3" w14:textId="77777777" w:rsidR="00A64C45" w:rsidRPr="009C0D07" w:rsidRDefault="00A64C45" w:rsidP="00A64C45">
      <w:pPr>
        <w:spacing w:after="0" w:line="240" w:lineRule="auto"/>
        <w:rPr>
          <w:rFonts w:ascii="Times New Roman" w:hAnsi="Times New Roman"/>
          <w:sz w:val="20"/>
          <w:szCs w:val="20"/>
        </w:rPr>
      </w:pPr>
    </w:p>
    <w:p w14:paraId="2C55C0E8" w14:textId="77777777" w:rsidR="00A64C45" w:rsidRPr="009C0D07" w:rsidRDefault="00A64C45" w:rsidP="00A64C45">
      <w:pPr>
        <w:spacing w:after="0" w:line="240" w:lineRule="auto"/>
        <w:rPr>
          <w:rFonts w:ascii="Times New Roman" w:hAnsi="Times New Roman"/>
          <w:sz w:val="20"/>
          <w:szCs w:val="20"/>
        </w:rPr>
      </w:pPr>
      <w:r w:rsidRPr="009C0D07">
        <w:rPr>
          <w:rFonts w:ascii="Times New Roman" w:hAnsi="Times New Roman"/>
          <w:sz w:val="20"/>
          <w:szCs w:val="20"/>
        </w:rPr>
        <w:t xml:space="preserve">The second step of E2SFCA is to calculate a Spatial Access Index (SPAI) for each population site </w:t>
      </w:r>
      <w:proofErr w:type="spellStart"/>
      <w:r w:rsidRPr="009C0D07">
        <w:rPr>
          <w:rFonts w:ascii="Times New Roman" w:hAnsi="Times New Roman"/>
          <w:i/>
          <w:sz w:val="20"/>
          <w:szCs w:val="20"/>
        </w:rPr>
        <w:t>i</w:t>
      </w:r>
      <w:proofErr w:type="spellEnd"/>
      <w:r w:rsidRPr="009C0D07">
        <w:rPr>
          <w:rFonts w:ascii="Times New Roman" w:hAnsi="Times New Roman"/>
          <w:sz w:val="20"/>
          <w:szCs w:val="20"/>
        </w:rPr>
        <w:t xml:space="preserve">. Specifically, a 60-min catchment and four driving zones (i.e., 0-10 min, 10-20 min, 20-30 min, 30-60 min) are generated for </w:t>
      </w:r>
      <w:proofErr w:type="spellStart"/>
      <w:r w:rsidRPr="009C0D07">
        <w:rPr>
          <w:rFonts w:ascii="Times New Roman" w:hAnsi="Times New Roman"/>
          <w:i/>
          <w:sz w:val="20"/>
          <w:szCs w:val="20"/>
        </w:rPr>
        <w:t>i</w:t>
      </w:r>
      <w:proofErr w:type="spellEnd"/>
      <w:r w:rsidRPr="009C0D07">
        <w:rPr>
          <w:rFonts w:ascii="Times New Roman" w:hAnsi="Times New Roman"/>
          <w:i/>
          <w:sz w:val="20"/>
          <w:szCs w:val="20"/>
        </w:rPr>
        <w:t xml:space="preserve">, </w:t>
      </w:r>
      <w:r w:rsidRPr="009C0D07">
        <w:rPr>
          <w:rFonts w:ascii="Times New Roman" w:hAnsi="Times New Roman"/>
          <w:sz w:val="20"/>
          <w:szCs w:val="20"/>
        </w:rPr>
        <w:t>following the same procedures in the first step. Then it summarizes the supply-demand ratios of all medical sites within the catchment using the following formula:</w:t>
      </w:r>
    </w:p>
    <w:p w14:paraId="70D6422B" w14:textId="77777777" w:rsidR="00A64C45" w:rsidRPr="009C0D07" w:rsidRDefault="00A64C45" w:rsidP="00A64C45">
      <w:pPr>
        <w:spacing w:after="0" w:line="240" w:lineRule="auto"/>
        <w:rPr>
          <w:rFonts w:ascii="Times New Roman" w:hAnsi="Times New Roman"/>
          <w:sz w:val="20"/>
          <w:szCs w:val="20"/>
        </w:rPr>
      </w:pPr>
    </w:p>
    <w:p w14:paraId="66B56D2C" w14:textId="77777777" w:rsidR="00A64C45" w:rsidRPr="009C0D07" w:rsidRDefault="00A64C45" w:rsidP="00A64C45">
      <w:pPr>
        <w:spacing w:after="0" w:line="240" w:lineRule="auto"/>
        <w:rPr>
          <w:rFonts w:ascii="Times New Roman" w:hAnsi="Times New Roman"/>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i</m:t>
              </m:r>
            </m:sub>
          </m:sSub>
          <m:r>
            <w:rPr>
              <w:rFonts w:ascii="Cambria Math" w:hAnsi="Cambria Math"/>
              <w:sz w:val="20"/>
              <w:szCs w:val="20"/>
            </w:rPr>
            <m:t>=</m:t>
          </m:r>
          <m:nary>
            <m:naryPr>
              <m:chr m:val="∑"/>
              <m:limLoc m:val="undOvr"/>
              <m:supHide m:val="1"/>
              <m:ctrlPr>
                <w:rPr>
                  <w:rFonts w:ascii="Cambria Math" w:hAnsi="Cambria Math"/>
                  <w:i/>
                  <w:sz w:val="20"/>
                  <w:szCs w:val="20"/>
                </w:rPr>
              </m:ctrlPr>
            </m:naryPr>
            <m:sub>
              <m:r>
                <w:rPr>
                  <w:rFonts w:ascii="Cambria Math" w:hAnsi="Cambria Math"/>
                  <w:sz w:val="20"/>
                  <w:szCs w:val="20"/>
                </w:rPr>
                <m:t>k∈(</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ik</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r</m:t>
                  </m:r>
                </m:sub>
              </m:sSub>
              <m:r>
                <w:rPr>
                  <w:rFonts w:ascii="Cambria Math" w:hAnsi="Cambria Math"/>
                  <w:sz w:val="20"/>
                  <w:szCs w:val="20"/>
                </w:rPr>
                <m:t>)</m:t>
              </m:r>
            </m:sub>
            <m:sup/>
            <m:e>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k</m:t>
                  </m:r>
                </m:sub>
              </m:sSub>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r</m:t>
                  </m:r>
                </m:sub>
              </m:sSub>
            </m:e>
          </m:nary>
        </m:oMath>
      </m:oMathPara>
    </w:p>
    <w:p w14:paraId="592A0D12" w14:textId="77777777" w:rsidR="00A64C45" w:rsidRPr="009C0D07" w:rsidRDefault="00A64C45" w:rsidP="00A64C45">
      <w:pPr>
        <w:spacing w:after="0" w:line="240" w:lineRule="auto"/>
        <w:rPr>
          <w:rFonts w:ascii="Times New Roman" w:hAnsi="Times New Roman"/>
          <w:sz w:val="20"/>
          <w:szCs w:val="20"/>
        </w:rPr>
      </w:pPr>
      <m:oMathPara>
        <m:oMathParaPr>
          <m:jc m:val="left"/>
        </m:oMathParaPr>
        <m:oMath>
          <m:r>
            <w:rPr>
              <w:rFonts w:ascii="Cambria Math" w:hAnsi="Cambria Math"/>
              <w:sz w:val="20"/>
              <w:szCs w:val="20"/>
            </w:rPr>
            <m:t>=</m:t>
          </m:r>
          <m:nary>
            <m:naryPr>
              <m:chr m:val="∑"/>
              <m:limLoc m:val="undOvr"/>
              <m:supHide m:val="1"/>
              <m:ctrlPr>
                <w:rPr>
                  <w:rFonts w:ascii="Cambria Math" w:hAnsi="Cambria Math"/>
                  <w:i/>
                  <w:sz w:val="20"/>
                  <w:szCs w:val="20"/>
                </w:rPr>
              </m:ctrlPr>
            </m:naryPr>
            <m:sub>
              <m:r>
                <w:rPr>
                  <w:rFonts w:ascii="Cambria Math" w:hAnsi="Cambria Math"/>
                  <w:sz w:val="20"/>
                  <w:szCs w:val="20"/>
                </w:rPr>
                <m:t>k∈(</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ik</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1</m:t>
                  </m:r>
                </m:sub>
              </m:sSub>
              <m:r>
                <w:rPr>
                  <w:rFonts w:ascii="Cambria Math" w:hAnsi="Cambria Math"/>
                  <w:sz w:val="20"/>
                  <w:szCs w:val="20"/>
                </w:rPr>
                <m:t>)</m:t>
              </m:r>
            </m:sub>
            <m:sup/>
            <m:e>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k</m:t>
                  </m:r>
                </m:sub>
              </m:sSub>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1</m:t>
                  </m:r>
                </m:sub>
              </m:sSub>
            </m:e>
          </m:nary>
          <m:r>
            <w:rPr>
              <w:rFonts w:ascii="Cambria Math" w:hAnsi="Cambria Math"/>
              <w:sz w:val="20"/>
              <w:szCs w:val="20"/>
            </w:rPr>
            <m:t>+</m:t>
          </m:r>
          <m:nary>
            <m:naryPr>
              <m:chr m:val="∑"/>
              <m:limLoc m:val="undOvr"/>
              <m:supHide m:val="1"/>
              <m:ctrlPr>
                <w:rPr>
                  <w:rFonts w:ascii="Cambria Math" w:hAnsi="Cambria Math"/>
                  <w:i/>
                  <w:sz w:val="20"/>
                  <w:szCs w:val="20"/>
                </w:rPr>
              </m:ctrlPr>
            </m:naryPr>
            <m:sub>
              <m:r>
                <w:rPr>
                  <w:rFonts w:ascii="Cambria Math" w:hAnsi="Cambria Math"/>
                  <w:sz w:val="20"/>
                  <w:szCs w:val="20"/>
                </w:rPr>
                <m:t>k∈(</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ik</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2</m:t>
                  </m:r>
                </m:sub>
              </m:sSub>
              <m:r>
                <w:rPr>
                  <w:rFonts w:ascii="Cambria Math" w:hAnsi="Cambria Math"/>
                  <w:sz w:val="20"/>
                  <w:szCs w:val="20"/>
                </w:rPr>
                <m:t>)</m:t>
              </m:r>
            </m:sub>
            <m:sup/>
            <m:e>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k</m:t>
                  </m:r>
                </m:sub>
              </m:sSub>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2</m:t>
                  </m:r>
                </m:sub>
              </m:sSub>
            </m:e>
          </m:nary>
          <m:r>
            <w:rPr>
              <w:rFonts w:ascii="Cambria Math" w:hAnsi="Cambria Math"/>
              <w:sz w:val="20"/>
              <w:szCs w:val="20"/>
            </w:rPr>
            <m:t>+</m:t>
          </m:r>
          <m:nary>
            <m:naryPr>
              <m:chr m:val="∑"/>
              <m:limLoc m:val="undOvr"/>
              <m:supHide m:val="1"/>
              <m:ctrlPr>
                <w:rPr>
                  <w:rFonts w:ascii="Cambria Math" w:hAnsi="Cambria Math"/>
                  <w:i/>
                  <w:sz w:val="20"/>
                  <w:szCs w:val="20"/>
                </w:rPr>
              </m:ctrlPr>
            </m:naryPr>
            <m:sub>
              <m:r>
                <w:rPr>
                  <w:rFonts w:ascii="Cambria Math" w:hAnsi="Cambria Math"/>
                  <w:sz w:val="20"/>
                  <w:szCs w:val="20"/>
                </w:rPr>
                <m:t>k∈(</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ik</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3</m:t>
                  </m:r>
                </m:sub>
              </m:sSub>
              <m:r>
                <w:rPr>
                  <w:rFonts w:ascii="Cambria Math" w:hAnsi="Cambria Math"/>
                  <w:sz w:val="20"/>
                  <w:szCs w:val="20"/>
                </w:rPr>
                <m:t>)</m:t>
              </m:r>
            </m:sub>
            <m:sup/>
            <m:e>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k</m:t>
                  </m:r>
                </m:sub>
              </m:sSub>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3</m:t>
                  </m:r>
                </m:sub>
              </m:sSub>
            </m:e>
          </m:nary>
          <m:r>
            <w:rPr>
              <w:rFonts w:ascii="Cambria Math" w:hAnsi="Cambria Math"/>
              <w:sz w:val="20"/>
              <w:szCs w:val="20"/>
            </w:rPr>
            <m:t>+</m:t>
          </m:r>
          <m:nary>
            <m:naryPr>
              <m:chr m:val="∑"/>
              <m:limLoc m:val="undOvr"/>
              <m:supHide m:val="1"/>
              <m:ctrlPr>
                <w:rPr>
                  <w:rFonts w:ascii="Cambria Math" w:hAnsi="Cambria Math"/>
                  <w:i/>
                  <w:sz w:val="20"/>
                  <w:szCs w:val="20"/>
                </w:rPr>
              </m:ctrlPr>
            </m:naryPr>
            <m:sub>
              <m:r>
                <w:rPr>
                  <w:rFonts w:ascii="Cambria Math" w:hAnsi="Cambria Math"/>
                  <w:sz w:val="20"/>
                  <w:szCs w:val="20"/>
                </w:rPr>
                <m:t>k∈(</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ik</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4</m:t>
                  </m:r>
                </m:sub>
              </m:sSub>
              <m:r>
                <w:rPr>
                  <w:rFonts w:ascii="Cambria Math" w:hAnsi="Cambria Math"/>
                  <w:sz w:val="20"/>
                  <w:szCs w:val="20"/>
                </w:rPr>
                <m:t>)</m:t>
              </m:r>
            </m:sub>
            <m:sup/>
            <m:e>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k</m:t>
                  </m:r>
                </m:sub>
              </m:sSub>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4</m:t>
                  </m:r>
                </m:sub>
              </m:sSub>
            </m:e>
          </m:nary>
        </m:oMath>
      </m:oMathPara>
    </w:p>
    <w:p w14:paraId="3D444E72" w14:textId="77777777" w:rsidR="00A64C45" w:rsidRPr="009C0D07" w:rsidRDefault="00A64C45" w:rsidP="00A64C45">
      <w:pPr>
        <w:spacing w:after="0" w:line="240" w:lineRule="auto"/>
        <w:rPr>
          <w:rFonts w:ascii="Times New Roman" w:hAnsi="Times New Roman"/>
          <w:sz w:val="20"/>
          <w:szCs w:val="20"/>
        </w:rPr>
      </w:pPr>
    </w:p>
    <w:p w14:paraId="00823C44" w14:textId="77777777" w:rsidR="00A64C45" w:rsidRPr="009C0D07" w:rsidRDefault="00A64C45" w:rsidP="00A64C45">
      <w:pPr>
        <w:spacing w:after="0" w:line="240" w:lineRule="auto"/>
        <w:rPr>
          <w:rFonts w:ascii="Times New Roman" w:hAnsi="Times New Roman"/>
          <w:sz w:val="20"/>
          <w:szCs w:val="20"/>
        </w:rPr>
      </w:pPr>
    </w:p>
    <w:p w14:paraId="1F4EAFCE" w14:textId="77777777" w:rsidR="00A64C45" w:rsidRPr="009C0D07" w:rsidRDefault="00A64C45" w:rsidP="00A64C45">
      <w:pPr>
        <w:spacing w:after="0" w:line="240" w:lineRule="auto"/>
        <w:rPr>
          <w:rFonts w:ascii="Times New Roman" w:hAnsi="Times New Roman"/>
          <w:sz w:val="20"/>
          <w:szCs w:val="20"/>
        </w:rPr>
      </w:pPr>
    </w:p>
    <w:p w14:paraId="28BB4708" w14:textId="77777777" w:rsidR="00A64C45" w:rsidRPr="009C0D07" w:rsidRDefault="00A64C45" w:rsidP="00A64C45">
      <w:pPr>
        <w:spacing w:after="0" w:line="240" w:lineRule="auto"/>
        <w:rPr>
          <w:rFonts w:ascii="Times New Roman" w:hAnsi="Times New Roman"/>
          <w:sz w:val="20"/>
          <w:szCs w:val="20"/>
        </w:rPr>
      </w:pPr>
      <w:r w:rsidRPr="009C0D07">
        <w:rPr>
          <w:rFonts w:ascii="Times New Roman" w:hAnsi="Times New Roman"/>
          <w:sz w:val="20"/>
          <w:szCs w:val="20"/>
        </w:rPr>
        <w:t xml:space="preserve">where </w:t>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i</m:t>
            </m:r>
          </m:sub>
        </m:sSub>
      </m:oMath>
      <w:r w:rsidRPr="009C0D07">
        <w:rPr>
          <w:rFonts w:ascii="Times New Roman" w:hAnsi="Times New Roman"/>
          <w:sz w:val="20"/>
          <w:szCs w:val="20"/>
        </w:rPr>
        <w:t xml:space="preserve"> is the SPAI for </w:t>
      </w:r>
      <w:proofErr w:type="spellStart"/>
      <w:r w:rsidRPr="009C0D07">
        <w:rPr>
          <w:rFonts w:ascii="Times New Roman" w:hAnsi="Times New Roman"/>
          <w:i/>
          <w:sz w:val="20"/>
          <w:szCs w:val="20"/>
        </w:rPr>
        <w:t>i</w:t>
      </w:r>
      <w:proofErr w:type="spellEnd"/>
      <w:r w:rsidRPr="009C0D07">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k</m:t>
            </m:r>
          </m:sub>
        </m:sSub>
      </m:oMath>
      <w:r w:rsidRPr="009C0D07">
        <w:rPr>
          <w:rFonts w:ascii="Times New Roman" w:hAnsi="Times New Roman"/>
          <w:sz w:val="20"/>
          <w:szCs w:val="20"/>
        </w:rPr>
        <w:t xml:space="preserve"> is the supply-to-demand ratio (calculated in step 1) of medical site </w:t>
      </w:r>
      <w:r w:rsidRPr="009C0D07">
        <w:rPr>
          <w:rFonts w:ascii="Times New Roman" w:hAnsi="Times New Roman"/>
          <w:i/>
          <w:sz w:val="20"/>
          <w:szCs w:val="20"/>
        </w:rPr>
        <w:t>k</w:t>
      </w:r>
      <w:r w:rsidRPr="009C0D07">
        <w:rPr>
          <w:rFonts w:ascii="Times New Roman" w:hAnsi="Times New Roman"/>
          <w:sz w:val="20"/>
          <w:szCs w:val="20"/>
        </w:rPr>
        <w:t xml:space="preserve"> that falls inside the catchment of </w:t>
      </w:r>
      <w:proofErr w:type="spellStart"/>
      <w:r w:rsidRPr="009C0D07">
        <w:rPr>
          <w:rFonts w:ascii="Times New Roman" w:hAnsi="Times New Roman"/>
          <w:i/>
          <w:sz w:val="20"/>
          <w:szCs w:val="20"/>
        </w:rPr>
        <w:t>i</w:t>
      </w:r>
      <w:proofErr w:type="spellEnd"/>
      <w:r w:rsidRPr="009C0D07">
        <w:rPr>
          <w:rFonts w:ascii="Times New Roman" w:hAnsi="Times New Roman"/>
          <w:sz w:val="20"/>
          <w:szCs w:val="20"/>
        </w:rPr>
        <w:t xml:space="preserve">, and </w:t>
      </w:r>
      <m:oMath>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ik</m:t>
            </m:r>
          </m:sub>
        </m:sSub>
      </m:oMath>
      <w:r w:rsidRPr="009C0D07">
        <w:rPr>
          <w:rFonts w:ascii="Times New Roman" w:hAnsi="Times New Roman"/>
          <w:sz w:val="20"/>
          <w:szCs w:val="20"/>
        </w:rPr>
        <w:t xml:space="preserve"> is the travel time between </w:t>
      </w:r>
      <w:r w:rsidRPr="009C0D07">
        <w:rPr>
          <w:rFonts w:ascii="Times New Roman" w:hAnsi="Times New Roman"/>
          <w:i/>
          <w:sz w:val="20"/>
          <w:szCs w:val="20"/>
        </w:rPr>
        <w:t>k</w:t>
      </w:r>
      <w:r w:rsidRPr="009C0D07">
        <w:rPr>
          <w:rFonts w:ascii="Times New Roman" w:hAnsi="Times New Roman"/>
          <w:sz w:val="20"/>
          <w:szCs w:val="20"/>
        </w:rPr>
        <w:t xml:space="preserve"> and </w:t>
      </w:r>
      <w:proofErr w:type="spellStart"/>
      <w:r w:rsidRPr="009C0D07">
        <w:rPr>
          <w:rFonts w:ascii="Times New Roman" w:hAnsi="Times New Roman"/>
          <w:i/>
          <w:sz w:val="20"/>
          <w:szCs w:val="20"/>
        </w:rPr>
        <w:t>i</w:t>
      </w:r>
      <w:proofErr w:type="spellEnd"/>
      <w:r w:rsidRPr="009C0D07">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r</m:t>
            </m:r>
          </m:sub>
        </m:sSub>
        <m:r>
          <w:rPr>
            <w:rFonts w:ascii="Cambria Math" w:hAnsi="Cambria Math"/>
            <w:sz w:val="20"/>
            <w:szCs w:val="20"/>
          </w:rPr>
          <m:t xml:space="preserve"> </m:t>
        </m:r>
      </m:oMath>
      <w:r w:rsidRPr="009C0D07">
        <w:rPr>
          <w:rFonts w:ascii="Times New Roman" w:hAnsi="Times New Roman"/>
          <w:sz w:val="20"/>
          <w:szCs w:val="20"/>
        </w:rPr>
        <w:t xml:space="preserve">is the same distance-based weight calculated in step 1. </w:t>
      </w:r>
    </w:p>
    <w:p w14:paraId="33A0D10A" w14:textId="77777777" w:rsidR="00A64C45" w:rsidRPr="009C0D07" w:rsidRDefault="00A64C45" w:rsidP="00A64C45">
      <w:pPr>
        <w:spacing w:after="0" w:line="240" w:lineRule="auto"/>
        <w:rPr>
          <w:rFonts w:ascii="Times New Roman" w:hAnsi="Times New Roman"/>
          <w:sz w:val="20"/>
          <w:szCs w:val="20"/>
        </w:rPr>
      </w:pPr>
    </w:p>
    <w:p w14:paraId="3B8047A2" w14:textId="77777777" w:rsidR="00A64C45" w:rsidRPr="009C0D07" w:rsidRDefault="00A64C45" w:rsidP="00A64C45">
      <w:pPr>
        <w:spacing w:after="0" w:line="240" w:lineRule="auto"/>
        <w:rPr>
          <w:rFonts w:ascii="Times New Roman" w:hAnsi="Times New Roman"/>
          <w:sz w:val="20"/>
          <w:szCs w:val="20"/>
        </w:rPr>
      </w:pPr>
      <w:r w:rsidRPr="009C0D07">
        <w:rPr>
          <w:rFonts w:ascii="Times New Roman" w:hAnsi="Times New Roman"/>
          <w:sz w:val="20"/>
          <w:szCs w:val="20"/>
        </w:rPr>
        <w:t xml:space="preserve">The E2SFCA implements the idea of gravity assumption, as a shorter distance denotes a higher population demand for a hospital (realized by function </w:t>
      </w:r>
      <w:r w:rsidRPr="009C0D07">
        <w:rPr>
          <w:rFonts w:ascii="Times New Roman" w:hAnsi="Times New Roman"/>
          <w:i/>
          <w:sz w:val="20"/>
          <w:szCs w:val="20"/>
        </w:rPr>
        <w:t>f(d)</w:t>
      </w:r>
      <w:r w:rsidRPr="009C0D07">
        <w:rPr>
          <w:rFonts w:ascii="Times New Roman" w:hAnsi="Times New Roman"/>
          <w:sz w:val="20"/>
          <w:szCs w:val="20"/>
        </w:rPr>
        <w:t xml:space="preserve"> in step 1) and better spatial access for a population site (realized by function </w:t>
      </w:r>
      <w:r w:rsidRPr="009C0D07">
        <w:rPr>
          <w:rFonts w:ascii="Times New Roman" w:hAnsi="Times New Roman"/>
          <w:i/>
          <w:sz w:val="20"/>
          <w:szCs w:val="20"/>
        </w:rPr>
        <w:t>f(d)</w:t>
      </w:r>
      <w:r w:rsidRPr="009C0D07">
        <w:rPr>
          <w:rFonts w:ascii="Times New Roman" w:hAnsi="Times New Roman"/>
          <w:sz w:val="20"/>
          <w:szCs w:val="20"/>
        </w:rPr>
        <w:t xml:space="preserve"> in the second demand). Therefore, a higher </w:t>
      </w:r>
      <m:oMath>
        <m:sSub>
          <m:sSubPr>
            <m:ctrlPr>
              <w:rPr>
                <w:rFonts w:ascii="Cambria Math" w:hAnsi="Cambria Math"/>
                <w:i/>
                <w:sz w:val="20"/>
                <w:szCs w:val="20"/>
              </w:rPr>
            </m:ctrlPr>
          </m:sSubPr>
          <m:e>
            <m:r>
              <w:rPr>
                <w:rFonts w:ascii="Cambria Math" w:hAnsi="Cambria Math"/>
                <w:sz w:val="20"/>
                <w:szCs w:val="20"/>
              </w:rPr>
              <m:t>A</m:t>
            </m:r>
          </m:e>
          <m:sub>
            <m:r>
              <w:rPr>
                <w:rFonts w:ascii="Cambria Math" w:hAnsi="Cambria Math"/>
                <w:sz w:val="20"/>
                <w:szCs w:val="20"/>
              </w:rPr>
              <m:t>i</m:t>
            </m:r>
          </m:sub>
        </m:sSub>
      </m:oMath>
      <w:r w:rsidRPr="009C0D07">
        <w:rPr>
          <w:rFonts w:ascii="Times New Roman" w:hAnsi="Times New Roman"/>
          <w:sz w:val="20"/>
          <w:szCs w:val="20"/>
        </w:rPr>
        <w:t xml:space="preserve"> denotes a better spatial access, and vice versa.  </w:t>
      </w:r>
    </w:p>
    <w:p w14:paraId="4348EFA0" w14:textId="77777777" w:rsidR="00A64C45" w:rsidRPr="009C0D07" w:rsidRDefault="00A64C45" w:rsidP="00A64C45">
      <w:pPr>
        <w:spacing w:after="0" w:line="240" w:lineRule="auto"/>
        <w:rPr>
          <w:rFonts w:ascii="Times New Roman" w:hAnsi="Times New Roman"/>
          <w:sz w:val="20"/>
          <w:szCs w:val="20"/>
        </w:rPr>
      </w:pPr>
    </w:p>
    <w:p w14:paraId="601DA025" w14:textId="77777777" w:rsidR="00A64C45" w:rsidRPr="009C0D07" w:rsidRDefault="00A64C45" w:rsidP="00A64C45">
      <w:pPr>
        <w:spacing w:after="0" w:line="240" w:lineRule="auto"/>
        <w:rPr>
          <w:rFonts w:ascii="Times New Roman" w:hAnsi="Times New Roman"/>
          <w:sz w:val="20"/>
          <w:szCs w:val="20"/>
        </w:rPr>
      </w:pPr>
      <w:r w:rsidRPr="009C0D07">
        <w:rPr>
          <w:rFonts w:ascii="Times New Roman" w:hAnsi="Times New Roman"/>
          <w:sz w:val="20"/>
          <w:szCs w:val="20"/>
        </w:rPr>
        <w:t xml:space="preserve">The above mentioned E2SFCA method will be used to examine spatial access to emergency surgical services (for both all hospitals with emergency surgical capabilities and advanced-resource centers) in the United States in this study. Specifically, the population size of each CBG is used to approximate demand and number of inpatient beds at each hospital is used to represent the relative capacity of each hospital. </w:t>
      </w:r>
    </w:p>
    <w:p w14:paraId="6B958F2B" w14:textId="77777777" w:rsidR="00A64C45" w:rsidRPr="009C0D07" w:rsidRDefault="00A64C45" w:rsidP="00A64C45">
      <w:pPr>
        <w:spacing w:after="0" w:line="240" w:lineRule="auto"/>
        <w:rPr>
          <w:rFonts w:ascii="Times New Roman" w:hAnsi="Times New Roman"/>
          <w:sz w:val="20"/>
          <w:szCs w:val="20"/>
        </w:rPr>
      </w:pPr>
    </w:p>
    <w:p w14:paraId="63A25BC1" w14:textId="3B74DFAB" w:rsidR="00A64C45" w:rsidRDefault="00A64C45" w:rsidP="00A64C45">
      <w:pPr>
        <w:spacing w:after="0" w:line="240" w:lineRule="auto"/>
        <w:rPr>
          <w:rFonts w:ascii="Times New Roman" w:hAnsi="Times New Roman"/>
          <w:sz w:val="20"/>
          <w:szCs w:val="20"/>
        </w:rPr>
      </w:pPr>
      <w:r w:rsidRPr="009C0D07">
        <w:rPr>
          <w:rFonts w:ascii="Times New Roman" w:hAnsi="Times New Roman"/>
          <w:sz w:val="20"/>
          <w:szCs w:val="20"/>
        </w:rPr>
        <w:t xml:space="preserve">To minimize the influence of the infamous distance impedance problem (i.e., the selection of the impedance parameter </w:t>
      </w:r>
      <m:oMath>
        <m:r>
          <w:rPr>
            <w:rFonts w:ascii="Cambria Math" w:hAnsi="Cambria Math"/>
            <w:sz w:val="20"/>
            <w:szCs w:val="20"/>
          </w:rPr>
          <m:t>β</m:t>
        </m:r>
      </m:oMath>
      <w:r w:rsidRPr="009C0D07">
        <w:rPr>
          <w:rFonts w:ascii="Times New Roman" w:hAnsi="Times New Roman"/>
          <w:sz w:val="20"/>
          <w:szCs w:val="20"/>
        </w:rPr>
        <w:t xml:space="preserve"> could influence the spatial access results), we used a weighted spatial access index, Spatial Access Ratio (SPAR)</w:t>
      </w:r>
      <w:r>
        <w:rPr>
          <w:rFonts w:ascii="Times New Roman" w:hAnsi="Times New Roman"/>
          <w:sz w:val="20"/>
          <w:szCs w:val="20"/>
        </w:rPr>
        <w:fldChar w:fldCharType="begin"/>
      </w:r>
      <w:r>
        <w:rPr>
          <w:rFonts w:ascii="Times New Roman" w:hAnsi="Times New Roman"/>
          <w:sz w:val="20"/>
          <w:szCs w:val="20"/>
        </w:rPr>
        <w:instrText xml:space="preserve"> ADDIN ZOTERO_ITEM CSL_CITATION {"citationID":"Wdr4ImgC","properties":{"formattedCitation":"\\super 4\\nosupersub{}","plainCitation":"4","noteIndex":0},"citationItems":[{"id":24,"uris":["http://zotero.org/users/9503623/items/KFIQTAYW"],"itemData":{"id":24,"type":"article-journal","abstract":"The usefulness of gravity-based spatial access models is limited because of the uncertainty introduced by the range of values of the impedance coefficient. To solve this problem, this paper proposes the concept of spatial access ratio (SPAR) derived from the enhanced 2-step floating catchment area (E2SFCA) method — a recent extension of the gravity model — to assess potential spatial access. First, a sensitivity assessment is conducted to verify the effectiveness of SPAR and its advantages in overcoming the uncertainty problem. Then, the E2SFCA method and the shortest travel time method are employed to measure potential spatial access to colorectal cancer (CRC) prevention and treatment services in Texas based on data at the census tract level. The socio-demographic and geographic distributions of potential spatial access to CRC services are also examined. The sensitivity assessment reveals substantial fluctuations in the values of the spatial access index calculated directly by the E2SFCA method under different values of the impedance coefficient. However, the values of SPAR remain stable under different values of the coefficient. A comparative analysis indicates that potential spatial access to primary care physicians (PCPs), CRC screening facilities, and oncologists varied among different racial/ethnic and socioeconomic population groups as well as in different geographic regions in Texas. Non-Hispanic blacks, Asians, and people in affluent areas had a geographical advantage in accessing CRC services than other groups. The urban/rural difference was more obvious and serious than those of different racial/ethnic groups and groups with different socio-economic statuses, as metropolitan residents had more than three times the potential spatial access than isolated rural residents.","container-title":"Applied Geography","DOI":"10.1016/j.apgeog.2011.05.001","ISSN":"0143-6228","issue":"2","journalAbbreviation":"Applied Geography","language":"en","page":"291-299","source":"ScienceDirect","title":"A relative spatial access assessment approach for analyzing potential spatial access to colorectal cancer services in Texas","volume":"32","author":[{"family":"Wan","given":"Neng"},{"family":"Zhan","given":"F. Benjamin"},{"family":"Zou","given":"Bin"},{"family":"Chow","given":"Edwin"}],"issued":{"date-parts":[["2012",3,1]]}}}],"schema":"https://github.com/citation-style-language/schema/raw/master/csl-citation.json"} </w:instrText>
      </w:r>
      <w:r>
        <w:rPr>
          <w:rFonts w:ascii="Times New Roman" w:hAnsi="Times New Roman"/>
          <w:sz w:val="20"/>
          <w:szCs w:val="20"/>
        </w:rPr>
        <w:fldChar w:fldCharType="separate"/>
      </w:r>
      <w:r w:rsidRPr="00392132">
        <w:rPr>
          <w:rFonts w:ascii="Times New Roman" w:hAnsi="Times New Roman"/>
          <w:sz w:val="20"/>
          <w:vertAlign w:val="superscript"/>
        </w:rPr>
        <w:t>4</w:t>
      </w:r>
      <w:r>
        <w:rPr>
          <w:rFonts w:ascii="Times New Roman" w:hAnsi="Times New Roman"/>
          <w:sz w:val="20"/>
          <w:szCs w:val="20"/>
        </w:rPr>
        <w:fldChar w:fldCharType="end"/>
      </w:r>
      <w:r w:rsidRPr="009C0D07">
        <w:rPr>
          <w:rFonts w:ascii="Times New Roman" w:hAnsi="Times New Roman"/>
          <w:sz w:val="20"/>
          <w:szCs w:val="20"/>
        </w:rPr>
        <w:t>, to represent the eventual result. SPAR for a population site is calculated as the ratio between that population site’s SPAI and the average of SPAI among all population sites in the study area. The higher the SPAR, the better the spatial access. And SPAR values great than one means better-than-state-average spatial access, and vice versa. SPAR has been proved effective in overcoming the distance impedance problem in multiple studies and has been used to explore spatial access to a variety of healthcare services</w:t>
      </w:r>
      <w:r>
        <w:rPr>
          <w:rFonts w:ascii="Times New Roman" w:hAnsi="Times New Roman"/>
          <w:sz w:val="20"/>
          <w:szCs w:val="20"/>
        </w:rPr>
        <w:fldChar w:fldCharType="begin"/>
      </w:r>
      <w:r>
        <w:rPr>
          <w:rFonts w:ascii="Times New Roman" w:hAnsi="Times New Roman"/>
          <w:sz w:val="20"/>
          <w:szCs w:val="20"/>
        </w:rPr>
        <w:instrText xml:space="preserve"> ADDIN ZOTERO_ITEM CSL_CITATION {"citationID":"WBLwhy2W","properties":{"formattedCitation":"\\super 1,9\\uc0\\u8211{}11\\nosupersub{}","plainCitation":"1,9–11","noteIndex":0},"citationItems":[{"id":3,"uris":["http://zotero.org/users/9503623/items/F8JABPZJ"],"itemData":{"id":3,"type":"article-journal","abstract":"Gravity-based spatial access models have been widely used to estimate spatial access to healthcare services in an attempt to capture the interaction of various factors. However, these models are inadequate in informing health resource allocation work due to their inappropriate assumption of healthcare demand. For the purpose of effective healthcare resource planning, this article proposes a three-step floating catchment area (3SFCA) method to minimize the healthcare-demand overestimation problem. Specifically, a spatial impedance-based competition scheme is incorporated into the enhanced two-step floating catchment area (E2SFCA) method to account for a reasonable model of healthcare supply and demand. A case study of spatial access to primary care physicians along the Austin–San Antonio corridor area in central Texas showed that the proposed method effectively minimizes the overestimation of healthcare demand and reflects a more balanced geographic pattern of spatial access than E2SFCA. In addition, by using an adjusted spatial access index, the 3SFCA method indicates strong potential for identifying health professional shortage areas. The study concludes that 3SFCA is a promising method to provide health professionals and decision makers with useful healthcare accessibility information.","container-title":"International Journal of Geographical Information Science","DOI":"10.1080/13658816.2011.624987","ISSN":"1365-8816","issue":"6","note":"publisher: Taylor &amp; Francis\n_eprint: https://doi.org/10.1080/13658816.2011.624987","page":"1073-1089","source":"Taylor and Francis+NEJM","title":"A three-step floating catchment area method for analyzing spatial access to health services","volume":"26","author":[{"family":"Wan","given":"Neng"},{"family":"Zou","given":"Bin"},{"family":"Sternberg","given":"Troy"}],"issued":{"date-parts":[["2012",6,1]]}}},{"id":21,"uris":["http://zotero.org/users/9503623/items/688PK4H5"],"itemData":{"id":21,"type":"article-journal","abstract":"Early diagnosis of colorectal cancer (CRC) is important for improving the survival rate of the disease. Disparities in CRC diagnosis among different population groups have persisted in the United States. This study examines whether spatial access to medical services contributes to disparities of late-stage diagnosis of CRC in Texas. Analysis results suggest that there are significant disparities in late-stage CRC diagnosis by race/ethnicity, socioeconomic status, and geographic location in Texas. It is concluded that spatial access to primary care is associated with CRC stage at diagnosis, but not with racial/ethnic and socioeconomic disparities.","container-title":"The Professional Geographer","DOI":"10.1080/00330124.2012.700502","ISSN":"0033-0124","issue":"3","note":"publisher: Routledge\n_eprint: https://doi.org/10.1080/00330124.2012.700502","page":"527-541","source":"Taylor and Francis+NEJM","title":"Spatial Access to Health Care Services and Disparities in Colorectal Cancer Stage at Diagnosis in Texas","volume":"65","author":[{"family":"Wan","given":"Neng"},{"family":"Zhan","given":"F.   Benjamin"},{"family":"Zou","given":"Bin"},{"family":"Wilson","given":"J.   Gaines"}],"issued":{"date-parts":[["2013",8,1]]}}},{"id":37,"uris":["http://zotero.org/users/9503623/items/IHCB55MI"],"itemData":{"id":37,"type":"article-journal","abstract":"Emergency general surgery (EGS) is a critical component of emergency care in the United States. Due to the time sensitiveness of EGS conditions, ensuring adequate spatial access to EGS services is paramount for reducing patient morbidity and mortality. Past studies have used travel time to measure spatial access to EGS services, which has its limitations. The major purpose of this paper is to evaluate the utility of a gravity-based spatial access model in measuring spatial access to EGS services in California. Our data sources include the American Hospital Association 2015 Annual Survey, the American Community Survey 2013–2017 five-year average dataset, and background geospatial datasets. We implemented both the gravity-based model and the shortest travel time method and compared them in measuring spatial access to EGS-capable hospitals in California at the census block group level. We analyzed each metric’s ability to identify disparities in spatial access for the population as a whole, and subsequently to identify socio-demographic disparities. Overall, we found that both methods identified similar geographic and socio-demographic patterns of the spatial access. Native Americans and rural residents experienced the greatest disadvantage in spatial access to both general EGS services and advanced EGS services. However, the gravity-based model revealed more disparities in spatial access to EGS services than the travel time model, suggesting that using travel cost alone to measure spatial access to EGS services may underestimate the magnitude of disparities. These findings call for the use of gravity-based models that incorporate measures of population demand and hospital capacity when assessing spatial access to surgical services, and have implications for reallocating surgery resources to address disparities in spatial access.","container-title":"Health Services and Outcomes Research Methodology","DOI":"10.1007/s10742-021-00254-8","ISSN":"1387-3741","source":"Research Nebraska","title":"Measuring spatial access to emergency general surgery services: does the method matter?","title-short":"Measuring spatial access to emergency general surgery services","URL":"http://www.scopus.com/inward/record.url?scp=85108139475&amp;partnerID=8YFLogxK","author":[{"family":"Wan","given":"Neng"},{"family":"McCrum","given":"Marta"},{"family":"Han","given":"Jiuying"},{"family":"Lizotte","given":"Steven"},{"family":"Su","given":"Dejun"},{"family":"Wen","given":"Ming"},{"family":"Zeng","given":"Shue"}],"accessed":{"date-parts":[["2022",5,9]]},"issued":{"date-parts":[["2021"]]}}},{"id":11,"uris":["http://zotero.org/users/9503623/items/YCWWDLZI"],"itemData":{"id":11,"type":"article-journal","abstract":"BACKGROUND: Emergency general surgery (EGS) encompasses a spectrum of time-sensitive and resource-intensive conditions, which require adequate and timely access to surgical care. Developing metrics to accurately quantify spatial access to care is critical for this field. We sought to evaluate the ability of the spatial access ratio (SPAR), which incorporates travel time, hospital capacity, and population demand in its ability to measure spatial access to EGS care and delineate disparities.\nMETHODS: We constructed a geographic information science platform for EGS-capable hospitals in California and mapped population location, race, and socioeconomic characteristics. We compared the SPAR to the shortest travel time model in its ability to identify disparities in spatial access overall and for vulnerable populations. Reduced spatial access was defined as &gt;60 minutes travel time or lowest three classes of SPAR.\nRESULTS: A total of 283 EGS-capable hospitals were identified, of which 142 (50%) had advanced resources. Using shortest travel time, only 166,950 persons (0.4% of total population) experienced prolonged (&gt;60 minutes) travel time to any EGS-capable hospital, which increased to 1.05 million (2.7%) for advanced-resource centers. Using SPAR, 11.5 million (29.5%) had reduced spatial access to any EGS hospital, and 13.9 million (35.7%) for advanced-resource centers. Rural residents had significantly decreased access for both overall and advanced EGS services when assessed by SPAR despite travel times within the 60-minute threshold.\nCONCLUSION: While travel time and SPAR showed similar overall geographic patterns of spatial access to EGS hospitals, SPAR identified a greater a greater proportion of the population as having limited access to care. Nearly one third of California residents experience reduced spatial access to EGS hospitals when assessed by SPAR. Metrics that incorporate measures of population demand and hospital capacity in addition to travel time may be useful when assessing spatial access to surgical services.\nLEVEL OF EVIDENCE: Cross-sectional study, level VI.","container-title":"The Journal of Trauma and Acute Care Surgery","DOI":"10.1097/TA.0000000000003087","ISSN":"2163-0763","issue":"5","journalAbbreviation":"J Trauma Acute Care Surg","language":"eng","note":"PMID: 33797498\nPMCID: PMC8068585","page":"853-860","source":"PubMed","title":"Use of the spatial access ratio to measure geospatial access to emergency general surgery services in California","volume":"90","author":[{"family":"McCrum","given":"Marta L."},{"family":"Wan","given":"Neng"},{"family":"Lizotte","given":"Steven L."},{"family":"Han","given":"Jiuying"},{"family":"Varghese","given":"Thomas"},{"family":"Nirula","given":"Raminder"}],"issued":{"date-parts":[["2021",5,1]]}}}],"schema":"https://github.com/citation-style-language/schema/raw/master/csl-citation.json"} </w:instrText>
      </w:r>
      <w:r>
        <w:rPr>
          <w:rFonts w:ascii="Times New Roman" w:hAnsi="Times New Roman"/>
          <w:sz w:val="20"/>
          <w:szCs w:val="20"/>
        </w:rPr>
        <w:fldChar w:fldCharType="separate"/>
      </w:r>
      <w:r w:rsidRPr="00392132">
        <w:rPr>
          <w:rFonts w:ascii="Times New Roman" w:hAnsi="Times New Roman"/>
          <w:sz w:val="20"/>
          <w:vertAlign w:val="superscript"/>
        </w:rPr>
        <w:t>1,9–11</w:t>
      </w:r>
      <w:r>
        <w:rPr>
          <w:rFonts w:ascii="Times New Roman" w:hAnsi="Times New Roman"/>
          <w:sz w:val="20"/>
          <w:szCs w:val="20"/>
        </w:rPr>
        <w:fldChar w:fldCharType="end"/>
      </w:r>
      <w:r w:rsidRPr="009C0D07">
        <w:rPr>
          <w:rFonts w:ascii="Times New Roman" w:hAnsi="Times New Roman"/>
          <w:sz w:val="20"/>
          <w:szCs w:val="20"/>
        </w:rPr>
        <w:t>.</w:t>
      </w:r>
    </w:p>
    <w:p w14:paraId="0DB576E5" w14:textId="059EE585" w:rsidR="00A64C45" w:rsidRDefault="00A64C45" w:rsidP="00A64C45">
      <w:pPr>
        <w:spacing w:after="0" w:line="240" w:lineRule="auto"/>
        <w:rPr>
          <w:rFonts w:ascii="Times New Roman" w:hAnsi="Times New Roman"/>
          <w:sz w:val="20"/>
          <w:szCs w:val="20"/>
        </w:rPr>
      </w:pPr>
    </w:p>
    <w:p w14:paraId="2E15BC74" w14:textId="7DF08AD7" w:rsidR="00376964" w:rsidRDefault="00A64C45" w:rsidP="00A01799">
      <w:pPr>
        <w:spacing w:after="0" w:line="240" w:lineRule="auto"/>
        <w:rPr>
          <w:rFonts w:ascii="Times New Roman" w:hAnsi="Times New Roman"/>
          <w:sz w:val="20"/>
          <w:szCs w:val="20"/>
        </w:rPr>
      </w:pPr>
      <w:r>
        <w:rPr>
          <w:rFonts w:ascii="Times New Roman" w:hAnsi="Times New Roman"/>
          <w:i/>
          <w:iCs/>
          <w:sz w:val="20"/>
          <w:szCs w:val="20"/>
        </w:rPr>
        <w:t xml:space="preserve">Border Crossing: </w:t>
      </w:r>
      <w:r>
        <w:rPr>
          <w:rFonts w:ascii="Times New Roman" w:hAnsi="Times New Roman"/>
          <w:sz w:val="20"/>
          <w:szCs w:val="20"/>
        </w:rPr>
        <w:t>For this study, for each CBG in the twelve states examined, we used SPAR values generated from our GIS platform of spatial access to EGS-capable hospitals for the entire United States.  The SPAR for each CBG therefore accounts for access to neighboring states and the possibility of patient border crossing.</w:t>
      </w:r>
    </w:p>
    <w:p w14:paraId="100B4D93" w14:textId="77777777" w:rsidR="00A01799" w:rsidRPr="00A01799" w:rsidRDefault="00A01799" w:rsidP="00A01799">
      <w:pPr>
        <w:spacing w:after="0" w:line="240" w:lineRule="auto"/>
        <w:rPr>
          <w:rFonts w:ascii="Times New Roman" w:hAnsi="Times New Roman"/>
          <w:sz w:val="20"/>
          <w:szCs w:val="20"/>
        </w:rPr>
      </w:pPr>
    </w:p>
    <w:p w14:paraId="5812C205" w14:textId="2A079C76" w:rsidR="00A64C45" w:rsidRDefault="00A64C45">
      <w:pPr>
        <w:rPr>
          <w:rFonts w:ascii="Times New Roman" w:hAnsi="Times New Roman"/>
          <w:sz w:val="20"/>
          <w:szCs w:val="20"/>
        </w:rPr>
      </w:pPr>
      <w:r w:rsidRPr="00A01799">
        <w:rPr>
          <w:rFonts w:ascii="Times New Roman" w:hAnsi="Times New Roman"/>
          <w:i/>
          <w:iCs/>
          <w:sz w:val="20"/>
          <w:szCs w:val="20"/>
        </w:rPr>
        <w:t xml:space="preserve">Access to </w:t>
      </w:r>
      <w:r w:rsidR="00A01799" w:rsidRPr="00A01799">
        <w:rPr>
          <w:rFonts w:ascii="Times New Roman" w:hAnsi="Times New Roman"/>
          <w:i/>
          <w:iCs/>
          <w:sz w:val="20"/>
          <w:szCs w:val="20"/>
        </w:rPr>
        <w:t xml:space="preserve">Advanced-Resource Hospitals: </w:t>
      </w:r>
      <w:r w:rsidRPr="00A01799">
        <w:rPr>
          <w:rFonts w:ascii="Times New Roman" w:hAnsi="Times New Roman"/>
          <w:sz w:val="20"/>
          <w:szCs w:val="20"/>
        </w:rPr>
        <w:t>For each patient, we calculated two values of SPAR: first to any EGS-capable hospital (SPAR1), and secondly to hospitals identified as having the advanced clinical resources defined above (SPAR2), as severe or complicated disease could require treatment at this subset of hospitals for which a patient’s spatial access could differ substantially compared to EGS-capable hospitals as a whole. For our primary analysis, our measure of spatial access was defined by the type of admitted hospital (i.e. SPAR2 if the patient was admitted to an advanced resource hospital).</w:t>
      </w:r>
      <w:r w:rsidR="00A01799" w:rsidRPr="00A01799">
        <w:rPr>
          <w:rFonts w:ascii="Times New Roman" w:hAnsi="Times New Roman"/>
          <w:sz w:val="20"/>
          <w:szCs w:val="20"/>
        </w:rPr>
        <w:t xml:space="preserve">  We subsequently performed several sensitivity analyses using a) SPAR1 for all patient encounters to measure spatial access to </w:t>
      </w:r>
      <w:r w:rsidR="00A01799" w:rsidRPr="00A01799">
        <w:rPr>
          <w:rFonts w:ascii="Times New Roman" w:hAnsi="Times New Roman"/>
          <w:i/>
          <w:iCs/>
          <w:sz w:val="20"/>
          <w:szCs w:val="20"/>
        </w:rPr>
        <w:t xml:space="preserve">any </w:t>
      </w:r>
      <w:r w:rsidR="00A01799" w:rsidRPr="00A01799">
        <w:rPr>
          <w:rFonts w:ascii="Times New Roman" w:hAnsi="Times New Roman"/>
          <w:sz w:val="20"/>
          <w:szCs w:val="20"/>
        </w:rPr>
        <w:t>surgical hospital, and b) SPAR 2 for all hospitals with “complex disease”, as these patients are likely to require resources found only at “advanced-resource” hospitals given severity of disease.</w:t>
      </w:r>
    </w:p>
    <w:p w14:paraId="010A36F6" w14:textId="7FEB288C" w:rsidR="00A01799" w:rsidRDefault="00A01799">
      <w:pPr>
        <w:rPr>
          <w:rFonts w:ascii="Times New Roman" w:hAnsi="Times New Roman"/>
          <w:sz w:val="20"/>
          <w:szCs w:val="20"/>
        </w:rPr>
      </w:pPr>
    </w:p>
    <w:p w14:paraId="631F1930" w14:textId="77777777" w:rsidR="00A01799" w:rsidRPr="00A01799" w:rsidRDefault="00A01799" w:rsidP="00A01799">
      <w:pPr>
        <w:spacing w:after="0" w:line="240" w:lineRule="auto"/>
        <w:rPr>
          <w:rFonts w:ascii="Times New Roman" w:hAnsi="Times New Roman"/>
          <w:b/>
          <w:bCs/>
          <w:sz w:val="20"/>
          <w:szCs w:val="20"/>
        </w:rPr>
      </w:pPr>
      <w:r w:rsidRPr="00A01799">
        <w:rPr>
          <w:rFonts w:ascii="Times New Roman" w:hAnsi="Times New Roman"/>
          <w:b/>
          <w:bCs/>
          <w:sz w:val="20"/>
          <w:szCs w:val="20"/>
        </w:rPr>
        <w:t>REFERENCES</w:t>
      </w:r>
    </w:p>
    <w:p w14:paraId="3B1640F2" w14:textId="77777777" w:rsidR="00A01799" w:rsidRDefault="00A01799" w:rsidP="00A01799">
      <w:pPr>
        <w:spacing w:after="0" w:line="240" w:lineRule="auto"/>
        <w:rPr>
          <w:rFonts w:ascii="Times New Roman" w:hAnsi="Times New Roman"/>
          <w:sz w:val="20"/>
          <w:szCs w:val="20"/>
        </w:rPr>
      </w:pPr>
    </w:p>
    <w:p w14:paraId="5FC65D14" w14:textId="77777777" w:rsidR="00A01799" w:rsidRPr="00392132" w:rsidRDefault="00A01799" w:rsidP="00A01799">
      <w:pPr>
        <w:pStyle w:val="Bibliography"/>
        <w:rPr>
          <w:rFonts w:ascii="Times New Roman" w:hAnsi="Times New Roman"/>
          <w:sz w:val="20"/>
        </w:rPr>
      </w:pPr>
      <w:r>
        <w:rPr>
          <w:sz w:val="20"/>
          <w:szCs w:val="20"/>
        </w:rPr>
        <w:fldChar w:fldCharType="begin"/>
      </w:r>
      <w:r>
        <w:rPr>
          <w:sz w:val="20"/>
          <w:szCs w:val="20"/>
        </w:rPr>
        <w:instrText xml:space="preserve"> ADDIN ZOTERO_BIBL {"uncited":[],"omitted":[],"custom":[]} CSL_BIBLIOGRAPHY </w:instrText>
      </w:r>
      <w:r>
        <w:rPr>
          <w:sz w:val="20"/>
          <w:szCs w:val="20"/>
        </w:rPr>
        <w:fldChar w:fldCharType="separate"/>
      </w:r>
      <w:r w:rsidRPr="00392132">
        <w:rPr>
          <w:rFonts w:ascii="Times New Roman" w:hAnsi="Times New Roman"/>
          <w:sz w:val="20"/>
        </w:rPr>
        <w:t xml:space="preserve">1. </w:t>
      </w:r>
      <w:r w:rsidRPr="00392132">
        <w:rPr>
          <w:rFonts w:ascii="Times New Roman" w:hAnsi="Times New Roman"/>
          <w:sz w:val="20"/>
        </w:rPr>
        <w:tab/>
        <w:t xml:space="preserve">Wan N, Zou B, Sternberg T. A three-step floating catchment area method for analyzing spatial access to health services. </w:t>
      </w:r>
      <w:r w:rsidRPr="00392132">
        <w:rPr>
          <w:rFonts w:ascii="Times New Roman" w:hAnsi="Times New Roman"/>
          <w:i/>
          <w:iCs/>
          <w:sz w:val="20"/>
        </w:rPr>
        <w:t xml:space="preserve">Int J </w:t>
      </w:r>
      <w:proofErr w:type="spellStart"/>
      <w:r w:rsidRPr="00392132">
        <w:rPr>
          <w:rFonts w:ascii="Times New Roman" w:hAnsi="Times New Roman"/>
          <w:i/>
          <w:iCs/>
          <w:sz w:val="20"/>
        </w:rPr>
        <w:t>Geogr</w:t>
      </w:r>
      <w:proofErr w:type="spellEnd"/>
      <w:r w:rsidRPr="00392132">
        <w:rPr>
          <w:rFonts w:ascii="Times New Roman" w:hAnsi="Times New Roman"/>
          <w:i/>
          <w:iCs/>
          <w:sz w:val="20"/>
        </w:rPr>
        <w:t xml:space="preserve"> Inf Sci</w:t>
      </w:r>
      <w:r w:rsidRPr="00392132">
        <w:rPr>
          <w:rFonts w:ascii="Times New Roman" w:hAnsi="Times New Roman"/>
          <w:sz w:val="20"/>
        </w:rPr>
        <w:t>. 2012;26(6):1073-1089. doi:10.1080/13658816.2011.624987</w:t>
      </w:r>
    </w:p>
    <w:p w14:paraId="57EDA7F3" w14:textId="77777777" w:rsidR="00A01799" w:rsidRPr="00392132" w:rsidRDefault="00A01799" w:rsidP="00A01799">
      <w:pPr>
        <w:pStyle w:val="Bibliography"/>
        <w:rPr>
          <w:rFonts w:ascii="Times New Roman" w:hAnsi="Times New Roman"/>
          <w:sz w:val="20"/>
        </w:rPr>
      </w:pPr>
      <w:r w:rsidRPr="00392132">
        <w:rPr>
          <w:rFonts w:ascii="Times New Roman" w:hAnsi="Times New Roman"/>
          <w:sz w:val="20"/>
        </w:rPr>
        <w:t xml:space="preserve">2. </w:t>
      </w:r>
      <w:r w:rsidRPr="00392132">
        <w:rPr>
          <w:rFonts w:ascii="Times New Roman" w:hAnsi="Times New Roman"/>
          <w:sz w:val="20"/>
        </w:rPr>
        <w:tab/>
      </w:r>
      <w:proofErr w:type="spellStart"/>
      <w:r w:rsidRPr="00392132">
        <w:rPr>
          <w:rFonts w:ascii="Times New Roman" w:hAnsi="Times New Roman"/>
          <w:sz w:val="20"/>
        </w:rPr>
        <w:t>Guagliardo</w:t>
      </w:r>
      <w:proofErr w:type="spellEnd"/>
      <w:r w:rsidRPr="00392132">
        <w:rPr>
          <w:rFonts w:ascii="Times New Roman" w:hAnsi="Times New Roman"/>
          <w:sz w:val="20"/>
        </w:rPr>
        <w:t xml:space="preserve"> MF. Spatial accessibility of primary care: concepts, methods and challenges. </w:t>
      </w:r>
      <w:r w:rsidRPr="00392132">
        <w:rPr>
          <w:rFonts w:ascii="Times New Roman" w:hAnsi="Times New Roman"/>
          <w:i/>
          <w:iCs/>
          <w:sz w:val="20"/>
        </w:rPr>
        <w:t xml:space="preserve">Int J Health </w:t>
      </w:r>
      <w:proofErr w:type="spellStart"/>
      <w:r w:rsidRPr="00392132">
        <w:rPr>
          <w:rFonts w:ascii="Times New Roman" w:hAnsi="Times New Roman"/>
          <w:i/>
          <w:iCs/>
          <w:sz w:val="20"/>
        </w:rPr>
        <w:t>Geogr</w:t>
      </w:r>
      <w:proofErr w:type="spellEnd"/>
      <w:r w:rsidRPr="00392132">
        <w:rPr>
          <w:rFonts w:ascii="Times New Roman" w:hAnsi="Times New Roman"/>
          <w:sz w:val="20"/>
        </w:rPr>
        <w:t>. 2004;3(1):3. doi:10.1186/1476-072X-3-3</w:t>
      </w:r>
    </w:p>
    <w:p w14:paraId="5350ED64" w14:textId="77777777" w:rsidR="00A01799" w:rsidRPr="00392132" w:rsidRDefault="00A01799" w:rsidP="00A01799">
      <w:pPr>
        <w:pStyle w:val="Bibliography"/>
        <w:rPr>
          <w:rFonts w:ascii="Times New Roman" w:hAnsi="Times New Roman"/>
          <w:sz w:val="20"/>
        </w:rPr>
      </w:pPr>
      <w:r w:rsidRPr="00392132">
        <w:rPr>
          <w:rFonts w:ascii="Times New Roman" w:hAnsi="Times New Roman"/>
          <w:sz w:val="20"/>
        </w:rPr>
        <w:t xml:space="preserve">3. </w:t>
      </w:r>
      <w:r w:rsidRPr="00392132">
        <w:rPr>
          <w:rFonts w:ascii="Times New Roman" w:hAnsi="Times New Roman"/>
          <w:sz w:val="20"/>
        </w:rPr>
        <w:tab/>
        <w:t xml:space="preserve">Luo W, Qi Y. An enhanced two-step floating catchment area (E2SFCA) method for measuring spatial accessibility to primary care physicians. </w:t>
      </w:r>
      <w:r w:rsidRPr="00392132">
        <w:rPr>
          <w:rFonts w:ascii="Times New Roman" w:hAnsi="Times New Roman"/>
          <w:i/>
          <w:iCs/>
          <w:sz w:val="20"/>
        </w:rPr>
        <w:t>Health Place</w:t>
      </w:r>
      <w:r w:rsidRPr="00392132">
        <w:rPr>
          <w:rFonts w:ascii="Times New Roman" w:hAnsi="Times New Roman"/>
          <w:sz w:val="20"/>
        </w:rPr>
        <w:t xml:space="preserve">. 2009;15(4):1100-1107. </w:t>
      </w:r>
      <w:proofErr w:type="gramStart"/>
      <w:r w:rsidRPr="00392132">
        <w:rPr>
          <w:rFonts w:ascii="Times New Roman" w:hAnsi="Times New Roman"/>
          <w:sz w:val="20"/>
        </w:rPr>
        <w:t>doi:10.1016/j.healthplace</w:t>
      </w:r>
      <w:proofErr w:type="gramEnd"/>
      <w:r w:rsidRPr="00392132">
        <w:rPr>
          <w:rFonts w:ascii="Times New Roman" w:hAnsi="Times New Roman"/>
          <w:sz w:val="20"/>
        </w:rPr>
        <w:t>.2009.06.002</w:t>
      </w:r>
    </w:p>
    <w:p w14:paraId="62B0068B" w14:textId="77777777" w:rsidR="00A01799" w:rsidRPr="00392132" w:rsidRDefault="00A01799" w:rsidP="00A01799">
      <w:pPr>
        <w:pStyle w:val="Bibliography"/>
        <w:rPr>
          <w:rFonts w:ascii="Times New Roman" w:hAnsi="Times New Roman"/>
          <w:sz w:val="20"/>
        </w:rPr>
      </w:pPr>
      <w:r w:rsidRPr="00392132">
        <w:rPr>
          <w:rFonts w:ascii="Times New Roman" w:hAnsi="Times New Roman"/>
          <w:sz w:val="20"/>
        </w:rPr>
        <w:t xml:space="preserve">4. </w:t>
      </w:r>
      <w:r w:rsidRPr="00392132">
        <w:rPr>
          <w:rFonts w:ascii="Times New Roman" w:hAnsi="Times New Roman"/>
          <w:sz w:val="20"/>
        </w:rPr>
        <w:tab/>
        <w:t xml:space="preserve">Wan N, Zhan FB, Zou B, Chow E. A relative spatial access assessment approach for analyzing potential spatial access to colorectal cancer services in Texas. </w:t>
      </w:r>
      <w:r w:rsidRPr="00392132">
        <w:rPr>
          <w:rFonts w:ascii="Times New Roman" w:hAnsi="Times New Roman"/>
          <w:i/>
          <w:iCs/>
          <w:sz w:val="20"/>
        </w:rPr>
        <w:t xml:space="preserve">Appl </w:t>
      </w:r>
      <w:proofErr w:type="spellStart"/>
      <w:r w:rsidRPr="00392132">
        <w:rPr>
          <w:rFonts w:ascii="Times New Roman" w:hAnsi="Times New Roman"/>
          <w:i/>
          <w:iCs/>
          <w:sz w:val="20"/>
        </w:rPr>
        <w:t>Geogr</w:t>
      </w:r>
      <w:proofErr w:type="spellEnd"/>
      <w:r w:rsidRPr="00392132">
        <w:rPr>
          <w:rFonts w:ascii="Times New Roman" w:hAnsi="Times New Roman"/>
          <w:sz w:val="20"/>
        </w:rPr>
        <w:t xml:space="preserve">. 2012;32(2):291-299. </w:t>
      </w:r>
      <w:proofErr w:type="gramStart"/>
      <w:r w:rsidRPr="00392132">
        <w:rPr>
          <w:rFonts w:ascii="Times New Roman" w:hAnsi="Times New Roman"/>
          <w:sz w:val="20"/>
        </w:rPr>
        <w:t>doi:10.1016/j.apgeog</w:t>
      </w:r>
      <w:proofErr w:type="gramEnd"/>
      <w:r w:rsidRPr="00392132">
        <w:rPr>
          <w:rFonts w:ascii="Times New Roman" w:hAnsi="Times New Roman"/>
          <w:sz w:val="20"/>
        </w:rPr>
        <w:t>.2011.05.001</w:t>
      </w:r>
    </w:p>
    <w:p w14:paraId="15F7EDF2" w14:textId="77777777" w:rsidR="00A01799" w:rsidRPr="00392132" w:rsidRDefault="00A01799" w:rsidP="00A01799">
      <w:pPr>
        <w:pStyle w:val="Bibliography"/>
        <w:rPr>
          <w:rFonts w:ascii="Times New Roman" w:hAnsi="Times New Roman"/>
          <w:sz w:val="20"/>
        </w:rPr>
      </w:pPr>
      <w:r w:rsidRPr="00392132">
        <w:rPr>
          <w:rFonts w:ascii="Times New Roman" w:hAnsi="Times New Roman"/>
          <w:sz w:val="20"/>
        </w:rPr>
        <w:t xml:space="preserve">5. </w:t>
      </w:r>
      <w:r w:rsidRPr="00392132">
        <w:rPr>
          <w:rFonts w:ascii="Times New Roman" w:hAnsi="Times New Roman"/>
          <w:sz w:val="20"/>
        </w:rPr>
        <w:tab/>
        <w:t xml:space="preserve">Joseph AE, </w:t>
      </w:r>
      <w:proofErr w:type="spellStart"/>
      <w:r w:rsidRPr="00392132">
        <w:rPr>
          <w:rFonts w:ascii="Times New Roman" w:hAnsi="Times New Roman"/>
          <w:sz w:val="20"/>
        </w:rPr>
        <w:t>Bantock</w:t>
      </w:r>
      <w:proofErr w:type="spellEnd"/>
      <w:r w:rsidRPr="00392132">
        <w:rPr>
          <w:rFonts w:ascii="Times New Roman" w:hAnsi="Times New Roman"/>
          <w:sz w:val="20"/>
        </w:rPr>
        <w:t xml:space="preserve"> PR. Measuring potential physical accessibility to general practitioners in rural areas: A method and case study. </w:t>
      </w:r>
      <w:r w:rsidRPr="00392132">
        <w:rPr>
          <w:rFonts w:ascii="Times New Roman" w:hAnsi="Times New Roman"/>
          <w:i/>
          <w:iCs/>
          <w:sz w:val="20"/>
        </w:rPr>
        <w:t>Soc Sci Med</w:t>
      </w:r>
      <w:r w:rsidRPr="00392132">
        <w:rPr>
          <w:rFonts w:ascii="Times New Roman" w:hAnsi="Times New Roman"/>
          <w:sz w:val="20"/>
        </w:rPr>
        <w:t>. 1982;16(1):85-90. doi:10.1016/0277-9536(82)90428-2</w:t>
      </w:r>
    </w:p>
    <w:p w14:paraId="63702285" w14:textId="77777777" w:rsidR="00A01799" w:rsidRPr="00392132" w:rsidRDefault="00A01799" w:rsidP="00A01799">
      <w:pPr>
        <w:pStyle w:val="Bibliography"/>
        <w:rPr>
          <w:rFonts w:ascii="Times New Roman" w:hAnsi="Times New Roman"/>
          <w:sz w:val="20"/>
        </w:rPr>
      </w:pPr>
      <w:r w:rsidRPr="00392132">
        <w:rPr>
          <w:rFonts w:ascii="Times New Roman" w:hAnsi="Times New Roman"/>
          <w:sz w:val="20"/>
        </w:rPr>
        <w:t xml:space="preserve">6. </w:t>
      </w:r>
      <w:r w:rsidRPr="00392132">
        <w:rPr>
          <w:rFonts w:ascii="Times New Roman" w:hAnsi="Times New Roman"/>
          <w:sz w:val="20"/>
        </w:rPr>
        <w:tab/>
        <w:t xml:space="preserve">McGrail MR. Spatial accessibility of primary health care </w:t>
      </w:r>
      <w:proofErr w:type="spellStart"/>
      <w:r w:rsidRPr="00392132">
        <w:rPr>
          <w:rFonts w:ascii="Times New Roman" w:hAnsi="Times New Roman"/>
          <w:sz w:val="20"/>
        </w:rPr>
        <w:t>utilising</w:t>
      </w:r>
      <w:proofErr w:type="spellEnd"/>
      <w:r w:rsidRPr="00392132">
        <w:rPr>
          <w:rFonts w:ascii="Times New Roman" w:hAnsi="Times New Roman"/>
          <w:sz w:val="20"/>
        </w:rPr>
        <w:t xml:space="preserve"> the </w:t>
      </w:r>
      <w:proofErr w:type="gramStart"/>
      <w:r w:rsidRPr="00392132">
        <w:rPr>
          <w:rFonts w:ascii="Times New Roman" w:hAnsi="Times New Roman"/>
          <w:sz w:val="20"/>
        </w:rPr>
        <w:t>two step</w:t>
      </w:r>
      <w:proofErr w:type="gramEnd"/>
      <w:r w:rsidRPr="00392132">
        <w:rPr>
          <w:rFonts w:ascii="Times New Roman" w:hAnsi="Times New Roman"/>
          <w:sz w:val="20"/>
        </w:rPr>
        <w:t xml:space="preserve"> floating catchment area method: an assessment of recent improvements. </w:t>
      </w:r>
      <w:r w:rsidRPr="00392132">
        <w:rPr>
          <w:rFonts w:ascii="Times New Roman" w:hAnsi="Times New Roman"/>
          <w:i/>
          <w:iCs/>
          <w:sz w:val="20"/>
        </w:rPr>
        <w:t xml:space="preserve">Int J Health </w:t>
      </w:r>
      <w:proofErr w:type="spellStart"/>
      <w:r w:rsidRPr="00392132">
        <w:rPr>
          <w:rFonts w:ascii="Times New Roman" w:hAnsi="Times New Roman"/>
          <w:i/>
          <w:iCs/>
          <w:sz w:val="20"/>
        </w:rPr>
        <w:t>Geogr</w:t>
      </w:r>
      <w:proofErr w:type="spellEnd"/>
      <w:r w:rsidRPr="00392132">
        <w:rPr>
          <w:rFonts w:ascii="Times New Roman" w:hAnsi="Times New Roman"/>
          <w:sz w:val="20"/>
        </w:rPr>
        <w:t>. 2012;11(1):50. doi:10.1186/1476-072X-11-50</w:t>
      </w:r>
    </w:p>
    <w:p w14:paraId="5FE93EB4" w14:textId="77777777" w:rsidR="00A01799" w:rsidRPr="00392132" w:rsidRDefault="00A01799" w:rsidP="00A01799">
      <w:pPr>
        <w:pStyle w:val="Bibliography"/>
        <w:rPr>
          <w:rFonts w:ascii="Times New Roman" w:hAnsi="Times New Roman"/>
          <w:sz w:val="20"/>
        </w:rPr>
      </w:pPr>
      <w:r w:rsidRPr="00392132">
        <w:rPr>
          <w:rFonts w:ascii="Times New Roman" w:hAnsi="Times New Roman"/>
          <w:sz w:val="20"/>
        </w:rPr>
        <w:t xml:space="preserve">7. </w:t>
      </w:r>
      <w:r w:rsidRPr="00392132">
        <w:rPr>
          <w:rFonts w:ascii="Times New Roman" w:hAnsi="Times New Roman"/>
          <w:sz w:val="20"/>
        </w:rPr>
        <w:tab/>
        <w:t xml:space="preserve">Drake C, Nagy D, Nguyen T, et al. A comparison of methods for measuring spatial access to health care. </w:t>
      </w:r>
      <w:r w:rsidRPr="00392132">
        <w:rPr>
          <w:rFonts w:ascii="Times New Roman" w:hAnsi="Times New Roman"/>
          <w:i/>
          <w:iCs/>
          <w:sz w:val="20"/>
        </w:rPr>
        <w:t>Health Serv Res</w:t>
      </w:r>
      <w:r w:rsidRPr="00392132">
        <w:rPr>
          <w:rFonts w:ascii="Times New Roman" w:hAnsi="Times New Roman"/>
          <w:sz w:val="20"/>
        </w:rPr>
        <w:t>. 2021;56(5):777-787. doi:10.1111/1475-6773.13700</w:t>
      </w:r>
    </w:p>
    <w:p w14:paraId="121758EF" w14:textId="77777777" w:rsidR="00A01799" w:rsidRPr="00392132" w:rsidRDefault="00A01799" w:rsidP="00A01799">
      <w:pPr>
        <w:pStyle w:val="Bibliography"/>
        <w:rPr>
          <w:rFonts w:ascii="Times New Roman" w:hAnsi="Times New Roman"/>
          <w:sz w:val="20"/>
        </w:rPr>
      </w:pPr>
      <w:r w:rsidRPr="00392132">
        <w:rPr>
          <w:rFonts w:ascii="Times New Roman" w:hAnsi="Times New Roman"/>
          <w:sz w:val="20"/>
        </w:rPr>
        <w:t xml:space="preserve">8. </w:t>
      </w:r>
      <w:r w:rsidRPr="00392132">
        <w:rPr>
          <w:rFonts w:ascii="Times New Roman" w:hAnsi="Times New Roman"/>
          <w:sz w:val="20"/>
        </w:rPr>
        <w:tab/>
        <w:t xml:space="preserve">Naylor KB, Tootoo J, </w:t>
      </w:r>
      <w:proofErr w:type="spellStart"/>
      <w:r w:rsidRPr="00392132">
        <w:rPr>
          <w:rFonts w:ascii="Times New Roman" w:hAnsi="Times New Roman"/>
          <w:sz w:val="20"/>
        </w:rPr>
        <w:t>Yakusheva</w:t>
      </w:r>
      <w:proofErr w:type="spellEnd"/>
      <w:r w:rsidRPr="00392132">
        <w:rPr>
          <w:rFonts w:ascii="Times New Roman" w:hAnsi="Times New Roman"/>
          <w:sz w:val="20"/>
        </w:rPr>
        <w:t xml:space="preserve"> O, Shipman SA, Bynum JPW, Davis MA. Geographic variation in spatial accessibility of U.S. healthcare providers. </w:t>
      </w:r>
      <w:proofErr w:type="spellStart"/>
      <w:r w:rsidRPr="00392132">
        <w:rPr>
          <w:rFonts w:ascii="Times New Roman" w:hAnsi="Times New Roman"/>
          <w:i/>
          <w:iCs/>
          <w:sz w:val="20"/>
        </w:rPr>
        <w:t>PLoS</w:t>
      </w:r>
      <w:proofErr w:type="spellEnd"/>
      <w:r w:rsidRPr="00392132">
        <w:rPr>
          <w:rFonts w:ascii="Times New Roman" w:hAnsi="Times New Roman"/>
          <w:i/>
          <w:iCs/>
          <w:sz w:val="20"/>
        </w:rPr>
        <w:t xml:space="preserve"> ONE</w:t>
      </w:r>
      <w:r w:rsidRPr="00392132">
        <w:rPr>
          <w:rFonts w:ascii="Times New Roman" w:hAnsi="Times New Roman"/>
          <w:sz w:val="20"/>
        </w:rPr>
        <w:t>. 2019;14(4</w:t>
      </w:r>
      <w:proofErr w:type="gramStart"/>
      <w:r w:rsidRPr="00392132">
        <w:rPr>
          <w:rFonts w:ascii="Times New Roman" w:hAnsi="Times New Roman"/>
          <w:sz w:val="20"/>
        </w:rPr>
        <w:t>):e</w:t>
      </w:r>
      <w:proofErr w:type="gramEnd"/>
      <w:r w:rsidRPr="00392132">
        <w:rPr>
          <w:rFonts w:ascii="Times New Roman" w:hAnsi="Times New Roman"/>
          <w:sz w:val="20"/>
        </w:rPr>
        <w:t xml:space="preserve">0215016. </w:t>
      </w:r>
      <w:proofErr w:type="gramStart"/>
      <w:r w:rsidRPr="00392132">
        <w:rPr>
          <w:rFonts w:ascii="Times New Roman" w:hAnsi="Times New Roman"/>
          <w:sz w:val="20"/>
        </w:rPr>
        <w:t>doi:10.1371/journal.pone</w:t>
      </w:r>
      <w:proofErr w:type="gramEnd"/>
      <w:r w:rsidRPr="00392132">
        <w:rPr>
          <w:rFonts w:ascii="Times New Roman" w:hAnsi="Times New Roman"/>
          <w:sz w:val="20"/>
        </w:rPr>
        <w:t>.0215016</w:t>
      </w:r>
    </w:p>
    <w:p w14:paraId="24BB7EA0" w14:textId="77777777" w:rsidR="00A01799" w:rsidRPr="00392132" w:rsidRDefault="00A01799" w:rsidP="00A01799">
      <w:pPr>
        <w:pStyle w:val="Bibliography"/>
        <w:rPr>
          <w:rFonts w:ascii="Times New Roman" w:hAnsi="Times New Roman"/>
          <w:sz w:val="20"/>
        </w:rPr>
      </w:pPr>
      <w:r w:rsidRPr="00392132">
        <w:rPr>
          <w:rFonts w:ascii="Times New Roman" w:hAnsi="Times New Roman"/>
          <w:sz w:val="20"/>
        </w:rPr>
        <w:t xml:space="preserve">9. </w:t>
      </w:r>
      <w:r w:rsidRPr="00392132">
        <w:rPr>
          <w:rFonts w:ascii="Times New Roman" w:hAnsi="Times New Roman"/>
          <w:sz w:val="20"/>
        </w:rPr>
        <w:tab/>
        <w:t xml:space="preserve">Wan N, Zhan FB, Zou B, Wilson JG. Spatial Access to Health Care Services and Disparities in Colorectal Cancer Stage at Diagnosis in Texas. </w:t>
      </w:r>
      <w:r w:rsidRPr="00392132">
        <w:rPr>
          <w:rFonts w:ascii="Times New Roman" w:hAnsi="Times New Roman"/>
          <w:i/>
          <w:iCs/>
          <w:sz w:val="20"/>
        </w:rPr>
        <w:t xml:space="preserve">Prof </w:t>
      </w:r>
      <w:proofErr w:type="spellStart"/>
      <w:r w:rsidRPr="00392132">
        <w:rPr>
          <w:rFonts w:ascii="Times New Roman" w:hAnsi="Times New Roman"/>
          <w:i/>
          <w:iCs/>
          <w:sz w:val="20"/>
        </w:rPr>
        <w:t>Geogr</w:t>
      </w:r>
      <w:proofErr w:type="spellEnd"/>
      <w:r w:rsidRPr="00392132">
        <w:rPr>
          <w:rFonts w:ascii="Times New Roman" w:hAnsi="Times New Roman"/>
          <w:sz w:val="20"/>
        </w:rPr>
        <w:t>. 2013;65(3):527-541. doi:10.1080/00330124.2012.700502</w:t>
      </w:r>
    </w:p>
    <w:p w14:paraId="47F583A3" w14:textId="77777777" w:rsidR="00A01799" w:rsidRPr="00392132" w:rsidRDefault="00A01799" w:rsidP="00A01799">
      <w:pPr>
        <w:pStyle w:val="Bibliography"/>
        <w:rPr>
          <w:rFonts w:ascii="Times New Roman" w:hAnsi="Times New Roman"/>
          <w:sz w:val="20"/>
        </w:rPr>
      </w:pPr>
      <w:r w:rsidRPr="00392132">
        <w:rPr>
          <w:rFonts w:ascii="Times New Roman" w:hAnsi="Times New Roman"/>
          <w:sz w:val="20"/>
        </w:rPr>
        <w:lastRenderedPageBreak/>
        <w:t xml:space="preserve">10. </w:t>
      </w:r>
      <w:r w:rsidRPr="00392132">
        <w:rPr>
          <w:rFonts w:ascii="Times New Roman" w:hAnsi="Times New Roman"/>
          <w:sz w:val="20"/>
        </w:rPr>
        <w:tab/>
        <w:t xml:space="preserve">Wan N, McCrum M, Han J, et al. Measuring spatial access to emergency general surgery services: does the method matter? </w:t>
      </w:r>
      <w:r w:rsidRPr="00392132">
        <w:rPr>
          <w:rFonts w:ascii="Times New Roman" w:hAnsi="Times New Roman"/>
          <w:i/>
          <w:iCs/>
          <w:sz w:val="20"/>
        </w:rPr>
        <w:t xml:space="preserve">Health Serv Outcomes Res </w:t>
      </w:r>
      <w:proofErr w:type="spellStart"/>
      <w:r w:rsidRPr="00392132">
        <w:rPr>
          <w:rFonts w:ascii="Times New Roman" w:hAnsi="Times New Roman"/>
          <w:i/>
          <w:iCs/>
          <w:sz w:val="20"/>
        </w:rPr>
        <w:t>Methodol</w:t>
      </w:r>
      <w:proofErr w:type="spellEnd"/>
      <w:r w:rsidRPr="00392132">
        <w:rPr>
          <w:rFonts w:ascii="Times New Roman" w:hAnsi="Times New Roman"/>
          <w:sz w:val="20"/>
        </w:rPr>
        <w:t>. Published online 2021. doi:10.1007/s10742-021-00254-8</w:t>
      </w:r>
    </w:p>
    <w:p w14:paraId="30C7D0F1" w14:textId="77777777" w:rsidR="00A01799" w:rsidRPr="00392132" w:rsidRDefault="00A01799" w:rsidP="00A01799">
      <w:pPr>
        <w:pStyle w:val="Bibliography"/>
        <w:rPr>
          <w:rFonts w:ascii="Times New Roman" w:hAnsi="Times New Roman"/>
          <w:sz w:val="20"/>
        </w:rPr>
      </w:pPr>
      <w:r w:rsidRPr="00392132">
        <w:rPr>
          <w:rFonts w:ascii="Times New Roman" w:hAnsi="Times New Roman"/>
          <w:sz w:val="20"/>
        </w:rPr>
        <w:t xml:space="preserve">11. </w:t>
      </w:r>
      <w:r w:rsidRPr="00392132">
        <w:rPr>
          <w:rFonts w:ascii="Times New Roman" w:hAnsi="Times New Roman"/>
          <w:sz w:val="20"/>
        </w:rPr>
        <w:tab/>
        <w:t xml:space="preserve">McCrum ML, Wan N, Lizotte SL, Han J, Varghese T, </w:t>
      </w:r>
      <w:proofErr w:type="spellStart"/>
      <w:r w:rsidRPr="00392132">
        <w:rPr>
          <w:rFonts w:ascii="Times New Roman" w:hAnsi="Times New Roman"/>
          <w:sz w:val="20"/>
        </w:rPr>
        <w:t>Nirula</w:t>
      </w:r>
      <w:proofErr w:type="spellEnd"/>
      <w:r w:rsidRPr="00392132">
        <w:rPr>
          <w:rFonts w:ascii="Times New Roman" w:hAnsi="Times New Roman"/>
          <w:sz w:val="20"/>
        </w:rPr>
        <w:t xml:space="preserve"> R. Use of the spatial access ratio to measure geospatial access to emergency general surgery services in California. </w:t>
      </w:r>
      <w:r w:rsidRPr="00392132">
        <w:rPr>
          <w:rFonts w:ascii="Times New Roman" w:hAnsi="Times New Roman"/>
          <w:i/>
          <w:iCs/>
          <w:sz w:val="20"/>
        </w:rPr>
        <w:t>J Trauma Acute Care Surg</w:t>
      </w:r>
      <w:r w:rsidRPr="00392132">
        <w:rPr>
          <w:rFonts w:ascii="Times New Roman" w:hAnsi="Times New Roman"/>
          <w:sz w:val="20"/>
        </w:rPr>
        <w:t>. 2021;90(5):853-860. doi:10.1097/TA.0000000000003087</w:t>
      </w:r>
    </w:p>
    <w:p w14:paraId="7B7F7100" w14:textId="7CA78763" w:rsidR="00A01799" w:rsidRPr="00A01799" w:rsidRDefault="00A01799" w:rsidP="00A01799">
      <w:pPr>
        <w:rPr>
          <w:rFonts w:ascii="Times New Roman" w:hAnsi="Times New Roman"/>
          <w:sz w:val="20"/>
          <w:szCs w:val="20"/>
        </w:rPr>
      </w:pPr>
      <w:r>
        <w:rPr>
          <w:rFonts w:ascii="Times New Roman" w:hAnsi="Times New Roman"/>
          <w:sz w:val="20"/>
          <w:szCs w:val="20"/>
        </w:rPr>
        <w:fldChar w:fldCharType="end"/>
      </w:r>
    </w:p>
    <w:sectPr w:rsidR="00A01799" w:rsidRPr="00A01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C45"/>
    <w:rsid w:val="0034789B"/>
    <w:rsid w:val="00A01799"/>
    <w:rsid w:val="00A64C45"/>
    <w:rsid w:val="00EA0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202D1F"/>
  <w15:chartTrackingRefBased/>
  <w15:docId w15:val="{D2296103-B341-4C45-A095-3F475734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C45"/>
    <w:pPr>
      <w:spacing w:after="160" w:line="259" w:lineRule="auto"/>
    </w:pPr>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A01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7343</Words>
  <Characters>41857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MCCRUM</dc:creator>
  <cp:keywords/>
  <dc:description/>
  <cp:lastModifiedBy>MARTA MCCRUM</cp:lastModifiedBy>
  <cp:revision>1</cp:revision>
  <dcterms:created xsi:type="dcterms:W3CDTF">2022-07-31T22:09:00Z</dcterms:created>
  <dcterms:modified xsi:type="dcterms:W3CDTF">2022-07-31T22:27:00Z</dcterms:modified>
</cp:coreProperties>
</file>