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EEB1" w14:textId="18B9ABAB" w:rsidR="00710A68" w:rsidRPr="00A11116" w:rsidRDefault="00710A6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A11116">
        <w:rPr>
          <w:rFonts w:ascii="Times New Roman" w:hAnsi="Times New Roman" w:cs="Times New Roman"/>
          <w:b/>
          <w:bCs/>
          <w:sz w:val="22"/>
          <w:szCs w:val="22"/>
        </w:rPr>
        <w:t>eTable</w:t>
      </w:r>
      <w:proofErr w:type="spellEnd"/>
      <w:r w:rsidRPr="00A11116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Pr="00A11116">
        <w:rPr>
          <w:rFonts w:ascii="Times New Roman" w:hAnsi="Times New Roman" w:cs="Times New Roman"/>
          <w:sz w:val="22"/>
          <w:szCs w:val="22"/>
        </w:rPr>
        <w:t>: International Classification of Diseases 9</w:t>
      </w:r>
      <w:r w:rsidRPr="00A1111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11116">
        <w:rPr>
          <w:rFonts w:ascii="Times New Roman" w:hAnsi="Times New Roman" w:cs="Times New Roman"/>
          <w:sz w:val="22"/>
          <w:szCs w:val="22"/>
        </w:rPr>
        <w:t xml:space="preserve"> Edition (ICD-9) codes for EGS Conditions</w:t>
      </w:r>
    </w:p>
    <w:p w14:paraId="25FB7213" w14:textId="3A540A29" w:rsidR="00710A68" w:rsidRDefault="00710A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906"/>
        <w:gridCol w:w="2906"/>
      </w:tblGrid>
      <w:tr w:rsidR="0094740D" w:rsidRPr="00A11116" w14:paraId="57CD5DD6" w14:textId="77777777" w:rsidTr="0094740D">
        <w:tc>
          <w:tcPr>
            <w:tcW w:w="2463" w:type="dxa"/>
          </w:tcPr>
          <w:p w14:paraId="4669481B" w14:textId="77777777" w:rsidR="0094740D" w:rsidRPr="00A11116" w:rsidRDefault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00010A5" w14:textId="151987E6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Uncomplicated</w:t>
            </w:r>
          </w:p>
        </w:tc>
        <w:tc>
          <w:tcPr>
            <w:tcW w:w="2906" w:type="dxa"/>
          </w:tcPr>
          <w:p w14:paraId="2BEEE0DC" w14:textId="48D9A01D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</w:t>
            </w: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1C2A54D" w14:textId="47E0F25A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40D" w:rsidRPr="00A11116" w14:paraId="216A2382" w14:textId="77777777" w:rsidTr="0094740D">
        <w:tc>
          <w:tcPr>
            <w:tcW w:w="2463" w:type="dxa"/>
          </w:tcPr>
          <w:p w14:paraId="7C95B7F3" w14:textId="0D9308F6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Appendicitis</w:t>
            </w:r>
          </w:p>
        </w:tc>
        <w:tc>
          <w:tcPr>
            <w:tcW w:w="2906" w:type="dxa"/>
          </w:tcPr>
          <w:p w14:paraId="1B8DD945" w14:textId="77777777" w:rsidR="0094740D" w:rsidRPr="00A11116" w:rsidRDefault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540.9</w:t>
            </w:r>
          </w:p>
          <w:p w14:paraId="16BEE3FC" w14:textId="332E8AC1" w:rsidR="0094740D" w:rsidRPr="00A11116" w:rsidRDefault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906" w:type="dxa"/>
          </w:tcPr>
          <w:p w14:paraId="6B300A1F" w14:textId="77777777" w:rsidR="0094740D" w:rsidRPr="00A11116" w:rsidRDefault="0094740D" w:rsidP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14:paraId="01BAA89C" w14:textId="2D013961" w:rsidR="0094740D" w:rsidRPr="00A11116" w:rsidRDefault="0094740D" w:rsidP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540.1</w:t>
            </w:r>
          </w:p>
        </w:tc>
      </w:tr>
      <w:tr w:rsidR="0094740D" w:rsidRPr="00A11116" w14:paraId="6699A126" w14:textId="77777777" w:rsidTr="0094740D">
        <w:tc>
          <w:tcPr>
            <w:tcW w:w="2463" w:type="dxa"/>
          </w:tcPr>
          <w:p w14:paraId="7FE0F4D6" w14:textId="1634B949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Cholecystitis</w:t>
            </w:r>
          </w:p>
        </w:tc>
        <w:tc>
          <w:tcPr>
            <w:tcW w:w="2906" w:type="dxa"/>
          </w:tcPr>
          <w:p w14:paraId="1911A4BE" w14:textId="2A2E1646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  <w:p w14:paraId="479E1D11" w14:textId="7AAB4F64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574.01; </w:t>
            </w:r>
          </w:p>
          <w:p w14:paraId="0D12EC7B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574.3</w:t>
            </w:r>
          </w:p>
          <w:p w14:paraId="598F1557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574.31</w:t>
            </w:r>
          </w:p>
          <w:p w14:paraId="56C66E0D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574.6</w:t>
            </w:r>
          </w:p>
          <w:p w14:paraId="62313EE4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574.61</w:t>
            </w:r>
          </w:p>
          <w:p w14:paraId="7CF1929F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574.8</w:t>
            </w:r>
          </w:p>
          <w:p w14:paraId="356EB5A7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574.81</w:t>
            </w:r>
          </w:p>
          <w:p w14:paraId="3A3D30A3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  <w:p w14:paraId="2694237A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575.12</w:t>
            </w:r>
          </w:p>
          <w:p w14:paraId="514FAB20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575.2</w:t>
            </w:r>
          </w:p>
          <w:p w14:paraId="741DA1F0" w14:textId="2E082BD0" w:rsidR="0094740D" w:rsidRPr="00A11116" w:rsidRDefault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575.3</w:t>
            </w:r>
          </w:p>
        </w:tc>
        <w:tc>
          <w:tcPr>
            <w:tcW w:w="2906" w:type="dxa"/>
          </w:tcPr>
          <w:p w14:paraId="72496524" w14:textId="51EE7651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567.21</w:t>
            </w:r>
          </w:p>
          <w:p w14:paraId="1D55FDA8" w14:textId="7743E24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567.22</w:t>
            </w:r>
          </w:p>
          <w:p w14:paraId="6F33772D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567.29</w:t>
            </w:r>
          </w:p>
          <w:p w14:paraId="11B5D007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567.81</w:t>
            </w:r>
          </w:p>
          <w:p w14:paraId="70AFECCD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614.5</w:t>
            </w:r>
          </w:p>
          <w:p w14:paraId="162A85C8" w14:textId="77777777" w:rsidR="0094740D" w:rsidRPr="00A11116" w:rsidRDefault="0094740D" w:rsidP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575.4</w:t>
            </w:r>
          </w:p>
          <w:p w14:paraId="785B0944" w14:textId="77777777" w:rsidR="0094740D" w:rsidRPr="00A11116" w:rsidRDefault="0094740D" w:rsidP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575.5</w:t>
            </w:r>
          </w:p>
          <w:p w14:paraId="577F7E12" w14:textId="77777777" w:rsidR="0094740D" w:rsidRPr="00A11116" w:rsidRDefault="0094740D" w:rsidP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576.1</w:t>
            </w:r>
          </w:p>
          <w:p w14:paraId="511468DB" w14:textId="77777777" w:rsidR="0094740D" w:rsidRPr="00A11116" w:rsidRDefault="0094740D" w:rsidP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576.3</w:t>
            </w:r>
          </w:p>
          <w:p w14:paraId="17077E1D" w14:textId="77777777" w:rsidR="0094740D" w:rsidRPr="00A11116" w:rsidRDefault="0094740D" w:rsidP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576.4</w:t>
            </w:r>
          </w:p>
          <w:p w14:paraId="545F881B" w14:textId="629BB1DF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40D" w:rsidRPr="00A11116" w14:paraId="2D44DB02" w14:textId="77777777" w:rsidTr="0094740D">
        <w:tc>
          <w:tcPr>
            <w:tcW w:w="2463" w:type="dxa"/>
          </w:tcPr>
          <w:p w14:paraId="2EC8130F" w14:textId="646B20AE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Diverticulitis</w:t>
            </w:r>
          </w:p>
        </w:tc>
        <w:tc>
          <w:tcPr>
            <w:tcW w:w="2906" w:type="dxa"/>
          </w:tcPr>
          <w:p w14:paraId="135866EC" w14:textId="77777777" w:rsidR="0094740D" w:rsidRPr="00A11116" w:rsidRDefault="0094740D" w:rsidP="00747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562.11</w:t>
            </w:r>
          </w:p>
          <w:p w14:paraId="4C9001A3" w14:textId="2B8BB909" w:rsidR="0094740D" w:rsidRPr="00A11116" w:rsidRDefault="00947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562.13</w:t>
            </w:r>
          </w:p>
        </w:tc>
        <w:tc>
          <w:tcPr>
            <w:tcW w:w="2906" w:type="dxa"/>
          </w:tcPr>
          <w:p w14:paraId="0A9447C5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569.83</w:t>
            </w:r>
          </w:p>
          <w:p w14:paraId="759207A3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567.22</w:t>
            </w:r>
          </w:p>
          <w:p w14:paraId="7E3BE575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569.5</w:t>
            </w:r>
          </w:p>
          <w:p w14:paraId="5ADEB369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567.31</w:t>
            </w:r>
          </w:p>
          <w:p w14:paraId="2C95B15E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567.38</w:t>
            </w:r>
          </w:p>
          <w:p w14:paraId="05C21E0C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614.5</w:t>
            </w:r>
          </w:p>
          <w:p w14:paraId="03075CFF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567.21</w:t>
            </w:r>
          </w:p>
          <w:p w14:paraId="335CCC33" w14:textId="4C8763AD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567.29</w:t>
            </w:r>
          </w:p>
        </w:tc>
      </w:tr>
      <w:tr w:rsidR="0094740D" w:rsidRPr="00A11116" w14:paraId="6C06B240" w14:textId="77777777" w:rsidTr="0094740D">
        <w:tc>
          <w:tcPr>
            <w:tcW w:w="2463" w:type="dxa"/>
          </w:tcPr>
          <w:p w14:paraId="4592B0B2" w14:textId="5CBF4EC2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Abdominal Hernia</w:t>
            </w:r>
          </w:p>
        </w:tc>
        <w:tc>
          <w:tcPr>
            <w:tcW w:w="2906" w:type="dxa"/>
          </w:tcPr>
          <w:p w14:paraId="14269BAF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550.90</w:t>
            </w:r>
          </w:p>
          <w:p w14:paraId="282F3C47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550.91</w:t>
            </w:r>
          </w:p>
          <w:p w14:paraId="37283002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550.92</w:t>
            </w:r>
          </w:p>
          <w:p w14:paraId="1BC689C1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550.93</w:t>
            </w:r>
          </w:p>
          <w:p w14:paraId="2A9F8077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553.00</w:t>
            </w:r>
          </w:p>
          <w:p w14:paraId="4410166B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553.01</w:t>
            </w:r>
          </w:p>
          <w:p w14:paraId="3838E1C3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553.02</w:t>
            </w:r>
          </w:p>
          <w:p w14:paraId="7939B5FA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553.03</w:t>
            </w:r>
          </w:p>
          <w:p w14:paraId="3607243E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553.1</w:t>
            </w:r>
          </w:p>
          <w:p w14:paraId="4B063211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553.20</w:t>
            </w:r>
          </w:p>
          <w:p w14:paraId="47BBA452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553.21</w:t>
            </w:r>
          </w:p>
          <w:p w14:paraId="049BB815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553.29</w:t>
            </w:r>
          </w:p>
          <w:p w14:paraId="64F1AC62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553.3</w:t>
            </w:r>
          </w:p>
          <w:p w14:paraId="266F12A1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553.8</w:t>
            </w:r>
          </w:p>
          <w:p w14:paraId="0E2A7AF7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553.9</w:t>
            </w:r>
          </w:p>
          <w:p w14:paraId="0EBC0C5B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550.10</w:t>
            </w:r>
          </w:p>
          <w:p w14:paraId="5F32C27E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550.11</w:t>
            </w:r>
          </w:p>
          <w:p w14:paraId="395C47E5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550.12</w:t>
            </w:r>
          </w:p>
          <w:p w14:paraId="243EFA27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550.13</w:t>
            </w:r>
          </w:p>
          <w:p w14:paraId="1F0F7B78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552.00</w:t>
            </w:r>
          </w:p>
          <w:p w14:paraId="30006125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552.01</w:t>
            </w:r>
          </w:p>
          <w:p w14:paraId="199B84E9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552.02</w:t>
            </w:r>
          </w:p>
          <w:p w14:paraId="7E46A885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552.03</w:t>
            </w:r>
          </w:p>
          <w:p w14:paraId="77BBFA43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552.1</w:t>
            </w:r>
          </w:p>
          <w:p w14:paraId="017CD79A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552.20</w:t>
            </w:r>
          </w:p>
          <w:p w14:paraId="2D67DAC8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552.21</w:t>
            </w:r>
          </w:p>
          <w:p w14:paraId="0440E81A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552.29</w:t>
            </w:r>
          </w:p>
          <w:p w14:paraId="4914EA53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552.3</w:t>
            </w:r>
          </w:p>
          <w:p w14:paraId="426E4F2D" w14:textId="77777777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552.8</w:t>
            </w:r>
          </w:p>
          <w:p w14:paraId="279175C1" w14:textId="1CE04B6A" w:rsidR="0094740D" w:rsidRPr="00A11116" w:rsidRDefault="0094740D" w:rsidP="0074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552.9</w:t>
            </w:r>
          </w:p>
        </w:tc>
        <w:tc>
          <w:tcPr>
            <w:tcW w:w="2906" w:type="dxa"/>
          </w:tcPr>
          <w:p w14:paraId="668A3812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569.83</w:t>
            </w:r>
          </w:p>
          <w:p w14:paraId="5F95EC78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567.21</w:t>
            </w:r>
          </w:p>
          <w:p w14:paraId="159DA0F2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567.29</w:t>
            </w:r>
          </w:p>
          <w:p w14:paraId="206274E6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614.5</w:t>
            </w:r>
          </w:p>
          <w:p w14:paraId="1221AF1D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550.00</w:t>
            </w:r>
          </w:p>
          <w:p w14:paraId="314798CB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550.01</w:t>
            </w:r>
          </w:p>
          <w:p w14:paraId="22BD727F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550.02</w:t>
            </w:r>
          </w:p>
          <w:p w14:paraId="58DE484E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550.03</w:t>
            </w:r>
          </w:p>
          <w:p w14:paraId="6288ADD4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551.00</w:t>
            </w:r>
          </w:p>
          <w:p w14:paraId="30818186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551.01</w:t>
            </w:r>
          </w:p>
          <w:p w14:paraId="7352AD8B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551.02</w:t>
            </w:r>
          </w:p>
          <w:p w14:paraId="45D8B2B8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551.03</w:t>
            </w:r>
          </w:p>
          <w:p w14:paraId="254D1530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551.1</w:t>
            </w:r>
          </w:p>
          <w:p w14:paraId="19328BD6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551.20</w:t>
            </w:r>
          </w:p>
          <w:p w14:paraId="432B4977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551.21</w:t>
            </w:r>
          </w:p>
          <w:p w14:paraId="6EAE20F6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551.29</w:t>
            </w:r>
          </w:p>
          <w:p w14:paraId="29336931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551.3</w:t>
            </w:r>
          </w:p>
          <w:p w14:paraId="34573EF7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551.8</w:t>
            </w:r>
          </w:p>
          <w:p w14:paraId="0366001B" w14:textId="12174C1F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551.9</w:t>
            </w:r>
          </w:p>
        </w:tc>
      </w:tr>
      <w:tr w:rsidR="0094740D" w:rsidRPr="00A11116" w14:paraId="2412BD15" w14:textId="77777777" w:rsidTr="0094740D">
        <w:tc>
          <w:tcPr>
            <w:tcW w:w="2463" w:type="dxa"/>
          </w:tcPr>
          <w:p w14:paraId="57F13217" w14:textId="49222AF4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Acute Pancreatitis</w:t>
            </w:r>
          </w:p>
        </w:tc>
        <w:tc>
          <w:tcPr>
            <w:tcW w:w="2906" w:type="dxa"/>
          </w:tcPr>
          <w:p w14:paraId="7029142C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577.0</w:t>
            </w:r>
          </w:p>
          <w:p w14:paraId="5B1B8B79" w14:textId="72F7DECE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577.2</w:t>
            </w:r>
          </w:p>
        </w:tc>
        <w:tc>
          <w:tcPr>
            <w:tcW w:w="2906" w:type="dxa"/>
          </w:tcPr>
          <w:p w14:paraId="0E3F44AB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567.31</w:t>
            </w:r>
          </w:p>
          <w:p w14:paraId="2C3A184F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567.38</w:t>
            </w:r>
          </w:p>
          <w:p w14:paraId="4BC34D6A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567.39</w:t>
            </w:r>
          </w:p>
          <w:p w14:paraId="1E7DB69F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14:paraId="57D3C6CE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557.9</w:t>
            </w:r>
          </w:p>
          <w:p w14:paraId="727EACE4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558.9</w:t>
            </w:r>
          </w:p>
          <w:p w14:paraId="00BBA1CA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567.21</w:t>
            </w:r>
          </w:p>
          <w:p w14:paraId="393A78B5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567.22</w:t>
            </w:r>
          </w:p>
          <w:p w14:paraId="133585AF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567.29</w:t>
            </w:r>
          </w:p>
          <w:p w14:paraId="075645EC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567.89</w:t>
            </w:r>
          </w:p>
          <w:p w14:paraId="13C51CD1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567.9</w:t>
            </w:r>
          </w:p>
          <w:p w14:paraId="0BEF4C9B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569.83</w:t>
            </w:r>
          </w:p>
          <w:p w14:paraId="6460F36A" w14:textId="765A7F24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614.5</w:t>
            </w:r>
          </w:p>
        </w:tc>
      </w:tr>
      <w:tr w:rsidR="0094740D" w:rsidRPr="00A11116" w14:paraId="2C8C3EF1" w14:textId="77777777" w:rsidTr="0094740D">
        <w:tc>
          <w:tcPr>
            <w:tcW w:w="2463" w:type="dxa"/>
          </w:tcPr>
          <w:p w14:paraId="7DEC9429" w14:textId="19BF3D60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Intestinal Obstruction</w:t>
            </w:r>
          </w:p>
        </w:tc>
        <w:tc>
          <w:tcPr>
            <w:tcW w:w="2906" w:type="dxa"/>
          </w:tcPr>
          <w:p w14:paraId="5F451E75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14:paraId="79AE5D9F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560.2</w:t>
            </w:r>
          </w:p>
          <w:p w14:paraId="314A84EA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560.3</w:t>
            </w:r>
          </w:p>
          <w:p w14:paraId="12D9CB12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560.31</w:t>
            </w:r>
          </w:p>
          <w:p w14:paraId="48501EA5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560.39</w:t>
            </w:r>
          </w:p>
          <w:p w14:paraId="44B4871E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560.81</w:t>
            </w:r>
          </w:p>
          <w:p w14:paraId="5CB0684F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560.89</w:t>
            </w:r>
          </w:p>
          <w:p w14:paraId="77FCD84F" w14:textId="769E7371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560.9</w:t>
            </w:r>
          </w:p>
        </w:tc>
        <w:tc>
          <w:tcPr>
            <w:tcW w:w="2906" w:type="dxa"/>
          </w:tcPr>
          <w:p w14:paraId="5236FD57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14:paraId="22A1DD15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557.9</w:t>
            </w:r>
          </w:p>
          <w:p w14:paraId="36AB2660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569.83</w:t>
            </w:r>
          </w:p>
          <w:p w14:paraId="5EEC101B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567.29</w:t>
            </w:r>
          </w:p>
          <w:p w14:paraId="2132D6D8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567.22</w:t>
            </w:r>
          </w:p>
          <w:p w14:paraId="3668D9B0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567.21</w:t>
            </w:r>
          </w:p>
          <w:p w14:paraId="6F73F7C5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569.5</w:t>
            </w:r>
          </w:p>
          <w:p w14:paraId="6D9889B8" w14:textId="4EF541AB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614.5</w:t>
            </w:r>
          </w:p>
        </w:tc>
      </w:tr>
      <w:tr w:rsidR="0094740D" w:rsidRPr="00A11116" w14:paraId="03C6135E" w14:textId="77777777" w:rsidTr="0094740D">
        <w:tc>
          <w:tcPr>
            <w:tcW w:w="2463" w:type="dxa"/>
          </w:tcPr>
          <w:p w14:paraId="1B576D6F" w14:textId="6111E200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Peptic Ulcer Disease</w:t>
            </w:r>
          </w:p>
        </w:tc>
        <w:tc>
          <w:tcPr>
            <w:tcW w:w="2906" w:type="dxa"/>
          </w:tcPr>
          <w:p w14:paraId="55AD53C9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531.x</w:t>
            </w:r>
          </w:p>
          <w:p w14:paraId="75741DD5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532.x</w:t>
            </w:r>
          </w:p>
          <w:p w14:paraId="02A97017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533.x</w:t>
            </w:r>
          </w:p>
          <w:p w14:paraId="393DD1A3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534.x</w:t>
            </w:r>
          </w:p>
          <w:p w14:paraId="13A0254C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535.01</w:t>
            </w:r>
          </w:p>
          <w:p w14:paraId="01C39F3E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535.11</w:t>
            </w:r>
          </w:p>
          <w:p w14:paraId="48C0BDB4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535.21</w:t>
            </w:r>
          </w:p>
          <w:p w14:paraId="253A745E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535.31</w:t>
            </w:r>
          </w:p>
          <w:p w14:paraId="4E8EF9B0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535.41</w:t>
            </w:r>
          </w:p>
          <w:p w14:paraId="5E0DAFF9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535.51</w:t>
            </w:r>
          </w:p>
          <w:p w14:paraId="4E24D7E5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535.61</w:t>
            </w:r>
          </w:p>
          <w:p w14:paraId="040DF28D" w14:textId="767B505E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535.71</w:t>
            </w:r>
          </w:p>
        </w:tc>
        <w:tc>
          <w:tcPr>
            <w:tcW w:w="2906" w:type="dxa"/>
          </w:tcPr>
          <w:p w14:paraId="164A638C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567.29</w:t>
            </w:r>
          </w:p>
          <w:p w14:paraId="3ED9A808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567.22</w:t>
            </w:r>
          </w:p>
          <w:p w14:paraId="3F102142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567.31</w:t>
            </w:r>
          </w:p>
          <w:p w14:paraId="68D8BF75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567.38</w:t>
            </w:r>
          </w:p>
          <w:p w14:paraId="5E35ED94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567.39</w:t>
            </w:r>
          </w:p>
          <w:p w14:paraId="55E82D31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567.21</w:t>
            </w:r>
          </w:p>
          <w:p w14:paraId="5DFFA7B1" w14:textId="471A9641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614.5</w:t>
            </w:r>
          </w:p>
        </w:tc>
      </w:tr>
      <w:tr w:rsidR="0094740D" w:rsidRPr="00A11116" w14:paraId="7132968B" w14:textId="77777777" w:rsidTr="0094740D">
        <w:tc>
          <w:tcPr>
            <w:tcW w:w="2463" w:type="dxa"/>
          </w:tcPr>
          <w:p w14:paraId="59C471FD" w14:textId="39B03551" w:rsidR="0094740D" w:rsidRPr="00A11116" w:rsidRDefault="00947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Mesenteric Ischemia</w:t>
            </w:r>
          </w:p>
        </w:tc>
        <w:tc>
          <w:tcPr>
            <w:tcW w:w="2906" w:type="dxa"/>
          </w:tcPr>
          <w:p w14:paraId="52891450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557.0</w:t>
            </w:r>
          </w:p>
          <w:p w14:paraId="6055CD60" w14:textId="6FDD21F1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557.9</w:t>
            </w:r>
          </w:p>
        </w:tc>
        <w:tc>
          <w:tcPr>
            <w:tcW w:w="2906" w:type="dxa"/>
          </w:tcPr>
          <w:p w14:paraId="44023D67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567.22</w:t>
            </w:r>
          </w:p>
          <w:p w14:paraId="24FA74E2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569.83</w:t>
            </w:r>
          </w:p>
          <w:p w14:paraId="3762D220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567.21</w:t>
            </w:r>
          </w:p>
          <w:p w14:paraId="6523EF2A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567.29</w:t>
            </w:r>
          </w:p>
          <w:p w14:paraId="2E9AFA6C" w14:textId="77777777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569.5</w:t>
            </w:r>
          </w:p>
          <w:p w14:paraId="7A202225" w14:textId="0A85C4C0" w:rsidR="0094740D" w:rsidRPr="00A11116" w:rsidRDefault="0094740D" w:rsidP="0094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16">
              <w:rPr>
                <w:rFonts w:ascii="Times New Roman" w:hAnsi="Times New Roman" w:cs="Times New Roman"/>
                <w:sz w:val="20"/>
                <w:szCs w:val="20"/>
              </w:rPr>
              <w:t>614.5</w:t>
            </w:r>
          </w:p>
        </w:tc>
      </w:tr>
    </w:tbl>
    <w:p w14:paraId="3BC29DF0" w14:textId="77777777" w:rsidR="0094740D" w:rsidRPr="00A11116" w:rsidRDefault="0094740D" w:rsidP="0094740D">
      <w:pPr>
        <w:rPr>
          <w:rFonts w:ascii="Times New Roman" w:hAnsi="Times New Roman" w:cs="Times New Roman"/>
          <w:sz w:val="22"/>
          <w:szCs w:val="22"/>
        </w:rPr>
      </w:pPr>
    </w:p>
    <w:p w14:paraId="451696C5" w14:textId="56134172" w:rsidR="00710A68" w:rsidRPr="00A11116" w:rsidRDefault="0094740D" w:rsidP="0094740D">
      <w:pPr>
        <w:rPr>
          <w:rFonts w:ascii="Times New Roman" w:hAnsi="Times New Roman" w:cs="Times New Roman"/>
          <w:sz w:val="21"/>
          <w:szCs w:val="21"/>
        </w:rPr>
      </w:pPr>
      <w:r w:rsidRPr="00A11116">
        <w:rPr>
          <w:rFonts w:ascii="Times New Roman" w:hAnsi="Times New Roman" w:cs="Times New Roman"/>
          <w:sz w:val="21"/>
          <w:szCs w:val="21"/>
        </w:rPr>
        <w:t>* For all diseases, if 785.52 OR 995.92 present, diagnosis is coded as “complex”.</w:t>
      </w:r>
    </w:p>
    <w:p w14:paraId="02B24496" w14:textId="2E79B0B9" w:rsidR="0094740D" w:rsidRPr="00A11116" w:rsidRDefault="0094740D" w:rsidP="0094740D">
      <w:pPr>
        <w:rPr>
          <w:rFonts w:ascii="Times New Roman" w:hAnsi="Times New Roman" w:cs="Times New Roman"/>
          <w:sz w:val="21"/>
          <w:szCs w:val="21"/>
        </w:rPr>
      </w:pPr>
      <w:r w:rsidRPr="00A11116">
        <w:rPr>
          <w:rFonts w:ascii="Times New Roman" w:hAnsi="Times New Roman" w:cs="Times New Roman"/>
          <w:sz w:val="21"/>
          <w:szCs w:val="21"/>
        </w:rPr>
        <w:t xml:space="preserve">Classification scheme adopted from Scott JW, </w:t>
      </w:r>
      <w:proofErr w:type="spellStart"/>
      <w:r w:rsidRPr="00A11116">
        <w:rPr>
          <w:rFonts w:ascii="Times New Roman" w:hAnsi="Times New Roman" w:cs="Times New Roman"/>
          <w:sz w:val="21"/>
          <w:szCs w:val="21"/>
        </w:rPr>
        <w:t>Staudenmayer</w:t>
      </w:r>
      <w:proofErr w:type="spellEnd"/>
      <w:r w:rsidRPr="00A11116">
        <w:rPr>
          <w:rFonts w:ascii="Times New Roman" w:hAnsi="Times New Roman" w:cs="Times New Roman"/>
          <w:sz w:val="21"/>
          <w:szCs w:val="21"/>
        </w:rPr>
        <w:t xml:space="preserve"> K, </w:t>
      </w:r>
      <w:proofErr w:type="spellStart"/>
      <w:r w:rsidRPr="00A11116">
        <w:rPr>
          <w:rFonts w:ascii="Times New Roman" w:hAnsi="Times New Roman" w:cs="Times New Roman"/>
          <w:sz w:val="21"/>
          <w:szCs w:val="21"/>
        </w:rPr>
        <w:t>Sangji</w:t>
      </w:r>
      <w:proofErr w:type="spellEnd"/>
      <w:r w:rsidRPr="00A11116">
        <w:rPr>
          <w:rFonts w:ascii="Times New Roman" w:hAnsi="Times New Roman" w:cs="Times New Roman"/>
          <w:sz w:val="21"/>
          <w:szCs w:val="21"/>
        </w:rPr>
        <w:t xml:space="preserve"> N, Fan Z, </w:t>
      </w:r>
      <w:proofErr w:type="spellStart"/>
      <w:r w:rsidRPr="00A11116">
        <w:rPr>
          <w:rFonts w:ascii="Times New Roman" w:hAnsi="Times New Roman" w:cs="Times New Roman"/>
          <w:sz w:val="21"/>
          <w:szCs w:val="21"/>
        </w:rPr>
        <w:t>Hemmila</w:t>
      </w:r>
      <w:proofErr w:type="spellEnd"/>
      <w:r w:rsidRPr="00A11116">
        <w:rPr>
          <w:rFonts w:ascii="Times New Roman" w:hAnsi="Times New Roman" w:cs="Times New Roman"/>
          <w:sz w:val="21"/>
          <w:szCs w:val="21"/>
        </w:rPr>
        <w:t xml:space="preserve"> M, Utter G. Evaluating the association between American Association for the Surgery of Trauma emergency general surgery anatomic severity grades and clinical outcomes using national claims data. </w:t>
      </w:r>
      <w:r w:rsidRPr="00A11116">
        <w:rPr>
          <w:rFonts w:ascii="Times New Roman" w:hAnsi="Times New Roman" w:cs="Times New Roman"/>
          <w:i/>
          <w:iCs/>
          <w:sz w:val="21"/>
          <w:szCs w:val="21"/>
        </w:rPr>
        <w:t>J Trauma Acute Care Surg</w:t>
      </w:r>
      <w:r w:rsidRPr="00A11116">
        <w:rPr>
          <w:rFonts w:ascii="Times New Roman" w:hAnsi="Times New Roman" w:cs="Times New Roman"/>
          <w:sz w:val="21"/>
          <w:szCs w:val="21"/>
        </w:rPr>
        <w:t>. 2021;90(2):296-304. doi:10.1097/TA.0000000000003030</w:t>
      </w:r>
    </w:p>
    <w:p w14:paraId="0D7D81DA" w14:textId="77777777" w:rsidR="0094740D" w:rsidRDefault="0094740D">
      <w:r>
        <w:br w:type="page"/>
      </w:r>
    </w:p>
    <w:p w14:paraId="7589471A" w14:textId="3DF22564" w:rsidR="0094740D" w:rsidRPr="00A11116" w:rsidRDefault="002140F8" w:rsidP="0094740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A11116">
        <w:rPr>
          <w:rFonts w:ascii="Times New Roman" w:hAnsi="Times New Roman" w:cs="Times New Roman"/>
          <w:b/>
          <w:bCs/>
          <w:sz w:val="22"/>
          <w:szCs w:val="22"/>
        </w:rPr>
        <w:lastRenderedPageBreak/>
        <w:t>eTable</w:t>
      </w:r>
      <w:proofErr w:type="spellEnd"/>
      <w:r w:rsidRPr="00A11116">
        <w:rPr>
          <w:rFonts w:ascii="Times New Roman" w:hAnsi="Times New Roman" w:cs="Times New Roman"/>
          <w:b/>
          <w:bCs/>
          <w:sz w:val="22"/>
          <w:szCs w:val="22"/>
        </w:rPr>
        <w:t xml:space="preserve"> 2: </w:t>
      </w:r>
      <w:r w:rsidRPr="00A11116">
        <w:rPr>
          <w:rFonts w:ascii="Times New Roman" w:hAnsi="Times New Roman" w:cs="Times New Roman"/>
          <w:sz w:val="22"/>
          <w:szCs w:val="22"/>
        </w:rPr>
        <w:t>International Classification of Diseases 9</w:t>
      </w:r>
      <w:r w:rsidRPr="00A1111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11116">
        <w:rPr>
          <w:rFonts w:ascii="Times New Roman" w:hAnsi="Times New Roman" w:cs="Times New Roman"/>
          <w:sz w:val="22"/>
          <w:szCs w:val="22"/>
        </w:rPr>
        <w:t xml:space="preserve"> Edition (ICD-9) codes for </w:t>
      </w:r>
      <w:r w:rsidR="00A11116">
        <w:rPr>
          <w:rFonts w:ascii="Times New Roman" w:hAnsi="Times New Roman" w:cs="Times New Roman"/>
          <w:sz w:val="22"/>
          <w:szCs w:val="22"/>
        </w:rPr>
        <w:t xml:space="preserve">major </w:t>
      </w:r>
      <w:r w:rsidRPr="00A11116">
        <w:rPr>
          <w:rFonts w:ascii="Times New Roman" w:hAnsi="Times New Roman" w:cs="Times New Roman"/>
          <w:sz w:val="22"/>
          <w:szCs w:val="22"/>
        </w:rPr>
        <w:t>morbidity</w:t>
      </w:r>
    </w:p>
    <w:p w14:paraId="5B21F18C" w14:textId="403C68F7" w:rsidR="00CF49D9" w:rsidRDefault="00CF49D9" w:rsidP="0094740D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3"/>
        <w:gridCol w:w="4173"/>
      </w:tblGrid>
      <w:tr w:rsidR="00CF49D9" w14:paraId="55105C0C" w14:textId="77777777" w:rsidTr="00A11116">
        <w:trPr>
          <w:trHeight w:val="119"/>
        </w:trPr>
        <w:tc>
          <w:tcPr>
            <w:tcW w:w="4173" w:type="dxa"/>
          </w:tcPr>
          <w:p w14:paraId="060E5164" w14:textId="77777777" w:rsidR="00CF49D9" w:rsidRPr="00A11116" w:rsidRDefault="00CF49D9">
            <w:pPr>
              <w:pStyle w:val="Default"/>
              <w:rPr>
                <w:sz w:val="20"/>
                <w:szCs w:val="20"/>
              </w:rPr>
            </w:pPr>
            <w:r w:rsidRPr="00A11116">
              <w:rPr>
                <w:b/>
                <w:bCs/>
                <w:sz w:val="20"/>
                <w:szCs w:val="20"/>
              </w:rPr>
              <w:t xml:space="preserve">Complications </w:t>
            </w:r>
          </w:p>
        </w:tc>
        <w:tc>
          <w:tcPr>
            <w:tcW w:w="4173" w:type="dxa"/>
          </w:tcPr>
          <w:p w14:paraId="6E552F9C" w14:textId="77777777" w:rsidR="00CF49D9" w:rsidRPr="00A11116" w:rsidRDefault="00CF49D9">
            <w:pPr>
              <w:pStyle w:val="Default"/>
              <w:rPr>
                <w:sz w:val="20"/>
                <w:szCs w:val="20"/>
              </w:rPr>
            </w:pPr>
            <w:r w:rsidRPr="00A11116">
              <w:rPr>
                <w:b/>
                <w:bCs/>
                <w:sz w:val="20"/>
                <w:szCs w:val="20"/>
              </w:rPr>
              <w:t xml:space="preserve">ICD-9 Diagnoses (DX)/ Procedure (SX) Codes </w:t>
            </w:r>
          </w:p>
        </w:tc>
      </w:tr>
      <w:tr w:rsidR="00CF49D9" w14:paraId="4BEBAF9D" w14:textId="77777777" w:rsidTr="00435CC1">
        <w:trPr>
          <w:trHeight w:val="404"/>
        </w:trPr>
        <w:tc>
          <w:tcPr>
            <w:tcW w:w="4173" w:type="dxa"/>
          </w:tcPr>
          <w:p w14:paraId="6FA8133F" w14:textId="77777777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 xml:space="preserve">Pulmonary failure </w:t>
            </w:r>
          </w:p>
        </w:tc>
        <w:tc>
          <w:tcPr>
            <w:tcW w:w="4173" w:type="dxa"/>
          </w:tcPr>
          <w:p w14:paraId="3FB2DD97" w14:textId="45A1FE07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 xml:space="preserve">518.81 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 xml:space="preserve">518.82 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 xml:space="preserve">518.84 </w:t>
            </w:r>
          </w:p>
        </w:tc>
      </w:tr>
      <w:tr w:rsidR="00CF49D9" w14:paraId="3010758E" w14:textId="77777777" w:rsidTr="00435CC1">
        <w:trPr>
          <w:trHeight w:val="341"/>
        </w:trPr>
        <w:tc>
          <w:tcPr>
            <w:tcW w:w="4173" w:type="dxa"/>
          </w:tcPr>
          <w:p w14:paraId="2BBCF7FF" w14:textId="77777777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 xml:space="preserve">Pneumonia </w:t>
            </w:r>
          </w:p>
        </w:tc>
        <w:tc>
          <w:tcPr>
            <w:tcW w:w="4173" w:type="dxa"/>
          </w:tcPr>
          <w:p w14:paraId="1C42219E" w14:textId="0077BCED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 xml:space="preserve">481.xx 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 xml:space="preserve">482.xx 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>483.xx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>484.xx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>485.xx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 xml:space="preserve">507.0x </w:t>
            </w:r>
          </w:p>
        </w:tc>
      </w:tr>
      <w:tr w:rsidR="00CF49D9" w14:paraId="01A9110E" w14:textId="77777777" w:rsidTr="00435CC1">
        <w:trPr>
          <w:trHeight w:val="260"/>
        </w:trPr>
        <w:tc>
          <w:tcPr>
            <w:tcW w:w="4173" w:type="dxa"/>
          </w:tcPr>
          <w:p w14:paraId="027A832F" w14:textId="77777777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 xml:space="preserve">Myocardial infarction </w:t>
            </w:r>
          </w:p>
        </w:tc>
        <w:tc>
          <w:tcPr>
            <w:tcW w:w="4173" w:type="dxa"/>
          </w:tcPr>
          <w:p w14:paraId="31075733" w14:textId="6154A89B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 xml:space="preserve">410.xx </w:t>
            </w:r>
          </w:p>
        </w:tc>
      </w:tr>
      <w:tr w:rsidR="00CF49D9" w14:paraId="73308D59" w14:textId="77777777" w:rsidTr="00435CC1">
        <w:trPr>
          <w:trHeight w:val="620"/>
        </w:trPr>
        <w:tc>
          <w:tcPr>
            <w:tcW w:w="4173" w:type="dxa"/>
          </w:tcPr>
          <w:p w14:paraId="4E00022E" w14:textId="77777777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 xml:space="preserve">Deep venous thrombosis and pulmonary embolism </w:t>
            </w:r>
          </w:p>
        </w:tc>
        <w:tc>
          <w:tcPr>
            <w:tcW w:w="4173" w:type="dxa"/>
          </w:tcPr>
          <w:p w14:paraId="19BC986F" w14:textId="2367367D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>415.1x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>451.11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>451.19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>451.2x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>451.81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 xml:space="preserve">453.8x </w:t>
            </w:r>
          </w:p>
        </w:tc>
      </w:tr>
      <w:tr w:rsidR="00CF49D9" w14:paraId="646081D8" w14:textId="77777777" w:rsidTr="00435CC1">
        <w:trPr>
          <w:trHeight w:val="260"/>
        </w:trPr>
        <w:tc>
          <w:tcPr>
            <w:tcW w:w="4173" w:type="dxa"/>
          </w:tcPr>
          <w:p w14:paraId="28AB83EC" w14:textId="77777777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 xml:space="preserve">Acute renal failure </w:t>
            </w:r>
          </w:p>
        </w:tc>
        <w:tc>
          <w:tcPr>
            <w:tcW w:w="4173" w:type="dxa"/>
          </w:tcPr>
          <w:p w14:paraId="6D154763" w14:textId="3C4B0726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 xml:space="preserve">584.xx </w:t>
            </w:r>
          </w:p>
        </w:tc>
      </w:tr>
      <w:tr w:rsidR="00CF49D9" w14:paraId="7C9095BF" w14:textId="77777777" w:rsidTr="00A11116">
        <w:trPr>
          <w:trHeight w:val="429"/>
        </w:trPr>
        <w:tc>
          <w:tcPr>
            <w:tcW w:w="4173" w:type="dxa"/>
          </w:tcPr>
          <w:p w14:paraId="679CD7C4" w14:textId="77777777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 xml:space="preserve">Surgical site infection </w:t>
            </w:r>
          </w:p>
        </w:tc>
        <w:tc>
          <w:tcPr>
            <w:tcW w:w="4173" w:type="dxa"/>
          </w:tcPr>
          <w:p w14:paraId="571FDDE6" w14:textId="56958FF4" w:rsidR="00CF49D9" w:rsidRPr="00435CC1" w:rsidRDefault="00CF49D9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>958.3x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>998.3x</w:t>
            </w:r>
            <w:r w:rsidR="00435CC1" w:rsidRPr="00435CC1">
              <w:rPr>
                <w:sz w:val="20"/>
                <w:szCs w:val="20"/>
              </w:rPr>
              <w:t xml:space="preserve">; </w:t>
            </w:r>
            <w:r w:rsidRPr="00435CC1">
              <w:rPr>
                <w:sz w:val="20"/>
                <w:szCs w:val="20"/>
              </w:rPr>
              <w:t xml:space="preserve">998.5x </w:t>
            </w:r>
          </w:p>
        </w:tc>
      </w:tr>
      <w:tr w:rsidR="00A11116" w14:paraId="694B9CF8" w14:textId="77777777" w:rsidTr="00435CC1">
        <w:trPr>
          <w:trHeight w:val="593"/>
        </w:trPr>
        <w:tc>
          <w:tcPr>
            <w:tcW w:w="4173" w:type="dxa"/>
          </w:tcPr>
          <w:p w14:paraId="51CDAE61" w14:textId="21106B3E" w:rsidR="00A11116" w:rsidRPr="00435CC1" w:rsidRDefault="00A11116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>Cerebrovascular Accident / Stroke</w:t>
            </w:r>
          </w:p>
        </w:tc>
        <w:tc>
          <w:tcPr>
            <w:tcW w:w="4173" w:type="dxa"/>
          </w:tcPr>
          <w:p w14:paraId="0AD6B0DC" w14:textId="415765A1" w:rsidR="00A11116" w:rsidRPr="00435CC1" w:rsidRDefault="00A11116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  <w:shd w:val="clear" w:color="auto" w:fill="FFFFFF"/>
              </w:rPr>
              <w:t>433.01, 433.11, 433.21, 433.31, 433.81, 433.91, 434.01, 434.11, 434.91</w:t>
            </w:r>
          </w:p>
        </w:tc>
      </w:tr>
      <w:tr w:rsidR="00A11116" w14:paraId="0B96F5CC" w14:textId="77777777" w:rsidTr="00A11116">
        <w:trPr>
          <w:trHeight w:val="431"/>
        </w:trPr>
        <w:tc>
          <w:tcPr>
            <w:tcW w:w="4173" w:type="dxa"/>
          </w:tcPr>
          <w:p w14:paraId="1087D387" w14:textId="752B1A50" w:rsidR="00A11116" w:rsidRPr="00435CC1" w:rsidRDefault="00A11116">
            <w:pPr>
              <w:pStyle w:val="Default"/>
              <w:rPr>
                <w:sz w:val="20"/>
                <w:szCs w:val="20"/>
              </w:rPr>
            </w:pPr>
            <w:r w:rsidRPr="00435CC1">
              <w:rPr>
                <w:sz w:val="20"/>
                <w:szCs w:val="20"/>
              </w:rPr>
              <w:t>Urinary Tract Infection / Acute Cystitis</w:t>
            </w:r>
          </w:p>
        </w:tc>
        <w:tc>
          <w:tcPr>
            <w:tcW w:w="4173" w:type="dxa"/>
          </w:tcPr>
          <w:p w14:paraId="45CAAE8B" w14:textId="4B5FE839" w:rsidR="00A11116" w:rsidRPr="00435CC1" w:rsidRDefault="00A11116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435CC1">
              <w:rPr>
                <w:sz w:val="20"/>
                <w:szCs w:val="20"/>
                <w:shd w:val="clear" w:color="auto" w:fill="FFFFFF"/>
              </w:rPr>
              <w:t>590.10, 590.11, 599.0, 595.0</w:t>
            </w:r>
          </w:p>
        </w:tc>
      </w:tr>
    </w:tbl>
    <w:p w14:paraId="6893B527" w14:textId="02E5A9FB" w:rsidR="00480AB0" w:rsidRDefault="00480AB0" w:rsidP="0094740D"/>
    <w:p w14:paraId="3FB6A4CD" w14:textId="77777777" w:rsidR="00480AB0" w:rsidRDefault="00480AB0">
      <w:r>
        <w:br w:type="page"/>
      </w:r>
    </w:p>
    <w:p w14:paraId="66EF3C35" w14:textId="2C7292DE" w:rsidR="00CF49D9" w:rsidRPr="00480AB0" w:rsidRDefault="00480AB0" w:rsidP="0094740D">
      <w:pPr>
        <w:rPr>
          <w:rFonts w:ascii="Times New Roman" w:hAnsi="Times New Roman" w:cs="Times New Roman"/>
          <w:sz w:val="22"/>
        </w:rPr>
      </w:pPr>
      <w:proofErr w:type="spellStart"/>
      <w:r w:rsidRPr="00480AB0">
        <w:rPr>
          <w:rFonts w:ascii="Times New Roman" w:hAnsi="Times New Roman" w:cs="Times New Roman"/>
          <w:b/>
          <w:sz w:val="22"/>
        </w:rPr>
        <w:lastRenderedPageBreak/>
        <w:t>eTable</w:t>
      </w:r>
      <w:proofErr w:type="spellEnd"/>
      <w:r w:rsidRPr="00480AB0">
        <w:rPr>
          <w:rFonts w:ascii="Times New Roman" w:hAnsi="Times New Roman" w:cs="Times New Roman"/>
          <w:b/>
          <w:sz w:val="22"/>
        </w:rPr>
        <w:t xml:space="preserve"> 3</w:t>
      </w:r>
      <w:r w:rsidRPr="00480AB0">
        <w:rPr>
          <w:rFonts w:ascii="Times New Roman" w:hAnsi="Times New Roman" w:cs="Times New Roman"/>
          <w:sz w:val="22"/>
        </w:rPr>
        <w:t>.  Univariable Regression of In-Hospital Mortality</w:t>
      </w:r>
    </w:p>
    <w:p w14:paraId="4279166E" w14:textId="3A5E5440" w:rsidR="00480AB0" w:rsidRDefault="00480AB0" w:rsidP="0094740D"/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90"/>
        <w:gridCol w:w="1955"/>
        <w:gridCol w:w="980"/>
      </w:tblGrid>
      <w:tr w:rsidR="00480AB0" w14:paraId="4A803A28" w14:textId="77777777" w:rsidTr="00480AB0">
        <w:trPr>
          <w:tblHeader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4B47480F" w14:textId="29AD5813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08A43634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Univariate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OR (95% CI)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1EC018B2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p-value </w:t>
            </w:r>
          </w:p>
        </w:tc>
      </w:tr>
      <w:tr w:rsidR="00480AB0" w14:paraId="345C719D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3443F409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SPAR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2DF5DF80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 (0.95, 0.97)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C8C105C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523BDB47" w14:textId="77777777" w:rsidTr="00480A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597F65DB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077369E3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 (1.04, 1.04)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1B1EF72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780B5A35" w14:textId="77777777" w:rsidTr="00480A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D581E2A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88A1644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484DC7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7BA9AE97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690A94C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Female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6BBC72A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CD46813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292CDB68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79BC347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Male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D9F4E56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 (1.17, 1.23)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38D2764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72635E5C" w14:textId="77777777" w:rsidTr="00480A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5C7E4F8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Race/Ethnicity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0A7C799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A119B0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1BB580B3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927DF10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White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9A55B87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B52768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66CA6DD5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D17042F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Asian or Pacific Islander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08388C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 (0.94, 1.05)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16E128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0.75</w:t>
            </w:r>
          </w:p>
        </w:tc>
      </w:tr>
      <w:tr w:rsidR="00480AB0" w14:paraId="2A72743E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EE47092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Black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CBF9C55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 (0.81, 0.89)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DD3620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74BE9178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3E249D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Hispanic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B3866E0" w14:textId="57448DE2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5D6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(0.58, 0.63)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DCF4CB5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5ED4BC63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DDFA101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Native American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30794F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(0.70, 1.00)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9AA8C4A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0.055</w:t>
            </w:r>
          </w:p>
        </w:tc>
      </w:tr>
      <w:tr w:rsidR="00480AB0" w14:paraId="51167A4B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24C0313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Not Reported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91EB2F6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 (1.40, 1.73)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9C47704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72D0ECD8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665E5EAB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4D62B4A4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 (0.79, 0.92)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EB8CE58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3199B1E6" w14:textId="77777777" w:rsidTr="00480A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41B035E" w14:textId="177D2821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Expected Primary Payo</w:t>
            </w: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B5D1261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96D5E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4F5C3E60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04AA55C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Private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AB6AE55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D4AF315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0A2942D2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0D1C93C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Medicaid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B21CCE7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 (1.04, 1.14)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ABE860B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73124398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BF51833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Medicare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4AE5949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 (2.67, 2.86)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FA409A2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464B2C33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EB823D1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 Charge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942DDAC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 (0.37, 0.75)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53ED3AC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49EB62E2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CEB7BA4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0F317A0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 (1.38, 1.68)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8DE0ED3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102D96FE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663D6036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Self pay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5BA0F38C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 (0.74, 0.89)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8AC2C55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5F4D1A74" w14:textId="77777777" w:rsidTr="00FE735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5F465D5D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Charlson</w:t>
            </w:r>
            <w:proofErr w:type="spellEnd"/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Comorbidity Index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29789566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 (1.32, 1.33)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2083104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186112F4" w14:textId="77777777" w:rsidTr="00480A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40064725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Poverty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4BE42B1C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 (0.59, 0.82)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B56B4C1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4526749F" w14:textId="77777777" w:rsidTr="00480A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F20CF04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Teaching Hospital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8B2A506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8717F1E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28FE32B0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F54BF9E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147F1A8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0E8B2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51AE4D62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3AEB4EA6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7034FF6F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 (1.30, 1.55)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C3829F4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6CE620C8" w14:textId="77777777" w:rsidTr="00480A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6DB76FA" w14:textId="3C365613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Advanced Resource Hospital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C702E82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6B51B54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18E13A39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3848C7F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F0EB716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2927D65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5E0BA773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13836ED5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343F97DA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 (1.19, 1.32)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6B16210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2CB588A0" w14:textId="77777777" w:rsidTr="00480A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F31E476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Diagnosis Category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8167D13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1C925A2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32C8AB8E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B47349F" w14:textId="4B6488C0" w:rsidR="00480AB0" w:rsidRDefault="00480AB0" w:rsidP="00480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Uncomplicated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5BA9115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15C7385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50C91F34" w14:textId="77777777" w:rsidTr="00480AB0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576A3230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Complex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20143FD8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 (10.82, 11.37)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3E2043B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6BB12BB0" w14:textId="3C974692" w:rsidR="00480AB0" w:rsidRPr="00EA064F" w:rsidRDefault="00480AB0" w:rsidP="00480AB0">
      <w:pPr>
        <w:ind w:left="1620"/>
        <w:rPr>
          <w:rFonts w:ascii="Times New Roman" w:hAnsi="Times New Roman" w:cs="Times New Roman"/>
          <w:sz w:val="20"/>
        </w:rPr>
      </w:pPr>
      <w:r w:rsidRPr="00EA064F">
        <w:rPr>
          <w:rFonts w:ascii="Times New Roman" w:hAnsi="Times New Roman" w:cs="Times New Roman"/>
          <w:sz w:val="20"/>
        </w:rPr>
        <w:t>SPAR: Spatial Access Ratio</w:t>
      </w:r>
    </w:p>
    <w:p w14:paraId="4FD2F05E" w14:textId="6A5C2D2C" w:rsidR="00480AB0" w:rsidRDefault="00480AB0" w:rsidP="00480AB0"/>
    <w:p w14:paraId="12BFD290" w14:textId="77777777" w:rsidR="00480AB0" w:rsidRDefault="00480AB0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6D3DE7D1" w14:textId="40FBB0F1" w:rsidR="00480AB0" w:rsidRPr="00480AB0" w:rsidRDefault="00480AB0" w:rsidP="0094740D">
      <w:pPr>
        <w:rPr>
          <w:rFonts w:ascii="Times New Roman" w:hAnsi="Times New Roman" w:cs="Times New Roman"/>
          <w:sz w:val="22"/>
        </w:rPr>
      </w:pPr>
      <w:proofErr w:type="spellStart"/>
      <w:r w:rsidRPr="00480AB0">
        <w:rPr>
          <w:rFonts w:ascii="Times New Roman" w:hAnsi="Times New Roman" w:cs="Times New Roman"/>
          <w:b/>
          <w:sz w:val="22"/>
        </w:rPr>
        <w:lastRenderedPageBreak/>
        <w:t>eTable</w:t>
      </w:r>
      <w:proofErr w:type="spellEnd"/>
      <w:r w:rsidRPr="00480AB0">
        <w:rPr>
          <w:rFonts w:ascii="Times New Roman" w:hAnsi="Times New Roman" w:cs="Times New Roman"/>
          <w:b/>
          <w:sz w:val="22"/>
        </w:rPr>
        <w:t xml:space="preserve"> 4</w:t>
      </w:r>
      <w:r w:rsidRPr="00480AB0">
        <w:rPr>
          <w:rFonts w:ascii="Times New Roman" w:hAnsi="Times New Roman" w:cs="Times New Roman"/>
          <w:sz w:val="22"/>
        </w:rPr>
        <w:t>: Univariable Regression of Major Morbidity</w:t>
      </w:r>
    </w:p>
    <w:p w14:paraId="138430AB" w14:textId="514BCD7D" w:rsidR="00480AB0" w:rsidRDefault="00480AB0" w:rsidP="0094740D"/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70"/>
        <w:gridCol w:w="1640"/>
        <w:gridCol w:w="980"/>
      </w:tblGrid>
      <w:tr w:rsidR="00480AB0" w14:paraId="63DCE54C" w14:textId="77777777" w:rsidTr="00480AB0">
        <w:trPr>
          <w:tblHeader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622EAE92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33EBF05B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Univariate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OR (95% CI)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7D709A50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p-value </w:t>
            </w:r>
          </w:p>
        </w:tc>
      </w:tr>
      <w:tr w:rsidR="00480AB0" w14:paraId="0B80BD8C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2C5586BA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SPAR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681E598C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(0.99, 1.00)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5E30B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</w:tr>
      <w:tr w:rsidR="00480AB0" w14:paraId="7E5E94EC" w14:textId="77777777" w:rsidTr="00480AB0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64F45323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0C265729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 (1.04, 1.04)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5EA7385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7CC777A7" w14:textId="77777777" w:rsidTr="00480AB0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D841940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FC954F0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9CC46DE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1C3A6B2C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B464D0A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Female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06266B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DFC89AC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4BA70B64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082E28BE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6DDDA583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 (0.95, 0.97)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B237E09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6699825E" w14:textId="77777777" w:rsidTr="00480AB0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B01C077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Race/Ethnicity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D418494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587D23F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3ADF7325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A2B34EE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White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69A4DB3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8A3B18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7A78F156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9513546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Asian or Pacific Islander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B758850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 (0.88, 0.92)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6FB1C49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13E27FFA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CCF61C3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Black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AE63083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(1.00, 1.03)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BDFCDAF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0.11</w:t>
            </w:r>
          </w:p>
        </w:tc>
      </w:tr>
      <w:tr w:rsidR="00480AB0" w14:paraId="68BECFDA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35465A5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Hispanic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7CC6441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 (0.65, 0.66)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72EC816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3901C38E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B38D28E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Native American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DF29529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 (0.76, 0.86)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E511E3C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3E27CC54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3B7FDD3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Not Reported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49135F6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(0.87, 0.96)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1CFDB96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0599D3D1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17D68D42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1CF5CF2E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 (0.79, 0.83)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19E603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491BA0B0" w14:textId="77777777" w:rsidTr="00480AB0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95F9A6A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Expected Primary Payer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3B3DC20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610AF24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39978333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3F06B03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Private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79461B37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8F17FA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51922769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</w:tcBorders>
            <w:tcMar>
              <w:top w:w="100" w:type="nil"/>
              <w:right w:w="100" w:type="nil"/>
            </w:tcMar>
          </w:tcPr>
          <w:p w14:paraId="049109E8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Medicaid</w:t>
            </w:r>
          </w:p>
        </w:tc>
        <w:tc>
          <w:tcPr>
            <w:tcW w:w="1640" w:type="dxa"/>
            <w:tcMar>
              <w:top w:w="100" w:type="nil"/>
              <w:right w:w="100" w:type="nil"/>
            </w:tcMar>
          </w:tcPr>
          <w:p w14:paraId="4B35BC9B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 (1.22, 1.26)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7917068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601376C0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EFEDAFB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Medicare</w:t>
            </w: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223C858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2.96 (2.92, 2.99)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1C9A6DE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73096D4D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5BF975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 Charge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21EAF0B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(0.87, 1.01)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E2DEDD1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0.077</w:t>
            </w:r>
          </w:p>
        </w:tc>
      </w:tr>
      <w:tr w:rsidR="00480AB0" w14:paraId="080E59B0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BB315F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05F5DDB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 (1.31, 1.40)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5A07752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034AD0CA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299360B3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Self pay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15F16981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 (0.82, 0.87)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9692F5C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499E214D" w14:textId="77777777" w:rsidTr="00480AB0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1A1E7351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Charlson</w:t>
            </w:r>
            <w:proofErr w:type="spellEnd"/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Comorbidity Index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1D3AB31C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 (1.29, 1.30)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F5F3F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3F645952" w14:textId="77777777" w:rsidTr="00480AB0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68388C3A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Poverty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5C688BC6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 (0.90, 1.02)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1C721B1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</w:tr>
      <w:tr w:rsidR="00480AB0" w14:paraId="0732ED59" w14:textId="77777777" w:rsidTr="00480AB0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7C36659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Teaching Hospital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E3A29B7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85F32F6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6462C7BE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7C82AFA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52582C6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B16CA7B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0791DA36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3C95B5F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56738F50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 (1.05, 1.19)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A4DD930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3B24E03D" w14:textId="77777777" w:rsidTr="00480AB0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16CFFF2" w14:textId="0038CD9B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Advanced Resource Hospital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DA38E7A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9DB491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186FBAE9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0BB5B88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EB31BF0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843B47C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5E4B98F2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11624986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02AB5B19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(1.19, 1.28)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2D27127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80AB0" w14:paraId="30825DC7" w14:textId="77777777" w:rsidTr="00480AB0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E0A672A" w14:textId="77777777" w:rsidR="00480AB0" w:rsidRP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B0">
              <w:rPr>
                <w:rFonts w:ascii="Times New Roman" w:hAnsi="Times New Roman" w:cs="Times New Roman"/>
                <w:b/>
                <w:sz w:val="20"/>
                <w:szCs w:val="20"/>
              </w:rPr>
              <w:t>Diagnosis Category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024B0C3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A9E2871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0BD4C84F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4547642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Simple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7498916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Reference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B1CD2EE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B0" w14:paraId="7DF148E9" w14:textId="77777777" w:rsidTr="00480AB0">
        <w:trPr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7D153BFD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Complex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32AB4914" w14:textId="77777777" w:rsidR="00480AB0" w:rsidRDefault="00480AB0" w:rsidP="00FE73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 (3.12, 3.20)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01F5AF4" w14:textId="77777777" w:rsidR="00480AB0" w:rsidRDefault="00480AB0" w:rsidP="00FE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4DEB6EEC" w14:textId="77777777" w:rsidR="00480AB0" w:rsidRPr="00EA064F" w:rsidRDefault="00480AB0" w:rsidP="00480AB0">
      <w:pPr>
        <w:ind w:left="1620"/>
        <w:rPr>
          <w:rFonts w:ascii="Times New Roman" w:hAnsi="Times New Roman" w:cs="Times New Roman"/>
          <w:sz w:val="20"/>
        </w:rPr>
      </w:pPr>
      <w:r w:rsidRPr="00EA064F">
        <w:rPr>
          <w:rFonts w:ascii="Times New Roman" w:hAnsi="Times New Roman" w:cs="Times New Roman"/>
          <w:sz w:val="20"/>
        </w:rPr>
        <w:t>SPAR: Spatial Access Ratio</w:t>
      </w:r>
    </w:p>
    <w:p w14:paraId="1759E6FD" w14:textId="6EFF3965" w:rsidR="00B648EA" w:rsidRDefault="00B648EA" w:rsidP="0094740D">
      <w:pPr>
        <w:sectPr w:rsidR="00B648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3A820E3C" w14:textId="77777777" w:rsidR="00B648EA" w:rsidRDefault="00B648EA" w:rsidP="0094740D"/>
    <w:tbl>
      <w:tblPr>
        <w:tblStyle w:val="TableGrid"/>
        <w:tblpPr w:leftFromText="180" w:rightFromText="180" w:vertAnchor="text" w:horzAnchor="margin" w:tblpXSpec="center" w:tblpY="532"/>
        <w:tblW w:w="0" w:type="auto"/>
        <w:tblLook w:val="04A0" w:firstRow="1" w:lastRow="0" w:firstColumn="1" w:lastColumn="0" w:noHBand="0" w:noVBand="1"/>
      </w:tblPr>
      <w:tblGrid>
        <w:gridCol w:w="2760"/>
        <w:gridCol w:w="1985"/>
        <w:gridCol w:w="1985"/>
        <w:gridCol w:w="1985"/>
        <w:gridCol w:w="1985"/>
        <w:gridCol w:w="2165"/>
      </w:tblGrid>
      <w:tr w:rsidR="00B648EA" w14:paraId="268349F9" w14:textId="77777777" w:rsidTr="00B648EA">
        <w:trPr>
          <w:trHeight w:val="436"/>
        </w:trPr>
        <w:tc>
          <w:tcPr>
            <w:tcW w:w="12865" w:type="dxa"/>
            <w:gridSpan w:val="6"/>
            <w:vAlign w:val="center"/>
          </w:tcPr>
          <w:p w14:paraId="73B5F4F5" w14:textId="77777777" w:rsidR="00B648EA" w:rsidRPr="00840D88" w:rsidRDefault="00B648EA" w:rsidP="00B648E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D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a)  Operative Intervention During Admission</w:t>
            </w:r>
          </w:p>
        </w:tc>
      </w:tr>
      <w:tr w:rsidR="00B648EA" w14:paraId="7E9FD635" w14:textId="77777777" w:rsidTr="00840D88">
        <w:trPr>
          <w:trHeight w:val="616"/>
        </w:trPr>
        <w:tc>
          <w:tcPr>
            <w:tcW w:w="2760" w:type="dxa"/>
            <w:vAlign w:val="center"/>
          </w:tcPr>
          <w:p w14:paraId="15B9AFC0" w14:textId="77777777" w:rsidR="00B648EA" w:rsidRPr="00B648EA" w:rsidRDefault="00B648EA" w:rsidP="00B64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980782" w14:textId="77777777" w:rsidR="00B648EA" w:rsidRPr="00B648EA" w:rsidRDefault="00B648EA" w:rsidP="00B6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SPAR = 0</w:t>
            </w:r>
          </w:p>
          <w:p w14:paraId="5664C6E3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N=6,454</w:t>
            </w:r>
          </w:p>
        </w:tc>
        <w:tc>
          <w:tcPr>
            <w:tcW w:w="1985" w:type="dxa"/>
            <w:vAlign w:val="center"/>
          </w:tcPr>
          <w:p w14:paraId="732EE94C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&lt; SPAR &lt; 0.5 N=21,433</w:t>
            </w:r>
          </w:p>
        </w:tc>
        <w:tc>
          <w:tcPr>
            <w:tcW w:w="1985" w:type="dxa"/>
            <w:vAlign w:val="center"/>
          </w:tcPr>
          <w:p w14:paraId="69B90BF5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 ≤ SPAR &lt; 1.0 N=46,405</w:t>
            </w:r>
          </w:p>
        </w:tc>
        <w:tc>
          <w:tcPr>
            <w:tcW w:w="1985" w:type="dxa"/>
            <w:vAlign w:val="center"/>
          </w:tcPr>
          <w:p w14:paraId="7B0C9FE0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 ≤ SPAR N=140,860</w:t>
            </w:r>
          </w:p>
        </w:tc>
        <w:tc>
          <w:tcPr>
            <w:tcW w:w="2165" w:type="dxa"/>
            <w:vAlign w:val="center"/>
          </w:tcPr>
          <w:p w14:paraId="2E5E4777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Multivariable Model*</w:t>
            </w:r>
          </w:p>
          <w:p w14:paraId="71E87A11" w14:textId="0ACC12C3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SPAR </w:t>
            </w:r>
            <w:proofErr w:type="spellStart"/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aOR</w:t>
            </w:r>
            <w:proofErr w:type="spellEnd"/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(95%CI)</w:t>
            </w:r>
          </w:p>
        </w:tc>
      </w:tr>
      <w:tr w:rsidR="00B648EA" w14:paraId="171C5D65" w14:textId="77777777" w:rsidTr="00B648EA">
        <w:trPr>
          <w:trHeight w:val="337"/>
        </w:trPr>
        <w:tc>
          <w:tcPr>
            <w:tcW w:w="2760" w:type="dxa"/>
            <w:vAlign w:val="center"/>
          </w:tcPr>
          <w:p w14:paraId="54E9AF28" w14:textId="77777777" w:rsidR="00B648EA" w:rsidRPr="00B648EA" w:rsidRDefault="00B648EA" w:rsidP="00B64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In-Hospital Mortality</w:t>
            </w:r>
          </w:p>
        </w:tc>
        <w:tc>
          <w:tcPr>
            <w:tcW w:w="1985" w:type="dxa"/>
            <w:vAlign w:val="center"/>
          </w:tcPr>
          <w:p w14:paraId="23F16DC5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321 (5%)</w:t>
            </w:r>
          </w:p>
        </w:tc>
        <w:tc>
          <w:tcPr>
            <w:tcW w:w="1985" w:type="dxa"/>
            <w:vAlign w:val="center"/>
          </w:tcPr>
          <w:p w14:paraId="000CE90D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685 (3%)</w:t>
            </w:r>
          </w:p>
        </w:tc>
        <w:tc>
          <w:tcPr>
            <w:tcW w:w="1985" w:type="dxa"/>
            <w:vAlign w:val="center"/>
          </w:tcPr>
          <w:p w14:paraId="0A5539F8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784 (2%)</w:t>
            </w:r>
          </w:p>
        </w:tc>
        <w:tc>
          <w:tcPr>
            <w:tcW w:w="1985" w:type="dxa"/>
            <w:vAlign w:val="center"/>
          </w:tcPr>
          <w:p w14:paraId="029D92F3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36,08 (3%)</w:t>
            </w:r>
          </w:p>
        </w:tc>
        <w:tc>
          <w:tcPr>
            <w:tcW w:w="2165" w:type="dxa"/>
            <w:vAlign w:val="center"/>
          </w:tcPr>
          <w:p w14:paraId="721B29B8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0.96 (0.94, 0.99)</w:t>
            </w:r>
          </w:p>
        </w:tc>
      </w:tr>
      <w:tr w:rsidR="00B648EA" w14:paraId="017E0C68" w14:textId="77777777" w:rsidTr="00B648EA">
        <w:trPr>
          <w:trHeight w:val="355"/>
        </w:trPr>
        <w:tc>
          <w:tcPr>
            <w:tcW w:w="2760" w:type="dxa"/>
            <w:vAlign w:val="center"/>
          </w:tcPr>
          <w:p w14:paraId="3637B319" w14:textId="77777777" w:rsidR="00B648EA" w:rsidRPr="00B648EA" w:rsidRDefault="00B648EA" w:rsidP="00B64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Composite Major Morbidity</w:t>
            </w:r>
          </w:p>
        </w:tc>
        <w:tc>
          <w:tcPr>
            <w:tcW w:w="1985" w:type="dxa"/>
            <w:vAlign w:val="center"/>
          </w:tcPr>
          <w:p w14:paraId="11DEA3E5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1,641 (25%)</w:t>
            </w:r>
          </w:p>
        </w:tc>
        <w:tc>
          <w:tcPr>
            <w:tcW w:w="1985" w:type="dxa"/>
            <w:vAlign w:val="center"/>
          </w:tcPr>
          <w:p w14:paraId="25424B8E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48,73 (23%)</w:t>
            </w:r>
          </w:p>
        </w:tc>
        <w:tc>
          <w:tcPr>
            <w:tcW w:w="1985" w:type="dxa"/>
            <w:vAlign w:val="center"/>
          </w:tcPr>
          <w:p w14:paraId="7B59455F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8,555 (18%)</w:t>
            </w:r>
          </w:p>
        </w:tc>
        <w:tc>
          <w:tcPr>
            <w:tcW w:w="1985" w:type="dxa"/>
            <w:vAlign w:val="center"/>
          </w:tcPr>
          <w:p w14:paraId="2AC755F5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29,487 (21%)</w:t>
            </w:r>
          </w:p>
        </w:tc>
        <w:tc>
          <w:tcPr>
            <w:tcW w:w="2165" w:type="dxa"/>
            <w:vAlign w:val="center"/>
          </w:tcPr>
          <w:p w14:paraId="3C396900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0.98 (0.97, 0.99)</w:t>
            </w:r>
          </w:p>
        </w:tc>
      </w:tr>
      <w:tr w:rsidR="00B648EA" w14:paraId="3DA06895" w14:textId="77777777" w:rsidTr="00B648EA">
        <w:tc>
          <w:tcPr>
            <w:tcW w:w="2760" w:type="dxa"/>
            <w:vAlign w:val="center"/>
          </w:tcPr>
          <w:p w14:paraId="5BAE985E" w14:textId="77777777" w:rsidR="00B648EA" w:rsidRPr="00B648EA" w:rsidRDefault="00B648EA" w:rsidP="00B64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183CE5" w14:textId="77777777" w:rsidR="00B648EA" w:rsidRPr="00B648EA" w:rsidRDefault="00B648EA" w:rsidP="00B6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E4EDF7" w14:textId="77777777" w:rsidR="00B648EA" w:rsidRPr="00B648EA" w:rsidRDefault="00B648EA" w:rsidP="00B6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89EF3A" w14:textId="77777777" w:rsidR="00B648EA" w:rsidRPr="00B648EA" w:rsidRDefault="00B648EA" w:rsidP="00B6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AB5D63" w14:textId="77777777" w:rsidR="00B648EA" w:rsidRPr="00B648EA" w:rsidRDefault="00B648EA" w:rsidP="00B6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82A6638" w14:textId="77777777" w:rsidR="00B648EA" w:rsidRPr="00B648EA" w:rsidRDefault="00B648EA" w:rsidP="00B6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EA" w14:paraId="153ED557" w14:textId="77777777" w:rsidTr="00B648EA">
        <w:trPr>
          <w:trHeight w:val="418"/>
        </w:trPr>
        <w:tc>
          <w:tcPr>
            <w:tcW w:w="12865" w:type="dxa"/>
            <w:gridSpan w:val="6"/>
            <w:vAlign w:val="center"/>
          </w:tcPr>
          <w:p w14:paraId="4DD8E7BB" w14:textId="77777777" w:rsidR="00B648EA" w:rsidRPr="00840D88" w:rsidRDefault="00B648EA" w:rsidP="00B648E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D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b) Interhospital Transfer</w:t>
            </w:r>
          </w:p>
        </w:tc>
      </w:tr>
      <w:tr w:rsidR="00B648EA" w14:paraId="773E8663" w14:textId="77777777" w:rsidTr="00840D88">
        <w:trPr>
          <w:trHeight w:val="607"/>
        </w:trPr>
        <w:tc>
          <w:tcPr>
            <w:tcW w:w="2760" w:type="dxa"/>
            <w:vAlign w:val="center"/>
          </w:tcPr>
          <w:p w14:paraId="268B2D5E" w14:textId="77777777" w:rsidR="00B648EA" w:rsidRPr="00B648EA" w:rsidRDefault="00B648EA" w:rsidP="00B64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5842EB" w14:textId="77777777" w:rsidR="00B648EA" w:rsidRPr="00B648EA" w:rsidRDefault="00B648EA" w:rsidP="00B6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SPAR = 0</w:t>
            </w:r>
          </w:p>
          <w:p w14:paraId="090C0E10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N=1,842</w:t>
            </w:r>
          </w:p>
        </w:tc>
        <w:tc>
          <w:tcPr>
            <w:tcW w:w="1985" w:type="dxa"/>
            <w:vAlign w:val="center"/>
          </w:tcPr>
          <w:p w14:paraId="2E842360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&lt; SPAR &lt; 0.5 N=5,772</w:t>
            </w:r>
          </w:p>
        </w:tc>
        <w:tc>
          <w:tcPr>
            <w:tcW w:w="1985" w:type="dxa"/>
            <w:vAlign w:val="center"/>
          </w:tcPr>
          <w:p w14:paraId="1E4DF01F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 ≤ SPAR &lt; 1.0 N=7,389</w:t>
            </w:r>
          </w:p>
        </w:tc>
        <w:tc>
          <w:tcPr>
            <w:tcW w:w="1985" w:type="dxa"/>
            <w:vAlign w:val="center"/>
          </w:tcPr>
          <w:p w14:paraId="2F018B5C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 ≤ SPAR N=14,857</w:t>
            </w:r>
          </w:p>
        </w:tc>
        <w:tc>
          <w:tcPr>
            <w:tcW w:w="2165" w:type="dxa"/>
            <w:vAlign w:val="center"/>
          </w:tcPr>
          <w:p w14:paraId="694C27CE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Multivariable Model*</w:t>
            </w:r>
          </w:p>
          <w:p w14:paraId="299FEC71" w14:textId="4008779F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SPAR </w:t>
            </w:r>
            <w:proofErr w:type="spellStart"/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aOR</w:t>
            </w:r>
            <w:proofErr w:type="spellEnd"/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(95%CI)</w:t>
            </w:r>
          </w:p>
        </w:tc>
      </w:tr>
      <w:tr w:rsidR="00B648EA" w14:paraId="3F62C225" w14:textId="77777777" w:rsidTr="00B648EA">
        <w:trPr>
          <w:trHeight w:val="373"/>
        </w:trPr>
        <w:tc>
          <w:tcPr>
            <w:tcW w:w="2760" w:type="dxa"/>
            <w:vAlign w:val="center"/>
          </w:tcPr>
          <w:p w14:paraId="34B66DEA" w14:textId="77777777" w:rsidR="00B648EA" w:rsidRPr="00B648EA" w:rsidRDefault="00B648EA" w:rsidP="00B64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In-Hospital Mortality</w:t>
            </w:r>
          </w:p>
        </w:tc>
        <w:tc>
          <w:tcPr>
            <w:tcW w:w="1985" w:type="dxa"/>
            <w:vAlign w:val="center"/>
          </w:tcPr>
          <w:p w14:paraId="55A37DDA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241 (13%)</w:t>
            </w:r>
          </w:p>
        </w:tc>
        <w:tc>
          <w:tcPr>
            <w:tcW w:w="1985" w:type="dxa"/>
            <w:vAlign w:val="center"/>
          </w:tcPr>
          <w:p w14:paraId="7C1FF7D9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356 (6%)</w:t>
            </w:r>
          </w:p>
        </w:tc>
        <w:tc>
          <w:tcPr>
            <w:tcW w:w="1985" w:type="dxa"/>
            <w:vAlign w:val="center"/>
          </w:tcPr>
          <w:p w14:paraId="71742FFF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314 (4%)</w:t>
            </w:r>
          </w:p>
        </w:tc>
        <w:tc>
          <w:tcPr>
            <w:tcW w:w="1985" w:type="dxa"/>
            <w:vAlign w:val="center"/>
          </w:tcPr>
          <w:p w14:paraId="116246B2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880 (6%)</w:t>
            </w:r>
          </w:p>
        </w:tc>
        <w:tc>
          <w:tcPr>
            <w:tcW w:w="2165" w:type="dxa"/>
            <w:vAlign w:val="center"/>
          </w:tcPr>
          <w:p w14:paraId="023ED44A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0.98 (0.94, 1.03)</w:t>
            </w:r>
          </w:p>
        </w:tc>
      </w:tr>
      <w:tr w:rsidR="00B648EA" w14:paraId="7C60A0C3" w14:textId="77777777" w:rsidTr="00B648EA">
        <w:trPr>
          <w:trHeight w:val="346"/>
        </w:trPr>
        <w:tc>
          <w:tcPr>
            <w:tcW w:w="2760" w:type="dxa"/>
            <w:vAlign w:val="center"/>
          </w:tcPr>
          <w:p w14:paraId="4ABEE62D" w14:textId="77777777" w:rsidR="00B648EA" w:rsidRPr="00B648EA" w:rsidRDefault="00B648EA" w:rsidP="00B64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Composite Major Morbidity</w:t>
            </w:r>
          </w:p>
        </w:tc>
        <w:tc>
          <w:tcPr>
            <w:tcW w:w="1985" w:type="dxa"/>
            <w:vAlign w:val="center"/>
          </w:tcPr>
          <w:p w14:paraId="189129F0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872 (47%)</w:t>
            </w:r>
          </w:p>
        </w:tc>
        <w:tc>
          <w:tcPr>
            <w:tcW w:w="1985" w:type="dxa"/>
            <w:vAlign w:val="center"/>
          </w:tcPr>
          <w:p w14:paraId="14028AA5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2,207 (38%)</w:t>
            </w:r>
          </w:p>
        </w:tc>
        <w:tc>
          <w:tcPr>
            <w:tcW w:w="1985" w:type="dxa"/>
            <w:vAlign w:val="center"/>
          </w:tcPr>
          <w:p w14:paraId="408DA718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2,513 (34%)</w:t>
            </w:r>
          </w:p>
        </w:tc>
        <w:tc>
          <w:tcPr>
            <w:tcW w:w="1985" w:type="dxa"/>
            <w:vAlign w:val="center"/>
          </w:tcPr>
          <w:p w14:paraId="155024AE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5,431 (37%)</w:t>
            </w:r>
          </w:p>
        </w:tc>
        <w:tc>
          <w:tcPr>
            <w:tcW w:w="2165" w:type="dxa"/>
            <w:vAlign w:val="center"/>
          </w:tcPr>
          <w:p w14:paraId="3E9BDC56" w14:textId="77777777" w:rsidR="00B648EA" w:rsidRPr="00B648EA" w:rsidRDefault="00B648EA" w:rsidP="00B6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EA">
              <w:rPr>
                <w:rFonts w:ascii="Times New Roman" w:hAnsi="Times New Roman" w:cs="Times New Roman"/>
                <w:sz w:val="20"/>
                <w:szCs w:val="20"/>
              </w:rPr>
              <w:t>0.98 (0.96, 1.01)</w:t>
            </w:r>
          </w:p>
        </w:tc>
      </w:tr>
    </w:tbl>
    <w:p w14:paraId="6509D264" w14:textId="2735D8DE" w:rsidR="00480AB0" w:rsidRDefault="00B648EA" w:rsidP="00B648EA">
      <w:pPr>
        <w:rPr>
          <w:rFonts w:ascii="Times New Roman" w:hAnsi="Times New Roman" w:cs="Times New Roman"/>
        </w:rPr>
      </w:pPr>
      <w:proofErr w:type="spellStart"/>
      <w:r w:rsidRPr="00B648EA">
        <w:rPr>
          <w:rFonts w:ascii="Times New Roman" w:hAnsi="Times New Roman" w:cs="Times New Roman"/>
          <w:b/>
          <w:bCs/>
        </w:rPr>
        <w:t>eTable</w:t>
      </w:r>
      <w:proofErr w:type="spellEnd"/>
      <w:r w:rsidRPr="00B648EA">
        <w:rPr>
          <w:rFonts w:ascii="Times New Roman" w:hAnsi="Times New Roman" w:cs="Times New Roman"/>
          <w:b/>
          <w:bCs/>
        </w:rPr>
        <w:t xml:space="preserve"> 5</w:t>
      </w:r>
      <w:r w:rsidRPr="00B648EA">
        <w:rPr>
          <w:rFonts w:ascii="Times New Roman" w:hAnsi="Times New Roman" w:cs="Times New Roman"/>
        </w:rPr>
        <w:t>. Subgroup analysis of Operative and Interhospital Transfer Cohorts</w:t>
      </w:r>
    </w:p>
    <w:p w14:paraId="57CD7272" w14:textId="7FAC6949" w:rsidR="00B648EA" w:rsidRDefault="00B648EA" w:rsidP="00B648EA">
      <w:pPr>
        <w:rPr>
          <w:rFonts w:ascii="Times New Roman" w:hAnsi="Times New Roman" w:cs="Times New Roman"/>
        </w:rPr>
      </w:pPr>
    </w:p>
    <w:p w14:paraId="1450089D" w14:textId="3E2C6C95" w:rsidR="00B648EA" w:rsidRPr="00B648EA" w:rsidRDefault="00B648EA" w:rsidP="00B6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*Adjusted for age, sex, race/ethnicity, expected primary payer, </w:t>
      </w:r>
      <w:proofErr w:type="spellStart"/>
      <w:r>
        <w:rPr>
          <w:rFonts w:ascii="Times New Roman" w:hAnsi="Times New Roman" w:cs="Times New Roman"/>
        </w:rPr>
        <w:t>Charlson</w:t>
      </w:r>
      <w:proofErr w:type="spellEnd"/>
      <w:r>
        <w:rPr>
          <w:rFonts w:ascii="Times New Roman" w:hAnsi="Times New Roman" w:cs="Times New Roman"/>
        </w:rPr>
        <w:t xml:space="preserve"> Comorbidity Index, poverty, teaching hospital, advanced resource hospital</w:t>
      </w:r>
    </w:p>
    <w:sectPr w:rsidR="00B648EA" w:rsidRPr="00B648EA" w:rsidSect="00B648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239B"/>
    <w:multiLevelType w:val="hybridMultilevel"/>
    <w:tmpl w:val="C35C4DAA"/>
    <w:lvl w:ilvl="0" w:tplc="018485FE">
      <w:start w:val="6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87D07"/>
    <w:multiLevelType w:val="hybridMultilevel"/>
    <w:tmpl w:val="ADDC75E8"/>
    <w:lvl w:ilvl="0" w:tplc="FB408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2342">
    <w:abstractNumId w:val="0"/>
  </w:num>
  <w:num w:numId="2" w16cid:durableId="205114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68"/>
    <w:rsid w:val="000539CE"/>
    <w:rsid w:val="002140F8"/>
    <w:rsid w:val="0034789B"/>
    <w:rsid w:val="00435CC1"/>
    <w:rsid w:val="00480AB0"/>
    <w:rsid w:val="005D6207"/>
    <w:rsid w:val="006B119B"/>
    <w:rsid w:val="00710A68"/>
    <w:rsid w:val="007476B8"/>
    <w:rsid w:val="00840D88"/>
    <w:rsid w:val="0094740D"/>
    <w:rsid w:val="00A11116"/>
    <w:rsid w:val="00B648EA"/>
    <w:rsid w:val="00CF49D9"/>
    <w:rsid w:val="00E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01DF"/>
  <w15:chartTrackingRefBased/>
  <w15:docId w15:val="{C92F69C1-13E0-5B4A-90EB-CDFB44E2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4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0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F49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MCCRUM</dc:creator>
  <cp:keywords/>
  <dc:description/>
  <cp:lastModifiedBy>MARTA MCCRUM</cp:lastModifiedBy>
  <cp:revision>3</cp:revision>
  <dcterms:created xsi:type="dcterms:W3CDTF">2022-10-11T17:51:00Z</dcterms:created>
  <dcterms:modified xsi:type="dcterms:W3CDTF">2022-10-11T17:52:00Z</dcterms:modified>
</cp:coreProperties>
</file>