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DEEB" w14:textId="04EA0952" w:rsidR="0063548F" w:rsidRPr="0063548F" w:rsidRDefault="0063548F" w:rsidP="0063548F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  <w:r w:rsidRPr="0063548F">
        <w:rPr>
          <w:rFonts w:ascii="Times New Roman" w:eastAsia="Times New Roman" w:hAnsi="Times New Roman" w:cs="Times New Roman"/>
          <w:b/>
          <w:sz w:val="22"/>
        </w:rPr>
        <w:t>Supplemental Digital Contents</w:t>
      </w:r>
      <w:r>
        <w:rPr>
          <w:rFonts w:ascii="Times New Roman" w:eastAsia="Times New Roman" w:hAnsi="Times New Roman" w:cs="Times New Roman"/>
          <w:b/>
          <w:sz w:val="22"/>
        </w:rPr>
        <w:t xml:space="preserve"> (SDC)</w:t>
      </w:r>
    </w:p>
    <w:p w14:paraId="1685BD50" w14:textId="0B68AE3D" w:rsidR="00262F24" w:rsidRDefault="0063548F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  <w:r w:rsidRPr="00BA6835">
        <w:rPr>
          <w:rFonts w:ascii="Times New Roman" w:eastAsia="Times New Roman" w:hAnsi="Times New Roman" w:cs="Times New Roman"/>
          <w:bCs/>
          <w:sz w:val="22"/>
        </w:rPr>
        <w:t>SDC</w:t>
      </w:r>
      <w:r w:rsidR="0046286E">
        <w:rPr>
          <w:rFonts w:ascii="Times New Roman" w:eastAsia="Times New Roman" w:hAnsi="Times New Roman" w:cs="Times New Roman"/>
          <w:bCs/>
          <w:sz w:val="22"/>
        </w:rPr>
        <w:t xml:space="preserve"> </w:t>
      </w:r>
      <w:r w:rsidRPr="00BA6835">
        <w:rPr>
          <w:rFonts w:ascii="Times New Roman" w:eastAsia="Times New Roman" w:hAnsi="Times New Roman" w:cs="Times New Roman"/>
          <w:bCs/>
          <w:sz w:val="22"/>
        </w:rPr>
        <w:t>1:</w:t>
      </w:r>
      <w:r w:rsidR="0046286E">
        <w:rPr>
          <w:rFonts w:ascii="Times New Roman" w:eastAsia="Times New Roman" w:hAnsi="Times New Roman" w:cs="Times New Roman"/>
          <w:bCs/>
          <w:sz w:val="22"/>
        </w:rPr>
        <w:t xml:space="preserve"> </w:t>
      </w:r>
      <w:r w:rsidRPr="00BA6835">
        <w:rPr>
          <w:rFonts w:ascii="Times New Roman" w:eastAsia="Times New Roman" w:hAnsi="Times New Roman" w:cs="Times New Roman"/>
          <w:bCs/>
          <w:sz w:val="22"/>
        </w:rPr>
        <w:t>The Strengthening the Reporting of Observational Studies in Epidemiology (STROBE) Statement</w:t>
      </w:r>
      <w:r w:rsidR="00AA098E">
        <w:rPr>
          <w:rFonts w:ascii="Times New Roman" w:eastAsia="Times New Roman" w:hAnsi="Times New Roman" w:cs="Times New Roman"/>
          <w:color w:val="000000"/>
          <w:sz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610"/>
        <w:gridCol w:w="5397"/>
        <w:gridCol w:w="1045"/>
      </w:tblGrid>
      <w:tr w:rsidR="00262F24" w:rsidRPr="00AA098E" w14:paraId="24069162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23BC62AE" w14:textId="77777777" w:rsidR="00262F24" w:rsidRPr="00AA098E" w:rsidRDefault="00262F24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D228508" w14:textId="77777777" w:rsidR="00262F24" w:rsidRPr="00AA098E" w:rsidRDefault="00000000">
            <w:pPr>
              <w:pStyle w:val="TableHeader"/>
              <w:tabs>
                <w:tab w:val="left" w:pos="5400"/>
              </w:tabs>
              <w:jc w:val="center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Item No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vAlign w:val="bottom"/>
          </w:tcPr>
          <w:p w14:paraId="005632E4" w14:textId="77777777" w:rsidR="00262F24" w:rsidRPr="00AA098E" w:rsidRDefault="00000000">
            <w:pPr>
              <w:pStyle w:val="TableHeader"/>
              <w:tabs>
                <w:tab w:val="left" w:pos="5400"/>
              </w:tabs>
              <w:jc w:val="center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Recommendation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5EB0409" w14:textId="77777777" w:rsidR="00262F24" w:rsidRPr="00AA098E" w:rsidRDefault="00000000">
            <w:pPr>
              <w:pStyle w:val="TableHeader"/>
              <w:tabs>
                <w:tab w:val="left" w:pos="5400"/>
              </w:tabs>
              <w:jc w:val="center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Page number</w:t>
            </w:r>
          </w:p>
        </w:tc>
      </w:tr>
      <w:tr w:rsidR="00262F24" w:rsidRPr="00AA098E" w14:paraId="469D7872" w14:textId="77777777" w:rsidTr="00AA098E">
        <w:tc>
          <w:tcPr>
            <w:tcW w:w="1979" w:type="dxa"/>
            <w:vMerge w:val="restart"/>
            <w:tcBorders>
              <w:bottom w:val="single" w:sz="4" w:space="0" w:color="auto"/>
            </w:tcBorders>
            <w:vAlign w:val="center"/>
          </w:tcPr>
          <w:p w14:paraId="2B0422B9" w14:textId="37DE80C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Title and abstract</w:t>
            </w:r>
          </w:p>
        </w:tc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14:paraId="58B4D6C1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C9F8D8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(a) Indicate the study’s design with a commonly used term in the title or the abstract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00478DD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Abstract</w:t>
            </w:r>
          </w:p>
        </w:tc>
      </w:tr>
      <w:tr w:rsidR="00262F24" w:rsidRPr="00AA098E" w14:paraId="0CBD41B6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22962B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23E7AE6A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0A1AD43B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(b) Provide in the abstract an informative and balanced summary of what was done and what was found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24C85F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Abstract</w:t>
            </w:r>
          </w:p>
        </w:tc>
      </w:tr>
      <w:tr w:rsidR="00262F24" w:rsidRPr="00AA098E" w14:paraId="23309D03" w14:textId="77777777" w:rsidTr="00AA098E"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14:paraId="538E8DD3" w14:textId="77777777" w:rsidR="00262F24" w:rsidRPr="00AA098E" w:rsidRDefault="00000000" w:rsidP="00AA098E">
            <w:pPr>
              <w:pStyle w:val="TableSubHead"/>
              <w:tabs>
                <w:tab w:val="left" w:pos="5400"/>
              </w:tabs>
              <w:jc w:val="both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Introduction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EE3C606" w14:textId="77777777" w:rsidR="00262F24" w:rsidRPr="00AA098E" w:rsidRDefault="00262F24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</w:tr>
      <w:tr w:rsidR="00262F24" w:rsidRPr="00AA098E" w14:paraId="0AF167E0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1B0444D9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Background/rationale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DD1FA9F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4B886BAB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B976B0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1</w:t>
            </w:r>
          </w:p>
        </w:tc>
      </w:tr>
      <w:tr w:rsidR="00262F24" w:rsidRPr="00AA098E" w14:paraId="24399480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A2AB3AB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Objectives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33BA947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2D9A977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State specific objectives, including any prespecified hypotheses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346F53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1-2</w:t>
            </w:r>
          </w:p>
        </w:tc>
      </w:tr>
      <w:tr w:rsidR="00262F24" w:rsidRPr="00AA098E" w14:paraId="7B58819D" w14:textId="77777777" w:rsidTr="00AA098E"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14:paraId="5002A65A" w14:textId="77777777" w:rsidR="00262F24" w:rsidRPr="00AA098E" w:rsidRDefault="00000000" w:rsidP="00AA098E">
            <w:pPr>
              <w:pStyle w:val="TableSubHead"/>
              <w:tabs>
                <w:tab w:val="left" w:pos="5400"/>
              </w:tabs>
              <w:jc w:val="both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Methods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0B498D9" w14:textId="77777777" w:rsidR="00262F24" w:rsidRPr="00AA098E" w:rsidRDefault="00262F24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</w:tr>
      <w:tr w:rsidR="00262F24" w:rsidRPr="00AA098E" w14:paraId="3CFAA1BC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D715A80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Study design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50A99AB8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15A163DB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Present key elements of study design early in the paper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B80885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1</w:t>
            </w:r>
          </w:p>
        </w:tc>
      </w:tr>
      <w:tr w:rsidR="00262F24" w:rsidRPr="00AA098E" w14:paraId="6FED10F9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61B6B28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Setting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4EAD0C6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0F57FD7F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DA4A22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2</w:t>
            </w:r>
          </w:p>
        </w:tc>
      </w:tr>
      <w:tr w:rsidR="00262F24" w:rsidRPr="00AA098E" w14:paraId="28D15086" w14:textId="77777777" w:rsidTr="00AA098E">
        <w:tc>
          <w:tcPr>
            <w:tcW w:w="1979" w:type="dxa"/>
            <w:vMerge w:val="restart"/>
            <w:tcBorders>
              <w:bottom w:val="single" w:sz="4" w:space="0" w:color="auto"/>
            </w:tcBorders>
            <w:vAlign w:val="center"/>
          </w:tcPr>
          <w:p w14:paraId="74B10EC0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Participants</w:t>
            </w:r>
          </w:p>
        </w:tc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14:paraId="478FC3FA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715E1AC5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(a) Give the eligibility criteria, and the sources and methods of selection of participants. Describe methods of follow-up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235E650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2</w:t>
            </w:r>
          </w:p>
        </w:tc>
      </w:tr>
      <w:tr w:rsidR="00262F24" w:rsidRPr="00AA098E" w14:paraId="3E64287F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10AE6C5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1A43CEFD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366874F6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(b) For matched studies, give matching criteria and number of exposed and unexposed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05BD76C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N/A</w:t>
            </w:r>
          </w:p>
        </w:tc>
      </w:tr>
      <w:tr w:rsidR="00262F24" w:rsidRPr="00AA098E" w14:paraId="320D99F2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237256F2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Variables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747E4E57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C9043F0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58B0A0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P.3</w:t>
            </w:r>
          </w:p>
        </w:tc>
      </w:tr>
      <w:tr w:rsidR="00262F24" w:rsidRPr="00AA098E" w14:paraId="06266326" w14:textId="77777777" w:rsidTr="00AA098E">
        <w:trPr>
          <w:trHeight w:val="294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4ED7B11B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Data sources/ measurement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3B22AA1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8*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51A49D1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 xml:space="preserve"> 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C8E9CE8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3</w:t>
            </w:r>
          </w:p>
        </w:tc>
      </w:tr>
      <w:tr w:rsidR="00262F24" w:rsidRPr="00AA098E" w14:paraId="695B79D2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9B66DD1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color w:val="000000"/>
                <w:sz w:val="20"/>
              </w:rPr>
              <w:t>Bias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369FA991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638F3D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1EE9873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color w:val="000000"/>
                <w:sz w:val="20"/>
              </w:rPr>
              <w:t>P. 9</w:t>
            </w:r>
          </w:p>
        </w:tc>
      </w:tr>
      <w:tr w:rsidR="00262F24" w:rsidRPr="00AA098E" w14:paraId="3595E273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55D6BD7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Study size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BFF0F4B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2FA7136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Explain how the study size was arrived at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CD5EA99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P.2</w:t>
            </w:r>
          </w:p>
        </w:tc>
      </w:tr>
      <w:tr w:rsidR="00262F24" w:rsidRPr="00AA098E" w14:paraId="4866E01C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21D1AC9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Quantitative variables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1997606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37519853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04D8151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P.2-3</w:t>
            </w:r>
          </w:p>
        </w:tc>
      </w:tr>
      <w:tr w:rsidR="00262F24" w:rsidRPr="00AA098E" w14:paraId="1A3E58AA" w14:textId="77777777" w:rsidTr="00AA098E">
        <w:tc>
          <w:tcPr>
            <w:tcW w:w="1979" w:type="dxa"/>
            <w:vMerge w:val="restart"/>
            <w:tcBorders>
              <w:bottom w:val="single" w:sz="4" w:space="0" w:color="auto"/>
            </w:tcBorders>
            <w:vAlign w:val="center"/>
          </w:tcPr>
          <w:p w14:paraId="2DB06A4A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Statistical methods</w:t>
            </w:r>
          </w:p>
        </w:tc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14:paraId="63EA63BC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32010EBF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(a) Describe all statistical methods, including those used to control for confounding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D9F7AF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3-4</w:t>
            </w:r>
          </w:p>
        </w:tc>
      </w:tr>
      <w:tr w:rsidR="00262F24" w:rsidRPr="00AA098E" w14:paraId="56095B13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DC24EF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6C81C0FC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48D56D6C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(b) Describe any methods used to examine subgroups and interactions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ED39509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3-4</w:t>
            </w:r>
          </w:p>
        </w:tc>
      </w:tr>
      <w:tr w:rsidR="00262F24" w:rsidRPr="00AA098E" w14:paraId="71F1B139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FF7DBD1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22B8BAB1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3DEE30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(c) Explain how missing data were addressed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8B77AE0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3</w:t>
            </w:r>
          </w:p>
        </w:tc>
      </w:tr>
      <w:tr w:rsidR="00262F24" w:rsidRPr="00AA098E" w14:paraId="3A2D544C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28CD58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185A89B4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646184F9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(d) If applicable, explain how loss to follow-up was addressed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C372258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N/A</w:t>
            </w:r>
          </w:p>
        </w:tc>
      </w:tr>
      <w:tr w:rsidR="00262F24" w:rsidRPr="00AA098E" w14:paraId="463C19CA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807C8A3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5DA91E08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3BF20CD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AA098E">
              <w:rPr>
                <w:rFonts w:ascii="Times New Roman" w:eastAsia="Calibri" w:hAnsi="Times New Roman" w:cs="Times New Roman"/>
                <w:sz w:val="20"/>
                <w:u w:val="single"/>
              </w:rPr>
              <w:t>e</w:t>
            </w:r>
            <w:r w:rsidRPr="00AA098E">
              <w:rPr>
                <w:rFonts w:ascii="Times New Roman" w:eastAsia="Calibri" w:hAnsi="Times New Roman" w:cs="Times New Roman"/>
                <w:sz w:val="20"/>
              </w:rPr>
              <w:t>) Describe any sensitivity analyses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FE2AE0D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6</w:t>
            </w:r>
          </w:p>
        </w:tc>
      </w:tr>
      <w:tr w:rsidR="00262F24" w:rsidRPr="00AA098E" w14:paraId="7272E744" w14:textId="77777777" w:rsidTr="00AA098E"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14:paraId="0AB637E6" w14:textId="77777777" w:rsidR="00262F24" w:rsidRPr="00AA098E" w:rsidRDefault="00000000" w:rsidP="00AA098E">
            <w:pPr>
              <w:pStyle w:val="TableSubHead"/>
              <w:tabs>
                <w:tab w:val="left" w:pos="5400"/>
              </w:tabs>
              <w:jc w:val="both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Results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B8B1A0C" w14:textId="77777777" w:rsidR="00262F24" w:rsidRPr="00AA098E" w:rsidRDefault="00262F24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</w:tr>
      <w:tr w:rsidR="00262F24" w:rsidRPr="00AA098E" w14:paraId="13CC7685" w14:textId="77777777" w:rsidTr="00AA098E">
        <w:tc>
          <w:tcPr>
            <w:tcW w:w="1979" w:type="dxa"/>
            <w:vMerge w:val="restart"/>
            <w:tcBorders>
              <w:bottom w:val="single" w:sz="4" w:space="0" w:color="auto"/>
            </w:tcBorders>
            <w:vAlign w:val="center"/>
          </w:tcPr>
          <w:p w14:paraId="3D1F22A6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Participants</w:t>
            </w:r>
          </w:p>
        </w:tc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14:paraId="6E811963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13*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69B7D80F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CE8A345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5</w:t>
            </w:r>
          </w:p>
        </w:tc>
      </w:tr>
      <w:tr w:rsidR="00262F24" w:rsidRPr="00AA098E" w14:paraId="7B7B7DB0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EB87BD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57C312B5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71B19AAB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(b) Give reasons for non-participation at each stage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587880F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2</w:t>
            </w:r>
          </w:p>
        </w:tc>
      </w:tr>
      <w:tr w:rsidR="00262F24" w:rsidRPr="00AA098E" w14:paraId="7F5D1368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91CBC3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3342D760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64D480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(c) Consider use of a flow diagram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7DD2142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Figure 1</w:t>
            </w:r>
          </w:p>
        </w:tc>
      </w:tr>
      <w:tr w:rsidR="00262F24" w:rsidRPr="00AA098E" w14:paraId="4259FBB1" w14:textId="77777777" w:rsidTr="00AA098E">
        <w:tc>
          <w:tcPr>
            <w:tcW w:w="1979" w:type="dxa"/>
            <w:vMerge w:val="restart"/>
            <w:tcBorders>
              <w:bottom w:val="single" w:sz="4" w:space="0" w:color="auto"/>
            </w:tcBorders>
            <w:vAlign w:val="center"/>
          </w:tcPr>
          <w:p w14:paraId="30BE6FCC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Descriptive data</w:t>
            </w:r>
          </w:p>
        </w:tc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14:paraId="14D3B80F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14*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1948CDDA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90DD2BA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Table 1</w:t>
            </w:r>
          </w:p>
        </w:tc>
      </w:tr>
      <w:tr w:rsidR="00262F24" w:rsidRPr="00AA098E" w14:paraId="3E6B4DD9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1199224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1D082494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5C700FC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219AF6A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Figure 1</w:t>
            </w:r>
          </w:p>
        </w:tc>
      </w:tr>
      <w:tr w:rsidR="00262F24" w:rsidRPr="00AA098E" w14:paraId="547A8C45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5965D97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649148F0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34A80C49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(c) Summarise follow-up time (eg, average and total amount)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DEC11FB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Table 1</w:t>
            </w:r>
          </w:p>
        </w:tc>
      </w:tr>
      <w:tr w:rsidR="00262F24" w:rsidRPr="00AA098E" w14:paraId="7ECD5D37" w14:textId="77777777" w:rsidTr="00AA098E">
        <w:trPr>
          <w:trHeight w:val="295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C6414D8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Outcome data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2680A43F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15*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3029CF71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Report numbers of outcome events or summary measures over time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F07F1A0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Table 1</w:t>
            </w:r>
          </w:p>
        </w:tc>
      </w:tr>
      <w:tr w:rsidR="00262F24" w:rsidRPr="00AA098E" w14:paraId="0F9D0C5B" w14:textId="77777777" w:rsidTr="00AA098E"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FBDF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lastRenderedPageBreak/>
              <w:t>Main results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345B47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1E9E6E4A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(a)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3EF9C8E7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Table 3, 4</w:t>
            </w:r>
          </w:p>
        </w:tc>
      </w:tr>
      <w:tr w:rsidR="00262F24" w:rsidRPr="00AA098E" w14:paraId="4D8B39D7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6EFA8A6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03259484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53BF45DF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(b) Report category boundaries when continuous variables were categorized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6BE86583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Table 3, 4</w:t>
            </w:r>
          </w:p>
        </w:tc>
      </w:tr>
      <w:tr w:rsidR="00262F24" w:rsidRPr="00AA098E" w14:paraId="05E8299E" w14:textId="77777777" w:rsidTr="00AA098E">
        <w:tc>
          <w:tcPr>
            <w:tcW w:w="197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36D2A1" w14:textId="77777777" w:rsidR="00262F24" w:rsidRPr="00AA098E" w:rsidRDefault="00262F24" w:rsidP="00AA0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4" w:space="0" w:color="auto"/>
            </w:tcBorders>
          </w:tcPr>
          <w:p w14:paraId="5F3B6F69" w14:textId="77777777" w:rsidR="00262F24" w:rsidRPr="00AA098E" w:rsidRDefault="0026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062DF1FB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(c) If relevant, consider translating estimates of relative risk into absolute risk for a meaningful time period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2BA8CDB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Table 3, 4</w:t>
            </w:r>
          </w:p>
        </w:tc>
      </w:tr>
      <w:tr w:rsidR="00262F24" w:rsidRPr="00AA098E" w14:paraId="0FF8DC98" w14:textId="77777777" w:rsidTr="00AA098E"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140DB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Other analyses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D71DCB5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142D131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20419B8B" w14:textId="16BEC601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SDC</w:t>
            </w:r>
            <w:r w:rsidR="00066877" w:rsidRPr="00AA098E">
              <w:rPr>
                <w:rFonts w:ascii="Times New Roman" w:eastAsia="Calibri" w:hAnsi="Times New Roman" w:cs="Times New Roman"/>
                <w:sz w:val="20"/>
              </w:rPr>
              <w:t xml:space="preserve"> 4, 5</w:t>
            </w:r>
          </w:p>
        </w:tc>
      </w:tr>
      <w:tr w:rsidR="00262F24" w:rsidRPr="00AA098E" w14:paraId="609275AB" w14:textId="77777777" w:rsidTr="00AA098E">
        <w:tc>
          <w:tcPr>
            <w:tcW w:w="8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3766E" w14:textId="77777777" w:rsidR="00262F24" w:rsidRPr="00AA098E" w:rsidRDefault="00000000" w:rsidP="00AA098E">
            <w:pPr>
              <w:pStyle w:val="TableSubHead"/>
              <w:tabs>
                <w:tab w:val="left" w:pos="5400"/>
              </w:tabs>
              <w:jc w:val="both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Discussion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2653312E" w14:textId="77777777" w:rsidR="00262F24" w:rsidRPr="00AA098E" w:rsidRDefault="00262F24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</w:tr>
      <w:tr w:rsidR="00262F24" w:rsidRPr="00AA098E" w14:paraId="63FDAB9E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DB917A8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Key results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70CD6F81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18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143BA239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Summarise key results with reference to study objectives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ECB300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6</w:t>
            </w:r>
          </w:p>
        </w:tc>
      </w:tr>
      <w:tr w:rsidR="00262F24" w:rsidRPr="00AA098E" w14:paraId="498045F4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15ADC603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Limitations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6920CFF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6C097D68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31CF8C4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9</w:t>
            </w:r>
          </w:p>
        </w:tc>
      </w:tr>
      <w:tr w:rsidR="00262F24" w:rsidRPr="00AA098E" w14:paraId="2A06621D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90877CF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Interpretation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34E915B2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6CF20AC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C95631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7-8</w:t>
            </w:r>
          </w:p>
        </w:tc>
      </w:tr>
      <w:tr w:rsidR="00262F24" w:rsidRPr="00AA098E" w14:paraId="6970C758" w14:textId="77777777" w:rsidTr="00AA098E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1EEAB54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Generalisability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4C2FA994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21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5B897A77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Discuss the generalisability (external validity) of the study results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42C100E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P. 9</w:t>
            </w:r>
          </w:p>
        </w:tc>
      </w:tr>
      <w:tr w:rsidR="00262F24" w:rsidRPr="00AA098E" w14:paraId="0597AE32" w14:textId="77777777" w:rsidTr="00AA098E">
        <w:tc>
          <w:tcPr>
            <w:tcW w:w="8839" w:type="dxa"/>
            <w:gridSpan w:val="3"/>
            <w:tcBorders>
              <w:bottom w:val="single" w:sz="4" w:space="0" w:color="auto"/>
            </w:tcBorders>
            <w:vAlign w:val="center"/>
          </w:tcPr>
          <w:p w14:paraId="269C6824" w14:textId="77777777" w:rsidR="00262F24" w:rsidRPr="00AA098E" w:rsidRDefault="00000000" w:rsidP="00AA098E">
            <w:pPr>
              <w:pStyle w:val="TableSubHead"/>
              <w:tabs>
                <w:tab w:val="left" w:pos="5400"/>
              </w:tabs>
              <w:jc w:val="both"/>
              <w:rPr>
                <w:b w:val="0"/>
                <w:sz w:val="20"/>
              </w:rPr>
            </w:pPr>
            <w:r w:rsidRPr="00AA098E">
              <w:rPr>
                <w:b w:val="0"/>
                <w:sz w:val="20"/>
              </w:rPr>
              <w:t>Other information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953F981" w14:textId="77777777" w:rsidR="00262F24" w:rsidRPr="00AA098E" w:rsidRDefault="00262F24">
            <w:pPr>
              <w:pStyle w:val="TableSubHead"/>
              <w:tabs>
                <w:tab w:val="left" w:pos="5400"/>
              </w:tabs>
              <w:rPr>
                <w:b w:val="0"/>
                <w:sz w:val="20"/>
              </w:rPr>
            </w:pPr>
          </w:p>
        </w:tc>
      </w:tr>
      <w:tr w:rsidR="00262F24" w:rsidRPr="00AA098E" w14:paraId="773B498B" w14:textId="77777777" w:rsidTr="00AA098E"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26FF5" w14:textId="77777777" w:rsidR="00262F24" w:rsidRPr="00AA098E" w:rsidRDefault="00000000" w:rsidP="00AA098E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Funding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38DE1E6" w14:textId="77777777" w:rsidR="00262F24" w:rsidRPr="00AA098E" w:rsidRDefault="00000000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22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</w:tcPr>
          <w:p w14:paraId="151FEA82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4742850" w14:textId="77777777" w:rsidR="00262F24" w:rsidRPr="00AA098E" w:rsidRDefault="00000000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AA098E">
              <w:rPr>
                <w:rFonts w:ascii="Times New Roman" w:eastAsia="Calibri" w:hAnsi="Times New Roman" w:cs="Times New Roman"/>
                <w:sz w:val="20"/>
              </w:rPr>
              <w:t>Title page</w:t>
            </w:r>
          </w:p>
        </w:tc>
      </w:tr>
    </w:tbl>
    <w:p w14:paraId="5577B87B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6CED2431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br w:type="page"/>
      </w:r>
    </w:p>
    <w:p w14:paraId="24698018" w14:textId="1758EE58" w:rsidR="0063548F" w:rsidRPr="0063548F" w:rsidRDefault="0063548F" w:rsidP="0063548F">
      <w:pPr>
        <w:spacing w:line="480" w:lineRule="auto"/>
        <w:rPr>
          <w:rFonts w:ascii="Times New Roman" w:eastAsia="Times New Roman" w:hAnsi="Times New Roman" w:cs="Times New Roman"/>
          <w:bCs/>
          <w:sz w:val="22"/>
        </w:rPr>
      </w:pPr>
      <w:r w:rsidRPr="0063548F">
        <w:rPr>
          <w:rFonts w:ascii="Times New Roman" w:eastAsia="Times New Roman" w:hAnsi="Times New Roman" w:cs="Times New Roman"/>
          <w:bCs/>
          <w:sz w:val="22"/>
        </w:rPr>
        <w:lastRenderedPageBreak/>
        <w:t xml:space="preserve">SDC 2: Histograms of </w:t>
      </w:r>
      <w:r w:rsidRPr="0063548F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(A) </w:t>
      </w:r>
      <w:r w:rsidRPr="0063548F">
        <w:rPr>
          <w:rFonts w:ascii="Times New Roman" w:eastAsia="Times New Roman" w:hAnsi="Times New Roman" w:cs="Times New Roman"/>
          <w:bCs/>
          <w:sz w:val="22"/>
        </w:rPr>
        <w:t xml:space="preserve">mean annual geriatric case volume and </w:t>
      </w:r>
      <w:r w:rsidRPr="0063548F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(B) </w:t>
      </w:r>
      <w:r w:rsidRPr="0063548F">
        <w:rPr>
          <w:rFonts w:ascii="Times New Roman" w:eastAsia="Times New Roman" w:hAnsi="Times New Roman" w:cs="Times New Roman"/>
          <w:bCs/>
          <w:sz w:val="22"/>
        </w:rPr>
        <w:t>rate of geriatric trauma patients.</w:t>
      </w:r>
    </w:p>
    <w:p w14:paraId="6A7A48CD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7F2AB41" wp14:editId="73A09C39">
            <wp:extent cx="5047488" cy="3785617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3500" cy="382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C805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0CD16912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58B897C0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3CA29424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4419F86D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335C5526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783B6DB1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1AEC05CE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6BA775E4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1262A5AA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6D7A2BB8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3542AD02" w14:textId="77777777" w:rsidR="007E42C9" w:rsidRDefault="007E42C9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br w:type="page"/>
      </w:r>
    </w:p>
    <w:p w14:paraId="02EC1E32" w14:textId="471BA4FC" w:rsidR="00262F24" w:rsidRPr="00824FE9" w:rsidRDefault="00492C80">
      <w:pPr>
        <w:spacing w:line="480" w:lineRule="auto"/>
        <w:rPr>
          <w:rFonts w:ascii="Times New Roman" w:eastAsia="Times New Roman" w:hAnsi="Times New Roman" w:cs="Times New Roman"/>
          <w:bCs/>
          <w:sz w:val="22"/>
        </w:rPr>
      </w:pPr>
      <w:r w:rsidRPr="00492C80">
        <w:rPr>
          <w:rFonts w:ascii="Times New Roman" w:eastAsia="Times New Roman" w:hAnsi="Times New Roman" w:cs="Times New Roman"/>
          <w:bCs/>
          <w:sz w:val="22"/>
        </w:rPr>
        <w:lastRenderedPageBreak/>
        <w:t xml:space="preserve">SDC 3: Association of geriatric case volume and geriatric case rate with outcomes among geriatric trauma patients using generalized linear mixed model (medium geriatric case volume and geriatric case rate groups were </w:t>
      </w:r>
      <w:r>
        <w:rPr>
          <w:rFonts w:ascii="Times New Roman" w:eastAsia="Times New Roman" w:hAnsi="Times New Roman" w:cs="Times New Roman"/>
          <w:bCs/>
          <w:sz w:val="22"/>
        </w:rPr>
        <w:t>treated</w:t>
      </w:r>
      <w:r w:rsidRPr="00492C80">
        <w:rPr>
          <w:rFonts w:ascii="Times New Roman" w:eastAsia="Times New Roman" w:hAnsi="Times New Roman" w:cs="Times New Roman"/>
          <w:bCs/>
          <w:sz w:val="22"/>
        </w:rPr>
        <w:t xml:space="preserve"> as reference).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22"/>
        <w:gridCol w:w="866"/>
        <w:gridCol w:w="1822"/>
        <w:gridCol w:w="866"/>
        <w:gridCol w:w="1822"/>
        <w:gridCol w:w="866"/>
      </w:tblGrid>
      <w:tr w:rsidR="00262F24" w14:paraId="1996F38B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F0A74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0D70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In-hospital mortality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57AE3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8266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Adverse events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68313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F768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Prolonged LOS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3C26F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3B9B59A8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F09DF7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GCV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8CE5BA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F9FE35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3E0BB1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F758C29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5B8EECF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524B0B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3D8C7A6A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B565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Low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B954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1.12 (0.99–1.28)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59B60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A0FF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1.18 (1.05–1.30)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2D2E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23B9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1.26 (1.14–1.41)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4EED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</w:tr>
      <w:tr w:rsidR="00262F24" w14:paraId="4177112D" w14:textId="77777777">
        <w:trPr>
          <w:trHeight w:val="387"/>
        </w:trPr>
        <w:tc>
          <w:tcPr>
            <w:tcW w:w="962" w:type="dxa"/>
            <w:tcBorders>
              <w:left w:val="nil"/>
              <w:bottom w:val="nil"/>
              <w:right w:val="nil"/>
            </w:tcBorders>
            <w:vAlign w:val="center"/>
          </w:tcPr>
          <w:p w14:paraId="5140FE1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Medium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45607A1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1.00 (reference)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2137C37B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73530F5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1.00 (reference)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54804549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57EEE2D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1.00 (reference)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02819D2A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02AE155E" w14:textId="77777777">
        <w:trPr>
          <w:trHeight w:val="387"/>
        </w:trPr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AB8A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High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EBA0B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0.87 (0.83–0.91)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1341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B9401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0.89 (0.85–0.92)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D4A8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80636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0.88 (0.84–0.92)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730C5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</w:tr>
      <w:tr w:rsidR="00262F24" w14:paraId="7639231A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B7678D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GCR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B07753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82912C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AC32F6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CFEF9C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CC051C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90F2CD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3EDF3025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4903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Low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D338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1.16 (1.08–1.26)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E4F3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2631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1.19 (1.11–1.26)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DFA540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D3377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1.31 (1.25–1.36)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3479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&lt;0.001</w:t>
            </w:r>
          </w:p>
        </w:tc>
      </w:tr>
      <w:tr w:rsidR="00262F24" w14:paraId="12F986C7" w14:textId="77777777">
        <w:trPr>
          <w:trHeight w:val="387"/>
        </w:trPr>
        <w:tc>
          <w:tcPr>
            <w:tcW w:w="962" w:type="dxa"/>
            <w:tcBorders>
              <w:left w:val="nil"/>
              <w:bottom w:val="nil"/>
              <w:right w:val="nil"/>
            </w:tcBorders>
            <w:vAlign w:val="center"/>
          </w:tcPr>
          <w:p w14:paraId="1346DAA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Medium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203FF38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1.00 (reference)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506DF288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24FE349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1.00 (reference)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4734F90C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564319E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1.00 (reference)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14:paraId="67466765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71DFB264" w14:textId="77777777">
        <w:trPr>
          <w:trHeight w:val="387"/>
        </w:trPr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B4482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High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40BB0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0.98 (0.91–1.05)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525D0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0.279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985D9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0.94 (0.89–1.01)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4BA9E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0.059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1A4E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0.95 (0.87–1.05)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E150A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0.382</w:t>
            </w:r>
          </w:p>
        </w:tc>
      </w:tr>
    </w:tbl>
    <w:p w14:paraId="2DCB881C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Data are presented as odds ratio (95% </w:t>
      </w:r>
      <w:r>
        <w:rPr>
          <w:rFonts w:ascii="Times New Roman" w:eastAsia="Times New Roman" w:hAnsi="Times New Roman" w:cs="Times New Roman"/>
          <w:color w:val="000000"/>
          <w:sz w:val="22"/>
        </w:rPr>
        <w:t>confedence interval</w:t>
      </w:r>
      <w:r>
        <w:rPr>
          <w:rFonts w:ascii="Times New Roman" w:eastAsia="Times New Roman" w:hAnsi="Times New Roman" w:cs="Times New Roman"/>
          <w:sz w:val="22"/>
        </w:rPr>
        <w:t>).</w:t>
      </w:r>
    </w:p>
    <w:p w14:paraId="743175A8" w14:textId="06089619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model was adjusted for age, </w:t>
      </w:r>
      <w:r w:rsidR="0085189D">
        <w:rPr>
          <w:rFonts w:ascii="Times New Roman" w:eastAsia="Times New Roman" w:hAnsi="Times New Roman" w:cs="Times New Roman"/>
          <w:sz w:val="22"/>
        </w:rPr>
        <w:t>se</w:t>
      </w:r>
      <w:r w:rsidR="007E42C9">
        <w:rPr>
          <w:rFonts w:ascii="Times New Roman" w:eastAsia="Times New Roman" w:hAnsi="Times New Roman" w:cs="Times New Roman"/>
          <w:sz w:val="22"/>
        </w:rPr>
        <w:t>x</w:t>
      </w:r>
      <w:r>
        <w:rPr>
          <w:rFonts w:ascii="Times New Roman" w:eastAsia="Times New Roman" w:hAnsi="Times New Roman" w:cs="Times New Roman"/>
          <w:sz w:val="22"/>
        </w:rPr>
        <w:t>, injury mechanism (penetrating or blunt), Revised Trauma Score (RTS), ISS, modified Frailty Index, hospital characteristics (ACS verification level and teaching status).</w:t>
      </w:r>
    </w:p>
    <w:p w14:paraId="287BA5EB" w14:textId="703B714A" w:rsidR="00262F24" w:rsidRDefault="00000000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Abbreviations: </w:t>
      </w:r>
      <w:r>
        <w:rPr>
          <w:rFonts w:ascii="Times New Roman" w:eastAsia="Times New Roman" w:hAnsi="Times New Roman" w:cs="Times New Roman"/>
          <w:color w:val="000000"/>
          <w:sz w:val="22"/>
        </w:rPr>
        <w:t>OR odds ratio, CI confedence interval, LOS length of stay, GCV geriatric case volume, GCR geriatric case rate.</w:t>
      </w:r>
    </w:p>
    <w:p w14:paraId="2A98F3D3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48CEBC1F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</w:p>
    <w:p w14:paraId="3E13BC44" w14:textId="77777777" w:rsidR="00262F24" w:rsidRDefault="00000000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br w:type="page"/>
      </w:r>
    </w:p>
    <w:p w14:paraId="162A4FBA" w14:textId="168838E2" w:rsidR="00262F24" w:rsidRPr="0063548F" w:rsidRDefault="0063548F">
      <w:pPr>
        <w:spacing w:line="480" w:lineRule="auto"/>
        <w:rPr>
          <w:rFonts w:ascii="Times New Roman" w:eastAsia="Times New Roman" w:hAnsi="Times New Roman" w:cs="Times New Roman"/>
          <w:bCs/>
          <w:sz w:val="22"/>
        </w:rPr>
      </w:pPr>
      <w:r w:rsidRPr="0063548F">
        <w:rPr>
          <w:rFonts w:ascii="Times New Roman" w:eastAsia="Times New Roman" w:hAnsi="Times New Roman" w:cs="Times New Roman"/>
          <w:bCs/>
          <w:sz w:val="22"/>
        </w:rPr>
        <w:lastRenderedPageBreak/>
        <w:t>SDC 4: Cox proportional hazard regression analysis of 28-day mortality among high-geriatric case volume/rate subgroups.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096"/>
        <w:gridCol w:w="1160"/>
        <w:gridCol w:w="2320"/>
        <w:gridCol w:w="1080"/>
      </w:tblGrid>
      <w:tr w:rsidR="00262F24" w14:paraId="37C932FC" w14:textId="77777777">
        <w:trPr>
          <w:trHeight w:val="400"/>
        </w:trPr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0414FE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Geriatric case volume (GCV)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4A47AF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50E020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HR (95% 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570145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6F3CFA1C" w14:textId="77777777">
        <w:trPr>
          <w:trHeight w:val="400"/>
        </w:trPr>
        <w:tc>
          <w:tcPr>
            <w:tcW w:w="2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5BE2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Among high-GCR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D628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low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A500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2,678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DEF9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D7137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62F24" w14:paraId="239C68B7" w14:textId="77777777">
        <w:trPr>
          <w:trHeight w:val="400"/>
        </w:trPr>
        <w:tc>
          <w:tcPr>
            <w:tcW w:w="2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3E7AE" w14:textId="77777777" w:rsidR="00262F24" w:rsidRDefault="00262F24"/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center"/>
          </w:tcPr>
          <w:p w14:paraId="5AEBBA1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medium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204E702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9,248</w:t>
            </w: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vAlign w:val="center"/>
          </w:tcPr>
          <w:p w14:paraId="7C3053D0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0.94 (0.76–1.15)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650C4AB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0.532</w:t>
            </w:r>
          </w:p>
        </w:tc>
      </w:tr>
      <w:tr w:rsidR="00262F24" w14:paraId="57F02CB6" w14:textId="77777777">
        <w:trPr>
          <w:trHeight w:val="420"/>
        </w:trPr>
        <w:tc>
          <w:tcPr>
            <w:tcW w:w="2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FA77" w14:textId="77777777" w:rsidR="00262F24" w:rsidRDefault="00262F24"/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BA73B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high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6B83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13,272</w:t>
            </w: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068D7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0.76 (0.62–0.93)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6E0CD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&lt;0.001</w:t>
            </w:r>
          </w:p>
        </w:tc>
      </w:tr>
      <w:tr w:rsidR="00262F24" w14:paraId="5043DDD7" w14:textId="77777777">
        <w:trPr>
          <w:trHeight w:val="400"/>
        </w:trPr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3F0255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Geriatric case rate (GCR)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ED4A78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5F2B159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HR (95% CI)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2E758B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7532C72A" w14:textId="77777777">
        <w:trPr>
          <w:trHeight w:val="400"/>
        </w:trPr>
        <w:tc>
          <w:tcPr>
            <w:tcW w:w="23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26E20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Among high-GCV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7A67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low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A82E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51,951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C463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1.00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F4ABB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262F24" w14:paraId="7A2E8E70" w14:textId="77777777">
        <w:trPr>
          <w:trHeight w:val="400"/>
        </w:trPr>
        <w:tc>
          <w:tcPr>
            <w:tcW w:w="2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F914A" w14:textId="77777777" w:rsidR="00262F24" w:rsidRDefault="00262F24"/>
        </w:tc>
        <w:tc>
          <w:tcPr>
            <w:tcW w:w="1096" w:type="dxa"/>
            <w:tcBorders>
              <w:left w:val="nil"/>
              <w:bottom w:val="nil"/>
              <w:right w:val="nil"/>
            </w:tcBorders>
            <w:vAlign w:val="center"/>
          </w:tcPr>
          <w:p w14:paraId="4845A79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medium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333C02C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53,940</w:t>
            </w: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  <w:vAlign w:val="center"/>
          </w:tcPr>
          <w:p w14:paraId="204491B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0.92 (0.88–0.95)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019632F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&lt;0.001</w:t>
            </w:r>
          </w:p>
        </w:tc>
      </w:tr>
      <w:tr w:rsidR="00262F24" w14:paraId="2DFDEA39" w14:textId="77777777">
        <w:trPr>
          <w:trHeight w:val="420"/>
        </w:trPr>
        <w:tc>
          <w:tcPr>
            <w:tcW w:w="23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B54EC" w14:textId="77777777" w:rsidR="00262F24" w:rsidRDefault="00262F24"/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5DF3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high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A20A8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13,272</w:t>
            </w: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7A3E3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0.78 (0.73–0.84)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B2DE1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&lt;0.001</w:t>
            </w:r>
          </w:p>
        </w:tc>
      </w:tr>
    </w:tbl>
    <w:p w14:paraId="010F6175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Data are presented as hazard ratio (95% </w:t>
      </w:r>
      <w:r>
        <w:rPr>
          <w:rFonts w:ascii="Times New Roman" w:eastAsia="Times New Roman" w:hAnsi="Times New Roman" w:cs="Times New Roman"/>
          <w:color w:val="000000"/>
          <w:sz w:val="22"/>
        </w:rPr>
        <w:t>confedence interval</w:t>
      </w:r>
      <w:r>
        <w:rPr>
          <w:rFonts w:ascii="Times New Roman" w:eastAsia="Times New Roman" w:hAnsi="Times New Roman" w:cs="Times New Roman"/>
          <w:sz w:val="22"/>
        </w:rPr>
        <w:t>).</w:t>
      </w:r>
    </w:p>
    <w:p w14:paraId="461A6353" w14:textId="127301F2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model was adjusted for age, </w:t>
      </w:r>
      <w:r w:rsidR="0085189D">
        <w:rPr>
          <w:rFonts w:ascii="Times New Roman" w:eastAsia="Times New Roman" w:hAnsi="Times New Roman" w:cs="Times New Roman"/>
          <w:sz w:val="22"/>
        </w:rPr>
        <w:t>sex</w:t>
      </w:r>
      <w:r>
        <w:rPr>
          <w:rFonts w:ascii="Times New Roman" w:eastAsia="Times New Roman" w:hAnsi="Times New Roman" w:cs="Times New Roman"/>
          <w:sz w:val="22"/>
        </w:rPr>
        <w:t>, injury mechanism (penetrating or blunt), Revised Trauma Score (RTS), ISS, modified Frailty Index, hospital characteristics (ACS verification level and teaching status).</w:t>
      </w:r>
    </w:p>
    <w:p w14:paraId="7D614C3A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Abbreviations: HR </w:t>
      </w:r>
      <w:r>
        <w:rPr>
          <w:rFonts w:ascii="Times New Roman" w:eastAsia="Times New Roman" w:hAnsi="Times New Roman" w:cs="Times New Roman"/>
          <w:color w:val="000000"/>
          <w:sz w:val="22"/>
        </w:rPr>
        <w:t>hazard ratio, CI confedence interval.</w:t>
      </w:r>
    </w:p>
    <w:p w14:paraId="18B65A03" w14:textId="77777777" w:rsidR="00262F24" w:rsidRDefault="00262F24"/>
    <w:p w14:paraId="26A7F231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br w:type="page"/>
      </w:r>
    </w:p>
    <w:p w14:paraId="1403181F" w14:textId="0D0BF703" w:rsidR="00262F24" w:rsidRPr="00824FE9" w:rsidRDefault="0063548F">
      <w:pPr>
        <w:spacing w:line="480" w:lineRule="auto"/>
        <w:rPr>
          <w:rFonts w:ascii="Times New Roman" w:eastAsia="Times New Roman" w:hAnsi="Times New Roman" w:cs="Times New Roman"/>
          <w:bCs/>
          <w:sz w:val="22"/>
        </w:rPr>
      </w:pPr>
      <w:r w:rsidRPr="0063548F">
        <w:rPr>
          <w:rFonts w:ascii="Times New Roman" w:eastAsia="Times New Roman" w:hAnsi="Times New Roman" w:cs="Times New Roman"/>
          <w:bCs/>
          <w:sz w:val="22"/>
        </w:rPr>
        <w:lastRenderedPageBreak/>
        <w:t xml:space="preserve">SDC 5: </w:t>
      </w:r>
      <w:r w:rsidR="00824FE9" w:rsidRPr="00824FE9">
        <w:rPr>
          <w:rFonts w:ascii="Times New Roman" w:eastAsia="Times New Roman" w:hAnsi="Times New Roman" w:cs="Times New Roman"/>
          <w:bCs/>
          <w:sz w:val="22"/>
        </w:rPr>
        <w:t>Association of geriatric case volume and geriatric case rate with in-hospital mortality and adverse events among subgroups with less severe injury (Injury Severity Score &lt;16) using generalized linear mixed model.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28"/>
        <w:gridCol w:w="860"/>
        <w:gridCol w:w="1828"/>
        <w:gridCol w:w="860"/>
        <w:gridCol w:w="1828"/>
        <w:gridCol w:w="860"/>
      </w:tblGrid>
      <w:tr w:rsidR="00262F24" w14:paraId="28E82D70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11A54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BE3C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In-hospital mortality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E2C47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5515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Adverse events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931A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11DE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Prolonged LOS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49EAD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299B735E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E23EC50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GCV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32DB5F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BAABD2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026E40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F067AC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6A0A11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5B5010A5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68FADB06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5A66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Low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E962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398AE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539BC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491B3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666E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694E5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5FD6A145" w14:textId="77777777">
        <w:trPr>
          <w:trHeight w:val="387"/>
        </w:trPr>
        <w:tc>
          <w:tcPr>
            <w:tcW w:w="962" w:type="dxa"/>
            <w:tcBorders>
              <w:left w:val="nil"/>
              <w:bottom w:val="nil"/>
              <w:right w:val="nil"/>
            </w:tcBorders>
            <w:vAlign w:val="center"/>
          </w:tcPr>
          <w:p w14:paraId="7AB15A1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Medium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00DAB15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 (0.83–0.99)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60D280C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06A2CC7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0.85 (0.77–0.95)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2E8A36A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075EE369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 (0.77–0.93)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5E46DE9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262F24" w14:paraId="19E1E172" w14:textId="77777777">
        <w:trPr>
          <w:trHeight w:val="387"/>
        </w:trPr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5C06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High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E36F0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0.82 (0.72–0.92)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268B0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B0433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 (0.71–0.88)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0F6D40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DEE2A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 (0.63–0.75)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AAEA0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262F24" w14:paraId="5EEEAB4F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9929B6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GCR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5860486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0C5B78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C1DE33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1A3CCB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3F266B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55A940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1E4A7C2F" w14:textId="77777777">
        <w:trPr>
          <w:trHeight w:val="387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EE7D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Low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008E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266CE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E9B1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B7CA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A875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EEF8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01BD09AC" w14:textId="77777777">
        <w:trPr>
          <w:trHeight w:val="387"/>
        </w:trPr>
        <w:tc>
          <w:tcPr>
            <w:tcW w:w="962" w:type="dxa"/>
            <w:tcBorders>
              <w:left w:val="nil"/>
              <w:bottom w:val="nil"/>
              <w:right w:val="nil"/>
            </w:tcBorders>
            <w:vAlign w:val="center"/>
          </w:tcPr>
          <w:p w14:paraId="2A8AD39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Medium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2AE5253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0.86 (0.79–0.92)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33D2BB5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366A40E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 (0.79–0.90)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2548327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  <w:vAlign w:val="center"/>
          </w:tcPr>
          <w:p w14:paraId="5DC4A53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 (0.59–0.65)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5C0332B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262F24" w14:paraId="48F20D3F" w14:textId="77777777">
        <w:trPr>
          <w:trHeight w:val="387"/>
        </w:trPr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8BCA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High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9990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 (0.73–0.90)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D15E6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1FE86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 (0.68–0.82)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24178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A77AE6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 (0.51–0.59)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228FC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14:paraId="08F308D3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Data are presented as odds ratio (95% </w:t>
      </w:r>
      <w:r>
        <w:rPr>
          <w:rFonts w:ascii="Times New Roman" w:eastAsia="Times New Roman" w:hAnsi="Times New Roman" w:cs="Times New Roman"/>
          <w:color w:val="000000"/>
          <w:sz w:val="22"/>
        </w:rPr>
        <w:t>confedence interval</w:t>
      </w:r>
      <w:r>
        <w:rPr>
          <w:rFonts w:ascii="Times New Roman" w:eastAsia="Times New Roman" w:hAnsi="Times New Roman" w:cs="Times New Roman"/>
          <w:sz w:val="22"/>
        </w:rPr>
        <w:t>).</w:t>
      </w:r>
    </w:p>
    <w:p w14:paraId="6EA64DD5" w14:textId="611E519E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model was adjusted for age, </w:t>
      </w:r>
      <w:r w:rsidR="0085189D">
        <w:rPr>
          <w:rFonts w:ascii="Times New Roman" w:eastAsia="Times New Roman" w:hAnsi="Times New Roman" w:cs="Times New Roman"/>
          <w:sz w:val="22"/>
        </w:rPr>
        <w:t>sex</w:t>
      </w:r>
      <w:r>
        <w:rPr>
          <w:rFonts w:ascii="Times New Roman" w:eastAsia="Times New Roman" w:hAnsi="Times New Roman" w:cs="Times New Roman"/>
          <w:sz w:val="22"/>
        </w:rPr>
        <w:t>, injury mechanism (penetrating or blunt), Revised Trauma Score (RTS), ISS, modified Frailty Index, hospital characteristics (ACS verification level and teaching status).</w:t>
      </w:r>
    </w:p>
    <w:p w14:paraId="7D04D3A5" w14:textId="40B3933D" w:rsidR="00262F24" w:rsidRDefault="00000000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Abbreviations: </w:t>
      </w:r>
      <w:r>
        <w:rPr>
          <w:rFonts w:ascii="Times New Roman" w:eastAsia="Times New Roman" w:hAnsi="Times New Roman" w:cs="Times New Roman"/>
          <w:color w:val="000000"/>
          <w:sz w:val="22"/>
        </w:rPr>
        <w:t>OR odds ratio, CI confedence interval, LOS length of stay, GCV geriatric case volume, GCR geriatric case rate.</w:t>
      </w:r>
    </w:p>
    <w:p w14:paraId="3D38571B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35726B85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01939673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15FF780C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04AD15AB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7F24EDAA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46BE7F37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15234B28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0606FFC6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558EF1EC" w14:textId="77777777" w:rsidR="00262F24" w:rsidRDefault="00262F24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14:paraId="67E3BDE7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br w:type="page"/>
      </w:r>
    </w:p>
    <w:p w14:paraId="41FC9B06" w14:textId="0C160487" w:rsidR="00262F24" w:rsidRPr="0063548F" w:rsidRDefault="0063548F">
      <w:pPr>
        <w:spacing w:line="480" w:lineRule="auto"/>
        <w:rPr>
          <w:rFonts w:ascii="Times New Roman" w:eastAsia="Times New Roman" w:hAnsi="Times New Roman" w:cs="Times New Roman"/>
          <w:bCs/>
          <w:sz w:val="22"/>
        </w:rPr>
      </w:pPr>
      <w:r w:rsidRPr="0063548F">
        <w:rPr>
          <w:rFonts w:ascii="Times New Roman" w:eastAsia="Times New Roman" w:hAnsi="Times New Roman" w:cs="Times New Roman"/>
          <w:bCs/>
          <w:sz w:val="22"/>
        </w:rPr>
        <w:lastRenderedPageBreak/>
        <w:t>SDC 6: Association between teaching status/trauma center levels and in-hospital mortality in geriatric trauma patients using generalized linear mixed model.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2031"/>
        <w:gridCol w:w="876"/>
      </w:tblGrid>
      <w:tr w:rsidR="00262F24" w14:paraId="5AF0DCEE" w14:textId="77777777">
        <w:trPr>
          <w:trHeight w:val="387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086E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40FD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In-hospital mortality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1A26D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5EB559F3" w14:textId="77777777">
        <w:trPr>
          <w:trHeight w:val="387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5586C2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Teaching status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0C3AF2C3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C7FD25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4FFDDFE6" w14:textId="77777777">
        <w:trPr>
          <w:trHeight w:val="387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8B34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Teaching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2186F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04759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4D8AD74E" w14:textId="77777777">
        <w:trPr>
          <w:trHeight w:val="387"/>
        </w:trPr>
        <w:tc>
          <w:tcPr>
            <w:tcW w:w="1968" w:type="dxa"/>
            <w:tcBorders>
              <w:left w:val="nil"/>
              <w:bottom w:val="nil"/>
              <w:right w:val="nil"/>
            </w:tcBorders>
            <w:vAlign w:val="center"/>
          </w:tcPr>
          <w:p w14:paraId="598347B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Non-teaching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14:paraId="1C63AE39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0.98 (0.94-1.03)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371F79A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0.660</w:t>
            </w:r>
          </w:p>
        </w:tc>
      </w:tr>
      <w:tr w:rsidR="00262F24" w14:paraId="0AE81CB1" w14:textId="77777777">
        <w:trPr>
          <w:trHeight w:val="387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272AACB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Trauma center level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40F175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OR (95% CI)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1FE7C02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p-value</w:t>
            </w:r>
          </w:p>
        </w:tc>
      </w:tr>
      <w:tr w:rsidR="00262F24" w14:paraId="17684655" w14:textId="77777777">
        <w:trPr>
          <w:trHeight w:val="387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15C1D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Level 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5785A7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 (reference)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F053A" w14:textId="77777777" w:rsidR="00262F24" w:rsidRDefault="00262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62F24" w14:paraId="0E2FCCA7" w14:textId="77777777">
        <w:trPr>
          <w:trHeight w:val="387"/>
        </w:trPr>
        <w:tc>
          <w:tcPr>
            <w:tcW w:w="1968" w:type="dxa"/>
            <w:tcBorders>
              <w:left w:val="nil"/>
              <w:bottom w:val="nil"/>
              <w:right w:val="nil"/>
            </w:tcBorders>
            <w:vAlign w:val="center"/>
          </w:tcPr>
          <w:p w14:paraId="165EF09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Level 2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14:paraId="533F9B4E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1.01 (0.97-1.05)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14:paraId="4A35D4C1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0.523</w:t>
            </w:r>
          </w:p>
        </w:tc>
      </w:tr>
      <w:tr w:rsidR="00262F24" w14:paraId="76B7A42F" w14:textId="77777777">
        <w:trPr>
          <w:trHeight w:val="387"/>
        </w:trPr>
        <w:tc>
          <w:tcPr>
            <w:tcW w:w="19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AE2A8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Level 3/non-TC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62584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0.91 (0.81-1.02)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BA14AA" w14:textId="77777777" w:rsidR="00262F24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0.105</w:t>
            </w:r>
          </w:p>
        </w:tc>
      </w:tr>
    </w:tbl>
    <w:p w14:paraId="7E228486" w14:textId="77777777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Data are presented as odds ratio (95% </w:t>
      </w:r>
      <w:r>
        <w:rPr>
          <w:rFonts w:ascii="Times New Roman" w:eastAsia="Times New Roman" w:hAnsi="Times New Roman" w:cs="Times New Roman"/>
          <w:color w:val="000000"/>
          <w:sz w:val="22"/>
        </w:rPr>
        <w:t>confedence interval</w:t>
      </w:r>
      <w:r>
        <w:rPr>
          <w:rFonts w:ascii="Times New Roman" w:eastAsia="Times New Roman" w:hAnsi="Times New Roman" w:cs="Times New Roman"/>
          <w:sz w:val="22"/>
        </w:rPr>
        <w:t>).</w:t>
      </w:r>
    </w:p>
    <w:p w14:paraId="0D4306CA" w14:textId="7561556F" w:rsidR="00262F24" w:rsidRDefault="00000000">
      <w:pPr>
        <w:spacing w:line="48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model was adjusted for age, </w:t>
      </w:r>
      <w:r w:rsidR="0085189D">
        <w:rPr>
          <w:rFonts w:ascii="Times New Roman" w:eastAsia="Times New Roman" w:hAnsi="Times New Roman" w:cs="Times New Roman"/>
          <w:sz w:val="22"/>
        </w:rPr>
        <w:t>sex</w:t>
      </w:r>
      <w:r>
        <w:rPr>
          <w:rFonts w:ascii="Times New Roman" w:eastAsia="Times New Roman" w:hAnsi="Times New Roman" w:cs="Times New Roman"/>
          <w:sz w:val="22"/>
        </w:rPr>
        <w:t>, injury mechanism (penetrating or blunt), Revised Trauma Score (RTS), ISS, modified Frailty Index.</w:t>
      </w:r>
    </w:p>
    <w:p w14:paraId="5F681B78" w14:textId="0E6D06CB" w:rsidR="00262F24" w:rsidRDefault="00000000">
      <w:pPr>
        <w:spacing w:line="48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Abbreviations: </w:t>
      </w:r>
      <w:r>
        <w:rPr>
          <w:rFonts w:ascii="Times New Roman" w:eastAsia="Times New Roman" w:hAnsi="Times New Roman" w:cs="Times New Roman"/>
          <w:color w:val="000000"/>
          <w:sz w:val="22"/>
        </w:rPr>
        <w:t>OR odds ratio, CI confedence interval, TC trauma center.</w:t>
      </w:r>
    </w:p>
    <w:sectPr w:rsidR="00262F24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033"/>
    <w:multiLevelType w:val="multilevel"/>
    <w:tmpl w:val="37808C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D4EF7"/>
    <w:multiLevelType w:val="multilevel"/>
    <w:tmpl w:val="48BA90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612262"/>
    <w:multiLevelType w:val="multilevel"/>
    <w:tmpl w:val="6D6065FA"/>
    <w:lvl w:ilvl="0">
      <w:start w:val="1"/>
      <w:numFmt w:val="upperLetter"/>
      <w:lvlText w:val="(%1.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1324477">
    <w:abstractNumId w:val="0"/>
  </w:num>
  <w:num w:numId="2" w16cid:durableId="1272544358">
    <w:abstractNumId w:val="1"/>
  </w:num>
  <w:num w:numId="3" w16cid:durableId="162924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24"/>
    <w:rsid w:val="00066877"/>
    <w:rsid w:val="000F546B"/>
    <w:rsid w:val="00262F24"/>
    <w:rsid w:val="003F4884"/>
    <w:rsid w:val="0046286E"/>
    <w:rsid w:val="00492C80"/>
    <w:rsid w:val="0063548F"/>
    <w:rsid w:val="007E42C9"/>
    <w:rsid w:val="00824FE9"/>
    <w:rsid w:val="0085189D"/>
    <w:rsid w:val="008C76B1"/>
    <w:rsid w:val="009B212B"/>
    <w:rsid w:val="00AA098E"/>
    <w:rsid w:val="00B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EAC38"/>
  <w15:docId w15:val="{B3D49674-DBD6-3549-B501-EC217CCF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sz w:val="21"/>
      <w:lang w:val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pPr>
      <w:spacing w:line="305" w:lineRule="auto"/>
    </w:pPr>
    <w:rPr>
      <w:rFonts w:ascii="Calibri" w:eastAsia="Calibri" w:hAnsi="Calibri" w:cs="Calibri"/>
      <w:sz w:val="26"/>
    </w:rPr>
  </w:style>
  <w:style w:type="paragraph" w:styleId="2">
    <w:name w:val="toc 2"/>
    <w:basedOn w:val="a"/>
    <w:pPr>
      <w:spacing w:line="330" w:lineRule="auto"/>
    </w:pPr>
    <w:rPr>
      <w:rFonts w:ascii="Calibri" w:eastAsia="Calibri" w:hAnsi="Calibri" w:cs="Calibri"/>
      <w:sz w:val="24"/>
    </w:rPr>
  </w:style>
  <w:style w:type="paragraph" w:styleId="3">
    <w:name w:val="toc 3"/>
    <w:basedOn w:val="a"/>
    <w:pPr>
      <w:spacing w:line="360" w:lineRule="auto"/>
    </w:pPr>
    <w:rPr>
      <w:rFonts w:ascii="Calibri" w:eastAsia="Calibri" w:hAnsi="Calibri" w:cs="Calibri"/>
      <w:sz w:val="22"/>
    </w:rPr>
  </w:style>
  <w:style w:type="paragraph" w:styleId="4">
    <w:name w:val="toc 4"/>
    <w:basedOn w:val="a"/>
    <w:pPr>
      <w:spacing w:line="330" w:lineRule="exact"/>
    </w:pPr>
    <w:rPr>
      <w:rFonts w:ascii="Calibri" w:eastAsia="Calibri" w:hAnsi="Calibri" w:cs="Calibri"/>
    </w:rPr>
  </w:style>
  <w:style w:type="paragraph" w:styleId="5">
    <w:name w:val="toc 5"/>
    <w:basedOn w:val="a"/>
    <w:pPr>
      <w:spacing w:line="330" w:lineRule="exact"/>
    </w:pPr>
    <w:rPr>
      <w:rFonts w:ascii="Calibri" w:eastAsia="Calibri" w:hAnsi="Calibri" w:cs="Calibri"/>
    </w:rPr>
  </w:style>
  <w:style w:type="paragraph" w:styleId="6">
    <w:name w:val="toc 6"/>
    <w:basedOn w:val="a"/>
    <w:pPr>
      <w:spacing w:line="330" w:lineRule="exact"/>
    </w:pPr>
    <w:rPr>
      <w:rFonts w:ascii="Calibri" w:eastAsia="Calibri" w:hAnsi="Calibri" w:cs="Calibri"/>
    </w:rPr>
  </w:style>
  <w:style w:type="paragraph" w:styleId="7">
    <w:name w:val="toc 7"/>
    <w:basedOn w:val="a"/>
    <w:pPr>
      <w:spacing w:line="330" w:lineRule="exact"/>
    </w:pPr>
    <w:rPr>
      <w:rFonts w:ascii="Calibri" w:eastAsia="Calibri" w:hAnsi="Calibri" w:cs="Calibri"/>
    </w:rPr>
  </w:style>
  <w:style w:type="paragraph" w:styleId="8">
    <w:name w:val="toc 8"/>
    <w:basedOn w:val="a"/>
    <w:pPr>
      <w:spacing w:line="330" w:lineRule="exact"/>
    </w:pPr>
    <w:rPr>
      <w:rFonts w:ascii="Calibri" w:eastAsia="Calibri" w:hAnsi="Calibri" w:cs="Calibri"/>
    </w:rPr>
  </w:style>
  <w:style w:type="paragraph" w:styleId="9">
    <w:name w:val="toc 9"/>
    <w:basedOn w:val="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tblPr>
      <w:tblOverlap w:val="never"/>
      <w:tblCellMar>
        <w:top w:w="0" w:type="dxa"/>
        <w:left w:w="10" w:type="dxa"/>
        <w:bottom w:w="0" w:type="dxa"/>
        <w:right w:w="10" w:type="dxa"/>
      </w:tblCellMar>
    </w:tblPr>
  </w:style>
  <w:style w:type="character" w:styleId="a4">
    <w:name w:val="annotation reference"/>
    <w:basedOn w:val="a0"/>
    <w:rPr>
      <w:sz w:val="18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annotation text"/>
    <w:basedOn w:val="a"/>
    <w:pPr>
      <w:jc w:val="left"/>
    </w:pPr>
    <w:rPr>
      <w:rFonts w:ascii="Calibri" w:eastAsia="Calibri" w:hAnsi="Calibri" w:cs="Calibri"/>
      <w:sz w:val="20"/>
    </w:rPr>
  </w:style>
  <w:style w:type="paragraph" w:styleId="a8">
    <w:name w:val="annotation subject"/>
    <w:basedOn w:val="a7"/>
    <w:rPr>
      <w:b/>
    </w:rPr>
  </w:style>
  <w:style w:type="paragraph" w:styleId="a9">
    <w:name w:val="Revision"/>
    <w:pPr>
      <w:spacing w:after="0" w:line="240" w:lineRule="auto"/>
    </w:pPr>
    <w:rPr>
      <w:sz w:val="21"/>
    </w:rPr>
  </w:style>
  <w:style w:type="paragraph" w:customStyle="1" w:styleId="TableTitle">
    <w:name w:val="TableTitle"/>
    <w:basedOn w:val="a"/>
    <w:qFormat/>
    <w:pPr>
      <w:widowControl/>
      <w:spacing w:line="300" w:lineRule="exact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TableHeader">
    <w:name w:val="TableHeader"/>
    <w:basedOn w:val="a"/>
    <w:pPr>
      <w:widowControl/>
      <w:spacing w:before="120"/>
      <w:jc w:val="left"/>
    </w:pPr>
    <w:rPr>
      <w:rFonts w:ascii="Times New Roman" w:eastAsia="Times New Roman" w:hAnsi="Times New Roman" w:cs="Times New Roman"/>
      <w:b/>
      <w:sz w:val="24"/>
    </w:rPr>
  </w:style>
  <w:style w:type="paragraph" w:customStyle="1" w:styleId="TableSubHead">
    <w:name w:val="TableSubHead"/>
    <w:basedOn w:val="TableHeader"/>
  </w:style>
  <w:style w:type="paragraph" w:styleId="aa">
    <w:name w:val="List Paragraph"/>
    <w:basedOn w:val="a"/>
    <w:pPr>
      <w:ind w:left="840"/>
    </w:pPr>
  </w:style>
  <w:style w:type="paragraph" w:customStyle="1" w:styleId="TableList">
    <w:name w:val="Table List"/>
    <w:basedOn w:val="a"/>
    <w:pPr>
      <w:ind w:left="300" w:hanging="300"/>
      <w:jc w:val="left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Pr>
      <w:shd w:val="clear" w:color="auto" w:fill="D0FCE2"/>
    </w:rPr>
  </w:style>
  <w:style w:type="character" w:customStyle="1" w:styleId="FamilyName">
    <w:name w:val="Family Name"/>
    <w:basedOn w:val="a0"/>
    <w:rPr>
      <w:shd w:val="clear" w:color="auto" w:fill="88F4BE"/>
    </w:rPr>
  </w:style>
  <w:style w:type="paragraph" w:customStyle="1" w:styleId="List8">
    <w:name w:val="List 8"/>
    <w:basedOn w:val="a"/>
    <w:pPr>
      <w:spacing w:line="360" w:lineRule="auto"/>
      <w:ind w:left="1980" w:hanging="400"/>
    </w:pPr>
    <w:rPr>
      <w:rFonts w:ascii="Calibri" w:eastAsia="Calibri" w:hAnsi="Calibri" w:cs="Calibri"/>
      <w:sz w:val="22"/>
    </w:rPr>
  </w:style>
  <w:style w:type="character" w:customStyle="1" w:styleId="Cross-reference">
    <w:name w:val="Cross-reference"/>
    <w:basedOn w:val="a0"/>
    <w:rPr>
      <w:shd w:val="clear" w:color="auto" w:fill="FFE3C9"/>
    </w:rPr>
  </w:style>
  <w:style w:type="paragraph" w:customStyle="1" w:styleId="TableNote">
    <w:name w:val="Table Note"/>
    <w:basedOn w:val="a"/>
    <w:rPr>
      <w:rFonts w:ascii="Calibri" w:eastAsia="Calibri" w:hAnsi="Calibri" w:cs="Calibri"/>
      <w:sz w:val="18"/>
    </w:rPr>
  </w:style>
  <w:style w:type="character" w:customStyle="1" w:styleId="Postcode">
    <w:name w:val="Postcode"/>
    <w:basedOn w:val="a0"/>
    <w:rPr>
      <w:shd w:val="clear" w:color="auto" w:fill="BEBEBE"/>
    </w:rPr>
  </w:style>
  <w:style w:type="paragraph" w:customStyle="1" w:styleId="Correspondence">
    <w:name w:val="Correspondence"/>
    <w:basedOn w:val="a"/>
    <w:pPr>
      <w:shd w:val="clear" w:color="auto" w:fill="F3F7F9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GrantID">
    <w:name w:val="Grant ID"/>
    <w:basedOn w:val="a0"/>
    <w:rPr>
      <w:shd w:val="clear" w:color="auto" w:fill="DDA5FF"/>
    </w:rPr>
  </w:style>
  <w:style w:type="paragraph" w:customStyle="1" w:styleId="Annotation">
    <w:name w:val="Annotation"/>
    <w:basedOn w:val="a"/>
    <w:pPr>
      <w:spacing w:after="160" w:line="360" w:lineRule="auto"/>
      <w:ind w:left="400"/>
      <w:jc w:val="left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styleId="ab">
    <w:name w:val="footnote text"/>
    <w:basedOn w:val="a"/>
    <w:rPr>
      <w:rFonts w:ascii="Calibri" w:eastAsia="Calibri" w:hAnsi="Calibri" w:cs="Calibri"/>
    </w:rPr>
  </w:style>
  <w:style w:type="paragraph" w:customStyle="1" w:styleId="Formula">
    <w:name w:val="Formula"/>
    <w:basedOn w:val="a"/>
    <w:pPr>
      <w:shd w:val="clear" w:color="auto" w:fill="FFF5ED"/>
      <w:spacing w:before="120" w:after="120" w:line="360" w:lineRule="auto"/>
      <w:jc w:val="left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pPr>
      <w:spacing w:after="160" w:line="360" w:lineRule="auto"/>
      <w:ind w:left="1440" w:right="1440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pPr>
      <w:spacing w:after="320"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Pr>
      <w:shd w:val="clear" w:color="auto" w:fill="FFC391"/>
      <w:vertAlign w:val="baseline"/>
    </w:rPr>
  </w:style>
  <w:style w:type="paragraph" w:customStyle="1" w:styleId="Keywords">
    <w:name w:val="Keywords"/>
    <w:basedOn w:val="a"/>
    <w:pPr>
      <w:spacing w:line="396" w:lineRule="auto"/>
      <w:ind w:left="1000"/>
      <w:jc w:val="left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Pr>
      <w:shd w:val="clear" w:color="auto" w:fill="D1FFB5"/>
    </w:rPr>
  </w:style>
  <w:style w:type="paragraph" w:styleId="20">
    <w:name w:val="List 2"/>
    <w:basedOn w:val="a"/>
    <w:pPr>
      <w:spacing w:line="360" w:lineRule="auto"/>
      <w:ind w:left="800" w:hanging="400"/>
    </w:pPr>
    <w:rPr>
      <w:rFonts w:ascii="Calibri" w:eastAsia="Calibri" w:hAnsi="Calibri" w:cs="Calibri"/>
      <w:sz w:val="22"/>
    </w:rPr>
  </w:style>
  <w:style w:type="character" w:customStyle="1" w:styleId="GlossaryTerm">
    <w:name w:val="Glossary Term"/>
    <w:basedOn w:val="a0"/>
    <w:rPr>
      <w:shd w:val="clear" w:color="auto" w:fill="FFCFD7"/>
    </w:rPr>
  </w:style>
  <w:style w:type="paragraph" w:styleId="ac">
    <w:name w:val="endnote text"/>
    <w:basedOn w:val="a"/>
    <w:rPr>
      <w:rFonts w:ascii="Calibri" w:eastAsia="Calibri" w:hAnsi="Calibri" w:cs="Calibri"/>
    </w:rPr>
  </w:style>
  <w:style w:type="paragraph" w:styleId="ad">
    <w:name w:val="Block Text"/>
    <w:basedOn w:val="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paragraph" w:customStyle="1" w:styleId="Authors">
    <w:name w:val="Authors"/>
    <w:basedOn w:val="a"/>
    <w:pPr>
      <w:spacing w:before="360" w:after="120" w:line="283" w:lineRule="auto"/>
      <w:jc w:val="left"/>
    </w:pPr>
    <w:rPr>
      <w:rFonts w:ascii="Calibri" w:eastAsia="Calibri" w:hAnsi="Calibri" w:cs="Calibri"/>
      <w:sz w:val="28"/>
    </w:rPr>
  </w:style>
  <w:style w:type="character" w:customStyle="1" w:styleId="City">
    <w:name w:val="City"/>
    <w:basedOn w:val="a0"/>
    <w:rPr>
      <w:shd w:val="clear" w:color="auto" w:fill="D7D7D7"/>
    </w:rPr>
  </w:style>
  <w:style w:type="character" w:styleId="ae">
    <w:name w:val="Hyperlink"/>
    <w:basedOn w:val="a0"/>
    <w:rPr>
      <w:color w:val="0563C1"/>
    </w:rPr>
  </w:style>
  <w:style w:type="character" w:customStyle="1" w:styleId="Region">
    <w:name w:val="Region"/>
    <w:basedOn w:val="a0"/>
    <w:rPr>
      <w:shd w:val="clear" w:color="auto" w:fill="D8E9EE"/>
    </w:rPr>
  </w:style>
  <w:style w:type="character" w:customStyle="1" w:styleId="DatabaseLink">
    <w:name w:val="Database Link"/>
    <w:basedOn w:val="a0"/>
    <w:rPr>
      <w:shd w:val="clear" w:color="auto" w:fill="AFBEFF"/>
    </w:rPr>
  </w:style>
  <w:style w:type="paragraph" w:styleId="40">
    <w:name w:val="List 4"/>
    <w:basedOn w:val="a"/>
    <w:pPr>
      <w:spacing w:line="360" w:lineRule="auto"/>
      <w:ind w:left="1600" w:hanging="400"/>
    </w:pPr>
    <w:rPr>
      <w:rFonts w:ascii="Calibri" w:eastAsia="Calibri" w:hAnsi="Calibri" w:cs="Calibri"/>
      <w:sz w:val="22"/>
    </w:rPr>
  </w:style>
  <w:style w:type="paragraph" w:customStyle="1" w:styleId="AbstractSubheading">
    <w:name w:val="Abstract Subheading"/>
    <w:basedOn w:val="a"/>
    <w:pPr>
      <w:numPr>
        <w:ilvl w:val="8"/>
      </w:numPr>
      <w:ind w:left="1440"/>
      <w:outlineLvl w:val="8"/>
    </w:pPr>
    <w:rPr>
      <w:sz w:val="22"/>
    </w:rPr>
  </w:style>
  <w:style w:type="paragraph" w:customStyle="1" w:styleId="Glossary">
    <w:name w:val="Glossary"/>
    <w:basedOn w:val="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paragraph" w:customStyle="1" w:styleId="List7">
    <w:name w:val="List 7"/>
    <w:basedOn w:val="a"/>
    <w:pPr>
      <w:spacing w:line="360" w:lineRule="auto"/>
      <w:ind w:left="1920" w:hanging="400"/>
    </w:pPr>
    <w:rPr>
      <w:rFonts w:ascii="Calibri" w:eastAsia="Calibri" w:hAnsi="Calibri" w:cs="Calibri"/>
      <w:sz w:val="22"/>
    </w:rPr>
  </w:style>
  <w:style w:type="character" w:customStyle="1" w:styleId="Country">
    <w:name w:val="Country"/>
    <w:basedOn w:val="a0"/>
    <w:rPr>
      <w:shd w:val="clear" w:color="auto" w:fill="97C5D1"/>
    </w:rPr>
  </w:style>
  <w:style w:type="paragraph" w:customStyle="1" w:styleId="Acknowledgements">
    <w:name w:val="Acknowledgements"/>
    <w:basedOn w:val="a"/>
    <w:pPr>
      <w:shd w:val="clear" w:color="auto" w:fill="F9EDFF"/>
      <w:spacing w:after="160" w:line="396" w:lineRule="auto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Pr>
      <w:shd w:val="clear" w:color="auto" w:fill="FFEDF0"/>
    </w:rPr>
  </w:style>
  <w:style w:type="paragraph" w:styleId="af">
    <w:name w:val="Normal Indent"/>
    <w:basedOn w:val="a"/>
    <w:qFormat/>
    <w:pPr>
      <w:ind w:firstLine="480"/>
    </w:pPr>
    <w:rPr>
      <w:sz w:val="22"/>
    </w:rPr>
  </w:style>
  <w:style w:type="character" w:customStyle="1" w:styleId="ArticleTitle">
    <w:name w:val="Article Title"/>
    <w:basedOn w:val="a0"/>
    <w:qFormat/>
    <w:rPr>
      <w:shd w:val="clear" w:color="auto" w:fill="E9F9FF"/>
    </w:rPr>
  </w:style>
  <w:style w:type="character" w:customStyle="1" w:styleId="VolumeNumber">
    <w:name w:val="Volume Number"/>
    <w:basedOn w:val="a0"/>
    <w:rPr>
      <w:shd w:val="clear" w:color="auto" w:fill="EDF0FF"/>
    </w:rPr>
  </w:style>
  <w:style w:type="character" w:customStyle="1" w:styleId="GeneSequence">
    <w:name w:val="Gene Sequence"/>
    <w:basedOn w:val="a0"/>
    <w:rPr>
      <w:shd w:val="clear" w:color="auto" w:fill="FFCDF2"/>
    </w:rPr>
  </w:style>
  <w:style w:type="paragraph" w:styleId="af0">
    <w:name w:val="Balloon Text"/>
    <w:basedOn w:val="a"/>
    <w:rPr>
      <w:rFonts w:ascii="Calibri" w:eastAsia="Calibri" w:hAnsi="Calibri" w:cs="Calibri"/>
      <w:color w:val="000000"/>
      <w:sz w:val="16"/>
    </w:rPr>
  </w:style>
  <w:style w:type="paragraph" w:customStyle="1" w:styleId="List6">
    <w:name w:val="List 6"/>
    <w:basedOn w:val="a"/>
    <w:pPr>
      <w:spacing w:line="360" w:lineRule="auto"/>
      <w:ind w:left="1860" w:hanging="400"/>
    </w:pPr>
    <w:rPr>
      <w:rFonts w:ascii="Calibri" w:eastAsia="Calibri" w:hAnsi="Calibri" w:cs="Calibri"/>
      <w:sz w:val="22"/>
    </w:rPr>
  </w:style>
  <w:style w:type="character" w:customStyle="1" w:styleId="IssueNumber">
    <w:name w:val="Issue Number"/>
    <w:basedOn w:val="a0"/>
    <w:rPr>
      <w:shd w:val="clear" w:color="auto" w:fill="CDD5FF"/>
    </w:rPr>
  </w:style>
  <w:style w:type="paragraph" w:styleId="af1">
    <w:name w:val="List"/>
    <w:basedOn w:val="a"/>
    <w:pPr>
      <w:spacing w:line="360" w:lineRule="auto"/>
      <w:ind w:left="400" w:hanging="400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Pr>
      <w:shd w:val="clear" w:color="auto" w:fill="FFF6A4"/>
    </w:rPr>
  </w:style>
  <w:style w:type="paragraph" w:customStyle="1" w:styleId="Biography">
    <w:name w:val="Biography"/>
    <w:basedOn w:val="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paragraph" w:styleId="30">
    <w:name w:val="List 3"/>
    <w:basedOn w:val="a"/>
    <w:pPr>
      <w:spacing w:line="360" w:lineRule="auto"/>
      <w:ind w:left="1200" w:hanging="400"/>
    </w:pPr>
    <w:rPr>
      <w:rFonts w:ascii="Calibri" w:eastAsia="Calibri" w:hAnsi="Calibri" w:cs="Calibri"/>
      <w:sz w:val="22"/>
    </w:rPr>
  </w:style>
  <w:style w:type="character" w:customStyle="1" w:styleId="Conference">
    <w:name w:val="Conference"/>
    <w:basedOn w:val="a0"/>
    <w:rPr>
      <w:shd w:val="clear" w:color="auto" w:fill="FFAFBC"/>
    </w:rPr>
  </w:style>
  <w:style w:type="paragraph" w:customStyle="1" w:styleId="Surtitle">
    <w:name w:val="Sur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pPr>
      <w:shd w:val="clear" w:color="auto" w:fill="FFEDFA"/>
      <w:jc w:val="left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Pr>
      <w:shd w:val="clear" w:color="auto" w:fill="F0F0F0"/>
    </w:rPr>
  </w:style>
  <w:style w:type="character" w:customStyle="1" w:styleId="Heading">
    <w:name w:val="Heading:"/>
    <w:basedOn w:val="a0"/>
    <w:rPr>
      <w:color w:val="5B89C1"/>
    </w:rPr>
  </w:style>
  <w:style w:type="character" w:customStyle="1" w:styleId="Source">
    <w:name w:val="Source"/>
    <w:basedOn w:val="a0"/>
    <w:rPr>
      <w:shd w:val="clear" w:color="auto" w:fill="C1EDFF"/>
    </w:rPr>
  </w:style>
  <w:style w:type="paragraph" w:styleId="af2">
    <w:name w:val="Subtitle"/>
    <w:basedOn w:val="a"/>
    <w:qFormat/>
    <w:pPr>
      <w:spacing w:after="160" w:line="208" w:lineRule="auto"/>
      <w:jc w:val="left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Pr>
      <w:shd w:val="clear" w:color="auto" w:fill="91E0FF"/>
    </w:rPr>
  </w:style>
  <w:style w:type="paragraph" w:customStyle="1" w:styleId="Statement">
    <w:name w:val="Statement"/>
    <w:basedOn w:val="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pPr>
      <w:shd w:val="clear" w:color="auto" w:fill="FFEDFA"/>
      <w:jc w:val="left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pPr>
      <w:spacing w:after="160" w:line="360" w:lineRule="auto"/>
      <w:ind w:left="1200" w:right="1200"/>
    </w:pPr>
    <w:rPr>
      <w:rFonts w:ascii="Calibri" w:eastAsia="Calibri" w:hAnsi="Calibri" w:cs="Calibri"/>
      <w:sz w:val="22"/>
    </w:rPr>
  </w:style>
  <w:style w:type="paragraph" w:customStyle="1" w:styleId="TableBody">
    <w:name w:val="Table Body"/>
    <w:basedOn w:val="a"/>
    <w:pPr>
      <w:spacing w:after="160" w:line="396" w:lineRule="auto"/>
      <w:jc w:val="left"/>
    </w:pPr>
    <w:rPr>
      <w:rFonts w:ascii="Calibri" w:eastAsia="Calibri" w:hAnsi="Calibri" w:cs="Calibri"/>
      <w:sz w:val="20"/>
    </w:rPr>
  </w:style>
  <w:style w:type="character" w:customStyle="1" w:styleId="Year">
    <w:name w:val="Year"/>
    <w:basedOn w:val="a0"/>
    <w:rPr>
      <w:shd w:val="clear" w:color="auto" w:fill="FFF9C9"/>
    </w:rPr>
  </w:style>
  <w:style w:type="paragraph" w:customStyle="1" w:styleId="QuotationSource">
    <w:name w:val="Quotation Source"/>
    <w:basedOn w:val="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character" w:customStyle="1" w:styleId="Location">
    <w:name w:val="Location"/>
    <w:basedOn w:val="a0"/>
    <w:rPr>
      <w:shd w:val="clear" w:color="auto" w:fill="F9EDFF"/>
    </w:rPr>
  </w:style>
  <w:style w:type="paragraph" w:customStyle="1" w:styleId="ChapterNumber">
    <w:name w:val="Chapter Number"/>
    <w:basedOn w:val="a"/>
    <w:rPr>
      <w:rFonts w:ascii="Calibri" w:eastAsia="Calibri" w:hAnsi="Calibri" w:cs="Calibri"/>
    </w:rPr>
  </w:style>
  <w:style w:type="paragraph" w:styleId="50">
    <w:name w:val="List 5"/>
    <w:basedOn w:val="a"/>
    <w:pPr>
      <w:spacing w:line="360" w:lineRule="auto"/>
      <w:ind w:left="1800" w:hanging="400"/>
    </w:pPr>
    <w:rPr>
      <w:rFonts w:ascii="Calibri" w:eastAsia="Calibri" w:hAnsi="Calibri" w:cs="Calibri"/>
      <w:sz w:val="22"/>
    </w:rPr>
  </w:style>
  <w:style w:type="paragraph" w:customStyle="1" w:styleId="Affiliation">
    <w:name w:val="Affiliation"/>
    <w:basedOn w:val="a"/>
    <w:pPr>
      <w:shd w:val="clear" w:color="auto" w:fill="F4FFED"/>
      <w:spacing w:before="240" w:after="120" w:line="396" w:lineRule="auto"/>
      <w:ind w:left="400" w:hanging="400"/>
      <w:jc w:val="left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Publisher">
    <w:name w:val="Publisher"/>
    <w:basedOn w:val="a0"/>
    <w:rPr>
      <w:shd w:val="clear" w:color="auto" w:fill="F2DDFF"/>
    </w:rPr>
  </w:style>
  <w:style w:type="paragraph" w:styleId="af3">
    <w:name w:val="caption"/>
    <w:basedOn w:val="a"/>
    <w:pPr>
      <w:shd w:val="clear" w:color="auto" w:fill="FFF5ED"/>
      <w:spacing w:before="240" w:line="349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List1">
    <w:name w:val="List 1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  <w:style w:type="paragraph" w:customStyle="1" w:styleId="List9">
    <w:name w:val="List 9"/>
    <w:basedOn w:val="a"/>
    <w:pPr>
      <w:ind w:left="1200" w:hanging="60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88257-709C-414F-88FE-F5398AF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Kojima Mitsuaki</cp:lastModifiedBy>
  <cp:revision>2</cp:revision>
  <dcterms:created xsi:type="dcterms:W3CDTF">2022-10-23T15:13:00Z</dcterms:created>
  <dcterms:modified xsi:type="dcterms:W3CDTF">2022-10-23T15:13:00Z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ID">
    <vt:lpwstr/>
  </property>
  <property fmtid="{D5CDD505-2E9C-101B-9397-08002B2CF9AE}" pid="3" name="Source">
    <vt:lpwstr/>
  </property>
  <property fmtid="{D5CDD505-2E9C-101B-9397-08002B2CF9AE}" pid="4" name="Source-short">
    <vt:lpwstr/>
  </property>
  <property fmtid="{D5CDD505-2E9C-101B-9397-08002B2CF9AE}" pid="5" name="Source-abbreviated">
    <vt:lpwstr/>
  </property>
  <property fmtid="{D5CDD505-2E9C-101B-9397-08002B2CF9AE}" pid="6" name="epub">
    <vt:lpwstr/>
  </property>
  <property fmtid="{D5CDD505-2E9C-101B-9397-08002B2CF9AE}" pid="7" name="ppub">
    <vt:lpwstr/>
  </property>
  <property fmtid="{D5CDD505-2E9C-101B-9397-08002B2CF9AE}" pid="8" name="Publisher">
    <vt:lpwstr/>
  </property>
  <property fmtid="{D5CDD505-2E9C-101B-9397-08002B2CF9AE}" pid="9" name="Publisher-location">
    <vt:lpwstr/>
  </property>
  <property fmtid="{D5CDD505-2E9C-101B-9397-08002B2CF9AE}" pid="10" name="DOI">
    <vt:lpwstr/>
  </property>
  <property fmtid="{D5CDD505-2E9C-101B-9397-08002B2CF9AE}" pid="11" name="ReceivedDate">
    <vt:lpwstr/>
  </property>
  <property fmtid="{D5CDD505-2E9C-101B-9397-08002B2CF9AE}" pid="12" name="AcceptedDate">
    <vt:lpwstr/>
  </property>
  <property fmtid="{D5CDD505-2E9C-101B-9397-08002B2CF9AE}" pid="13" name="Reference citation style">
    <vt:lpwstr>numerical</vt:lpwstr>
  </property>
  <property fmtid="{D5CDD505-2E9C-101B-9397-08002B2CF9AE}" pid="14" name="Subject">
    <vt:lpwstr/>
  </property>
  <property fmtid="{D5CDD505-2E9C-101B-9397-08002B2CF9AE}" pid="15" name="Merops word count">
    <vt:lpwstr>1240</vt:lpwstr>
  </property>
  <property fmtid="{D5CDD505-2E9C-101B-9397-08002B2CF9AE}" pid="16" name="Merops references count">
    <vt:lpwstr>0</vt:lpwstr>
  </property>
  <property fmtid="{D5CDD505-2E9C-101B-9397-08002B2CF9AE}" pid="17" name="Merops PubMed links count">
    <vt:lpwstr>0</vt:lpwstr>
  </property>
  <property fmtid="{D5CDD505-2E9C-101B-9397-08002B2CF9AE}" pid="18" name="Merops DOI links count">
    <vt:lpwstr>0</vt:lpwstr>
  </property>
  <property fmtid="{D5CDD505-2E9C-101B-9397-08002B2CF9AE}" pid="19" name="Merops tables count">
    <vt:lpwstr>4</vt:lpwstr>
  </property>
  <property fmtid="{D5CDD505-2E9C-101B-9397-08002B2CF9AE}" pid="20" name="Merops figures count">
    <vt:lpwstr>0</vt:lpwstr>
  </property>
  <property fmtid="{D5CDD505-2E9C-101B-9397-08002B2CF9AE}" pid="21" name="Merops graphics count">
    <vt:lpwstr>1</vt:lpwstr>
  </property>
  <property fmtid="{D5CDD505-2E9C-101B-9397-08002B2CF9AE}" pid="22" name="Merops footnotes/endnotes count">
    <vt:lpwstr>0</vt:lpwstr>
  </property>
  <property fmtid="{D5CDD505-2E9C-101B-9397-08002B2CF9AE}" pid="23" name="Merops email addresses count">
    <vt:lpwstr>0</vt:lpwstr>
  </property>
  <property fmtid="{D5CDD505-2E9C-101B-9397-08002B2CF9AE}" pid="24" name="Merops intra-document links count">
    <vt:lpwstr>0</vt:lpwstr>
  </property>
  <property fmtid="{D5CDD505-2E9C-101B-9397-08002B2CF9AE}" pid="25" name="Merops Standard Set">
    <vt:lpwstr>*</vt:lpwstr>
  </property>
  <property fmtid="{D5CDD505-2E9C-101B-9397-08002B2CF9AE}" pid="26" name="Merops Standard Set modified">
    <vt:lpwstr>*</vt:lpwstr>
  </property>
  <property fmtid="{D5CDD505-2E9C-101B-9397-08002B2CF9AE}" pid="27" name="Merops client version">
    <vt:lpwstr>*</vt:lpwstr>
  </property>
  <property fmtid="{D5CDD505-2E9C-101B-9397-08002B2CF9AE}" pid="28" name="Merops input file path">
    <vt:lpwstr>*</vt:lpwstr>
  </property>
  <property fmtid="{D5CDD505-2E9C-101B-9397-08002B2CF9AE}" pid="29" name="Merops -Original extension">
    <vt:lpwstr>docx</vt:lpwstr>
  </property>
  <property fmtid="{D5CDD505-2E9C-101B-9397-08002B2CF9AE}" pid="30" name="Merops server path">
    <vt:lpwstr>*</vt:lpwstr>
  </property>
  <property fmtid="{D5CDD505-2E9C-101B-9397-08002B2CF9AE}" pid="31" name="Merops processed date">
    <vt:lpwstr>2022/10/12 05:05:56 PM</vt:lpwstr>
  </property>
  <property fmtid="{D5CDD505-2E9C-101B-9397-08002B2CF9AE}" pid="32" name="Merops WorldCat links count">
    <vt:lpwstr>0</vt:lpwstr>
  </property>
  <property fmtid="{D5CDD505-2E9C-101B-9397-08002B2CF9AE}" pid="33" name="Merops Scopus links count">
    <vt:lpwstr>0</vt:lpwstr>
  </property>
  <property fmtid="{D5CDD505-2E9C-101B-9397-08002B2CF9AE}" pid="34" name="Merops comment count">
    <vt:lpwstr>0</vt:lpwstr>
  </property>
  <property fmtid="{D5CDD505-2E9C-101B-9397-08002B2CF9AE}" pid="35" name="Merops change count">
    <vt:lpwstr>13</vt:lpwstr>
  </property>
</Properties>
</file>